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adjustRightInd w:val="0"/>
        <w:snapToGri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430" w:leftChars="300" w:hanging="1800" w:hangingChars="5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w:t>
      </w:r>
      <w:bookmarkStart w:id="5" w:name="_GoBack"/>
      <w:r>
        <w:rPr>
          <w:rFonts w:hint="eastAsia" w:ascii="仿宋_GB2312" w:eastAsia="仿宋_GB2312"/>
          <w:sz w:val="36"/>
          <w:szCs w:val="36"/>
          <w:u w:val="single"/>
        </w:rPr>
        <w:t>泗县吉顺驾校内部自备撬装加油装置</w:t>
      </w:r>
      <w:bookmarkEnd w:id="5"/>
      <w:r>
        <w:rPr>
          <w:rFonts w:hint="eastAsia" w:ascii="仿宋_GB2312" w:eastAsia="仿宋_GB2312"/>
          <w:sz w:val="36"/>
          <w:szCs w:val="36"/>
          <w:u w:val="single"/>
        </w:rPr>
        <w:t xml:space="preserve"> </w:t>
      </w:r>
    </w:p>
    <w:p>
      <w:pPr>
        <w:ind w:firstLine="720" w:firstLineChars="2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泗县吉顺汽车驾驶员培训学校</w:t>
      </w:r>
    </w:p>
    <w:p>
      <w:pPr>
        <w:adjustRightInd w:val="0"/>
        <w:snapToGrid w:val="0"/>
        <w:spacing w:line="288" w:lineRule="auto"/>
        <w:ind w:left="630" w:leftChars="3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二〇二一年十二月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sz w:val="30"/>
          <w:szCs w:val="30"/>
        </w:rPr>
        <w:t>一、建设项目基本情况</w:t>
      </w:r>
    </w:p>
    <w:tbl>
      <w:tblPr>
        <w:tblStyle w:val="23"/>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建设项目名称</w:t>
            </w:r>
          </w:p>
        </w:tc>
        <w:tc>
          <w:tcPr>
            <w:tcW w:w="6488" w:type="dxa"/>
            <w:gridSpan w:val="3"/>
            <w:vAlign w:val="center"/>
          </w:tcPr>
          <w:p>
            <w:pPr>
              <w:adjustRightInd w:val="0"/>
              <w:snapToGrid w:val="0"/>
              <w:jc w:val="center"/>
              <w:rPr>
                <w:color w:val="000000"/>
                <w:sz w:val="24"/>
              </w:rPr>
            </w:pPr>
            <w:r>
              <w:rPr>
                <w:rFonts w:ascii="宋体" w:hAnsi="宋体" w:cs="宋体"/>
                <w:sz w:val="24"/>
              </w:rPr>
              <w:t>泗县吉顺驾校内部自备撬装加油装置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项目代码</w:t>
            </w:r>
          </w:p>
        </w:tc>
        <w:tc>
          <w:tcPr>
            <w:tcW w:w="6488" w:type="dxa"/>
            <w:gridSpan w:val="3"/>
            <w:vAlign w:val="center"/>
          </w:tcPr>
          <w:p>
            <w:pPr>
              <w:adjustRightInd w:val="0"/>
              <w:snapToGrid w:val="0"/>
              <w:jc w:val="center"/>
              <w:rPr>
                <w:color w:val="000000"/>
                <w:sz w:val="24"/>
              </w:rPr>
            </w:pPr>
            <w:r>
              <w:rPr>
                <w:sz w:val="24"/>
              </w:rPr>
              <w:t>2107-341324-04-03-497208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建设单位联系人</w:t>
            </w:r>
          </w:p>
        </w:tc>
        <w:tc>
          <w:tcPr>
            <w:tcW w:w="1637" w:type="dxa"/>
            <w:vAlign w:val="center"/>
          </w:tcPr>
          <w:p>
            <w:pPr>
              <w:adjustRightInd w:val="0"/>
              <w:snapToGrid w:val="0"/>
              <w:jc w:val="center"/>
              <w:rPr>
                <w:color w:val="000000"/>
                <w:sz w:val="24"/>
              </w:rPr>
            </w:pPr>
            <w:r>
              <w:rPr>
                <w:rFonts w:ascii="宋体" w:hAnsi="宋体" w:cs="宋体"/>
                <w:sz w:val="24"/>
              </w:rPr>
              <w:t>沈志宇</w:t>
            </w:r>
          </w:p>
        </w:tc>
        <w:tc>
          <w:tcPr>
            <w:tcW w:w="2212" w:type="dxa"/>
            <w:vAlign w:val="center"/>
          </w:tcPr>
          <w:p>
            <w:pPr>
              <w:adjustRightInd w:val="0"/>
              <w:snapToGrid w:val="0"/>
              <w:jc w:val="center"/>
              <w:rPr>
                <w:color w:val="000000"/>
                <w:sz w:val="24"/>
              </w:rPr>
            </w:pPr>
            <w:r>
              <w:rPr>
                <w:color w:val="000000"/>
                <w:sz w:val="24"/>
              </w:rPr>
              <w:t>联系方式</w:t>
            </w:r>
          </w:p>
        </w:tc>
        <w:tc>
          <w:tcPr>
            <w:tcW w:w="2639" w:type="dxa"/>
            <w:vAlign w:val="center"/>
          </w:tcPr>
          <w:p>
            <w:pPr>
              <w:adjustRightInd w:val="0"/>
              <w:snapToGrid w:val="0"/>
              <w:jc w:val="center"/>
              <w:rPr>
                <w:color w:val="000000"/>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-29845</wp:posOffset>
                      </wp:positionV>
                      <wp:extent cx="1085850" cy="304800"/>
                      <wp:effectExtent l="4445" t="4445" r="5080" b="5080"/>
                      <wp:wrapNone/>
                      <wp:docPr id="3" name="文本框 3"/>
                      <wp:cNvGraphicFramePr/>
                      <a:graphic xmlns:a="http://schemas.openxmlformats.org/drawingml/2006/main">
                        <a:graphicData uri="http://schemas.microsoft.com/office/word/2010/wordprocessingShape">
                          <wps:wsp>
                            <wps:cNvSpPr txBox="1"/>
                            <wps:spPr>
                              <a:xfrm>
                                <a:off x="5256530" y="2364105"/>
                                <a:ext cx="108585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2.35pt;height:24pt;width:85.5pt;z-index:251659264;mso-width-relative:page;mso-height-relative:page;" fillcolor="#FFFFFF [3201]" filled="t" stroked="t" coordsize="21600,21600" o:gfxdata="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3HV+tYAAAAIAQAADwAAAAAAAAABACAA&#10;AAAiAAAAZHJzL2Rvd25yZXYueG1sUEsBAhQAFAAAAAgAh07iQGd+16VIAgAAdQQAAA4AAAAAAAAA&#10;AQAgAAAAJQEAAGRycy9lMm9Eb2MueG1sUEsFBgAAAAAGAAYAWQEAAN8FAAAAAA==&#10;">
                      <v:fill on="t" focussize="0,0"/>
                      <v:stroke weight="0.5pt" color="#000000 [3204]" joinstyle="round"/>
                      <v:imagedata o:title=""/>
                      <o:lock v:ext="edit" aspectratio="f"/>
                      <v:textbox>
                        <w:txbxContent>
                          <w:p/>
                        </w:txbxContent>
                      </v:textbox>
                    </v:shape>
                  </w:pict>
                </mc:Fallback>
              </mc:AlternateContent>
            </w:r>
            <w:r>
              <w:rPr>
                <w:sz w:val="24"/>
              </w:rPr>
              <w:t>13329257778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建设地点</w:t>
            </w:r>
          </w:p>
        </w:tc>
        <w:tc>
          <w:tcPr>
            <w:tcW w:w="6488" w:type="dxa"/>
            <w:gridSpan w:val="3"/>
            <w:vAlign w:val="center"/>
          </w:tcPr>
          <w:p>
            <w:pPr>
              <w:adjustRightInd w:val="0"/>
              <w:snapToGrid w:val="0"/>
              <w:jc w:val="center"/>
              <w:rPr>
                <w:color w:val="000000"/>
                <w:sz w:val="24"/>
              </w:rPr>
            </w:pPr>
            <w:r>
              <w:rPr>
                <w:rFonts w:ascii="宋体" w:hAnsi="宋体" w:cs="宋体"/>
                <w:sz w:val="24"/>
              </w:rPr>
              <w:t>泗县泗城镇新型工业园区</w:t>
            </w:r>
            <w:r>
              <w:rPr>
                <w:rFonts w:hint="eastAsia"/>
                <w:kern w:val="0"/>
                <w:sz w:val="24"/>
              </w:rPr>
              <w:t>吉顺驾校内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地理坐标</w:t>
            </w:r>
          </w:p>
        </w:tc>
        <w:tc>
          <w:tcPr>
            <w:tcW w:w="6488"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东经</w:t>
            </w:r>
            <w:r>
              <w:rPr>
                <w:color w:val="000000" w:themeColor="text1"/>
                <w:sz w:val="24"/>
                <w14:textFill>
                  <w14:solidFill>
                    <w14:schemeClr w14:val="tx1"/>
                  </w14:solidFill>
                </w14:textFill>
              </w:rPr>
              <w:t>117度</w:t>
            </w:r>
            <w:r>
              <w:rPr>
                <w:rFonts w:hint="eastAsia"/>
                <w:color w:val="000000" w:themeColor="text1"/>
                <w:sz w:val="24"/>
                <w14:textFill>
                  <w14:solidFill>
                    <w14:schemeClr w14:val="tx1"/>
                  </w14:solidFill>
                </w14:textFill>
              </w:rPr>
              <w:t>52</w:t>
            </w:r>
            <w:r>
              <w:rPr>
                <w:color w:val="000000" w:themeColor="text1"/>
                <w:sz w:val="24"/>
                <w14:textFill>
                  <w14:solidFill>
                    <w14:schemeClr w14:val="tx1"/>
                  </w14:solidFill>
                </w14:textFill>
              </w:rPr>
              <w:t>分</w:t>
            </w:r>
            <w:r>
              <w:rPr>
                <w:rFonts w:hint="eastAsia"/>
                <w:color w:val="000000" w:themeColor="text1"/>
                <w:sz w:val="24"/>
                <w14:textFill>
                  <w14:solidFill>
                    <w14:schemeClr w14:val="tx1"/>
                  </w14:solidFill>
                </w14:textFill>
              </w:rPr>
              <w:t>14.74</w:t>
            </w:r>
            <w:r>
              <w:rPr>
                <w:color w:val="000000" w:themeColor="text1"/>
                <w:sz w:val="24"/>
                <w14:textFill>
                  <w14:solidFill>
                    <w14:schemeClr w14:val="tx1"/>
                  </w14:solidFill>
                </w14:textFill>
              </w:rPr>
              <w:t>秒，</w:t>
            </w:r>
            <w:r>
              <w:rPr>
                <w:rFonts w:hint="eastAsia"/>
                <w:color w:val="000000" w:themeColor="text1"/>
                <w:sz w:val="24"/>
                <w14:textFill>
                  <w14:solidFill>
                    <w14:schemeClr w14:val="tx1"/>
                  </w14:solidFill>
                </w14:textFill>
              </w:rPr>
              <w:t>北纬</w:t>
            </w:r>
            <w:r>
              <w:rPr>
                <w:color w:val="000000" w:themeColor="text1"/>
                <w:sz w:val="24"/>
                <w14:textFill>
                  <w14:solidFill>
                    <w14:schemeClr w14:val="tx1"/>
                  </w14:solidFill>
                </w14:textFill>
              </w:rPr>
              <w:t>33度</w:t>
            </w:r>
            <w:r>
              <w:rPr>
                <w:rFonts w:hint="eastAsia"/>
                <w:color w:val="000000" w:themeColor="text1"/>
                <w:sz w:val="24"/>
                <w14:textFill>
                  <w14:solidFill>
                    <w14:schemeClr w14:val="tx1"/>
                  </w14:solidFill>
                </w14:textFill>
              </w:rPr>
              <w:t>27</w:t>
            </w:r>
            <w:r>
              <w:rPr>
                <w:color w:val="000000" w:themeColor="text1"/>
                <w:sz w:val="24"/>
                <w14:textFill>
                  <w14:solidFill>
                    <w14:schemeClr w14:val="tx1"/>
                  </w14:solidFill>
                </w14:textFill>
              </w:rPr>
              <w:t>分5</w:t>
            </w:r>
            <w:r>
              <w:rPr>
                <w:rFonts w:hint="eastAsia"/>
                <w:color w:val="000000" w:themeColor="text1"/>
                <w:sz w:val="24"/>
                <w14:textFill>
                  <w14:solidFill>
                    <w14:schemeClr w14:val="tx1"/>
                  </w14:solidFill>
                </w14:textFill>
              </w:rPr>
              <w:t>7.01</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国民经济</w:t>
            </w:r>
          </w:p>
          <w:p>
            <w:pPr>
              <w:adjustRightInd w:val="0"/>
              <w:snapToGrid w:val="0"/>
              <w:jc w:val="center"/>
              <w:rPr>
                <w:color w:val="000000"/>
                <w:sz w:val="24"/>
              </w:rPr>
            </w:pPr>
            <w:r>
              <w:rPr>
                <w:color w:val="000000"/>
                <w:sz w:val="24"/>
              </w:rPr>
              <w:t>行业类别</w:t>
            </w:r>
          </w:p>
        </w:tc>
        <w:tc>
          <w:tcPr>
            <w:tcW w:w="1637" w:type="dxa"/>
            <w:vAlign w:val="center"/>
          </w:tcPr>
          <w:p>
            <w:pPr>
              <w:pStyle w:val="25"/>
              <w:jc w:val="center"/>
              <w:rPr>
                <w:rFonts w:ascii="Times New Roman" w:cs="Times New Roman"/>
                <w:kern w:val="2"/>
              </w:rPr>
            </w:pPr>
            <w:r>
              <w:rPr>
                <w:rFonts w:ascii="Times New Roman" w:cs="Times New Roman"/>
              </w:rPr>
              <w:t>G5941油气仓储</w:t>
            </w:r>
          </w:p>
        </w:tc>
        <w:tc>
          <w:tcPr>
            <w:tcW w:w="2212" w:type="dxa"/>
            <w:vAlign w:val="center"/>
          </w:tcPr>
          <w:p>
            <w:pPr>
              <w:adjustRightInd w:val="0"/>
              <w:snapToGrid w:val="0"/>
              <w:jc w:val="center"/>
              <w:rPr>
                <w:color w:val="000000"/>
                <w:kern w:val="0"/>
                <w:sz w:val="24"/>
              </w:rPr>
            </w:pPr>
            <w:bookmarkStart w:id="1" w:name="_Hlk49843745"/>
            <w:r>
              <w:rPr>
                <w:color w:val="000000"/>
                <w:kern w:val="0"/>
                <w:sz w:val="24"/>
              </w:rPr>
              <w:t>建设项目</w:t>
            </w:r>
          </w:p>
          <w:p>
            <w:pPr>
              <w:adjustRightInd w:val="0"/>
              <w:snapToGrid w:val="0"/>
              <w:jc w:val="center"/>
              <w:rPr>
                <w:color w:val="000000"/>
                <w:kern w:val="0"/>
                <w:sz w:val="24"/>
              </w:rPr>
            </w:pPr>
            <w:r>
              <w:rPr>
                <w:color w:val="000000"/>
                <w:kern w:val="0"/>
                <w:sz w:val="24"/>
              </w:rPr>
              <w:t>行业类别</w:t>
            </w:r>
            <w:bookmarkEnd w:id="1"/>
          </w:p>
        </w:tc>
        <w:tc>
          <w:tcPr>
            <w:tcW w:w="2639" w:type="dxa"/>
            <w:vAlign w:val="center"/>
          </w:tcPr>
          <w:p>
            <w:pPr>
              <w:adjustRightInd w:val="0"/>
              <w:snapToGrid w:val="0"/>
              <w:rPr>
                <w:color w:val="000000"/>
                <w:kern w:val="0"/>
                <w:sz w:val="24"/>
              </w:rPr>
            </w:pPr>
            <w:r>
              <w:rPr>
                <w:color w:val="000000"/>
                <w:kern w:val="0"/>
                <w:sz w:val="24"/>
              </w:rPr>
              <w:t>五十三、装卸搬运和仓储业59</w:t>
            </w:r>
            <w:r>
              <w:rPr>
                <w:rFonts w:hint="eastAsia"/>
                <w:color w:val="000000"/>
                <w:kern w:val="0"/>
                <w:sz w:val="24"/>
              </w:rPr>
              <w:t xml:space="preserve"> </w:t>
            </w:r>
            <w:r>
              <w:rPr>
                <w:color w:val="000000"/>
                <w:kern w:val="0"/>
                <w:sz w:val="24"/>
              </w:rPr>
              <w:t>149危险品仓储594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建设性质</w:t>
            </w:r>
          </w:p>
        </w:tc>
        <w:tc>
          <w:tcPr>
            <w:tcW w:w="1637" w:type="dxa"/>
            <w:vAlign w:val="center"/>
          </w:tcPr>
          <w:p>
            <w:pPr>
              <w:jc w:val="left"/>
              <w:rPr>
                <w:color w:val="000000"/>
                <w:sz w:val="24"/>
              </w:rPr>
            </w:pPr>
            <w:r>
              <w:rPr>
                <w:color w:val="000000"/>
                <w:sz w:val="24"/>
              </w:rPr>
              <w:sym w:font="Wingdings 2" w:char="0052"/>
            </w:r>
            <w:r>
              <w:rPr>
                <w:color w:val="000000"/>
                <w:sz w:val="24"/>
              </w:rPr>
              <w:t>新建（迁建）</w:t>
            </w:r>
          </w:p>
          <w:p>
            <w:pPr>
              <w:jc w:val="left"/>
              <w:rPr>
                <w:color w:val="000000"/>
                <w:sz w:val="24"/>
              </w:rPr>
            </w:pPr>
            <w:r>
              <w:rPr>
                <w:color w:val="000000"/>
                <w:sz w:val="24"/>
              </w:rPr>
              <w:sym w:font="Wingdings 2" w:char="00A3"/>
            </w:r>
            <w:r>
              <w:rPr>
                <w:color w:val="000000"/>
                <w:sz w:val="24"/>
              </w:rPr>
              <w:t>改建</w:t>
            </w:r>
          </w:p>
          <w:p>
            <w:pPr>
              <w:jc w:val="left"/>
              <w:rPr>
                <w:color w:val="000000"/>
                <w:sz w:val="24"/>
              </w:rPr>
            </w:pPr>
            <w:r>
              <w:rPr>
                <w:color w:val="000000"/>
                <w:sz w:val="24"/>
              </w:rPr>
              <w:sym w:font="Wingdings 2" w:char="00A3"/>
            </w:r>
            <w:r>
              <w:rPr>
                <w:color w:val="000000"/>
                <w:sz w:val="24"/>
              </w:rPr>
              <w:t>扩建</w:t>
            </w:r>
          </w:p>
          <w:p>
            <w:pPr>
              <w:jc w:val="left"/>
              <w:rPr>
                <w:color w:val="000000"/>
                <w:sz w:val="24"/>
              </w:rPr>
            </w:pPr>
            <w:r>
              <w:rPr>
                <w:color w:val="000000"/>
                <w:sz w:val="24"/>
              </w:rPr>
              <w:sym w:font="Wingdings 2" w:char="00A3"/>
            </w:r>
            <w:r>
              <w:rPr>
                <w:color w:val="000000"/>
                <w:sz w:val="24"/>
              </w:rPr>
              <w:t>技术改造</w:t>
            </w:r>
          </w:p>
        </w:tc>
        <w:tc>
          <w:tcPr>
            <w:tcW w:w="2212" w:type="dxa"/>
            <w:vAlign w:val="center"/>
          </w:tcPr>
          <w:p>
            <w:pPr>
              <w:adjustRightInd w:val="0"/>
              <w:snapToGrid w:val="0"/>
              <w:jc w:val="center"/>
              <w:rPr>
                <w:color w:val="000000"/>
                <w:sz w:val="24"/>
              </w:rPr>
            </w:pPr>
            <w:r>
              <w:rPr>
                <w:color w:val="000000"/>
                <w:sz w:val="24"/>
              </w:rPr>
              <w:t>建设项目</w:t>
            </w:r>
          </w:p>
          <w:p>
            <w:pPr>
              <w:adjustRightInd w:val="0"/>
              <w:snapToGrid w:val="0"/>
              <w:jc w:val="center"/>
              <w:rPr>
                <w:color w:val="000000"/>
                <w:sz w:val="24"/>
              </w:rPr>
            </w:pPr>
            <w:r>
              <w:rPr>
                <w:color w:val="000000"/>
                <w:sz w:val="24"/>
              </w:rPr>
              <w:t>申报情形</w:t>
            </w:r>
          </w:p>
        </w:tc>
        <w:tc>
          <w:tcPr>
            <w:tcW w:w="2639" w:type="dxa"/>
            <w:vAlign w:val="center"/>
          </w:tcPr>
          <w:p>
            <w:pPr>
              <w:jc w:val="left"/>
              <w:rPr>
                <w:color w:val="000000"/>
                <w:sz w:val="24"/>
              </w:rPr>
            </w:pPr>
            <w:r>
              <w:rPr>
                <w:color w:val="000000"/>
                <w:sz w:val="24"/>
              </w:rPr>
              <w:sym w:font="Wingdings 2" w:char="0052"/>
            </w:r>
            <w:r>
              <w:rPr>
                <w:color w:val="000000"/>
                <w:sz w:val="24"/>
              </w:rPr>
              <w:t xml:space="preserve">首次申报项目             </w:t>
            </w:r>
          </w:p>
          <w:p>
            <w:pPr>
              <w:jc w:val="left"/>
              <w:rPr>
                <w:color w:val="000000"/>
                <w:sz w:val="24"/>
              </w:rPr>
            </w:pPr>
            <w:r>
              <w:rPr>
                <w:color w:val="000000"/>
                <w:sz w:val="24"/>
              </w:rPr>
              <w:sym w:font="Wingdings 2" w:char="00A3"/>
            </w:r>
            <w:r>
              <w:rPr>
                <w:color w:val="000000"/>
                <w:sz w:val="24"/>
              </w:rPr>
              <w:t>不予批准后再次申报项目</w:t>
            </w:r>
          </w:p>
          <w:p>
            <w:pPr>
              <w:jc w:val="left"/>
              <w:rPr>
                <w:color w:val="000000"/>
                <w:sz w:val="24"/>
              </w:rPr>
            </w:pPr>
            <w:r>
              <w:rPr>
                <w:color w:val="000000"/>
                <w:sz w:val="24"/>
              </w:rPr>
              <w:sym w:font="Wingdings 2" w:char="00A3"/>
            </w:r>
            <w:r>
              <w:rPr>
                <w:color w:val="000000"/>
                <w:sz w:val="24"/>
              </w:rPr>
              <w:t xml:space="preserve">超五年重新审核项目     </w:t>
            </w:r>
          </w:p>
          <w:p>
            <w:pPr>
              <w:jc w:val="left"/>
              <w:rPr>
                <w:color w:val="000000"/>
                <w:sz w:val="24"/>
              </w:rPr>
            </w:pPr>
            <w:r>
              <w:rPr>
                <w:color w:val="000000"/>
                <w:sz w:val="24"/>
              </w:rPr>
              <w:sym w:font="Wingdings 2" w:char="00A3"/>
            </w:r>
            <w:r>
              <w:rPr>
                <w:color w:val="000000"/>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项目审批（核准/</w:t>
            </w:r>
          </w:p>
          <w:p>
            <w:pPr>
              <w:adjustRightInd w:val="0"/>
              <w:snapToGrid w:val="0"/>
              <w:jc w:val="center"/>
              <w:rPr>
                <w:color w:val="000000"/>
                <w:sz w:val="24"/>
              </w:rPr>
            </w:pPr>
            <w:r>
              <w:rPr>
                <w:color w:val="000000"/>
                <w:sz w:val="24"/>
              </w:rPr>
              <w:t>备案）部门（选填）</w:t>
            </w:r>
          </w:p>
        </w:tc>
        <w:tc>
          <w:tcPr>
            <w:tcW w:w="1637" w:type="dxa"/>
            <w:vAlign w:val="center"/>
          </w:tcPr>
          <w:p>
            <w:pPr>
              <w:adjustRightInd w:val="0"/>
              <w:snapToGrid w:val="0"/>
              <w:jc w:val="center"/>
              <w:rPr>
                <w:color w:val="000000"/>
                <w:sz w:val="24"/>
              </w:rPr>
            </w:pPr>
            <w:r>
              <w:rPr>
                <w:color w:val="000000"/>
                <w:sz w:val="24"/>
              </w:rPr>
              <w:t>泗县发展和改革委员会</w:t>
            </w:r>
          </w:p>
        </w:tc>
        <w:tc>
          <w:tcPr>
            <w:tcW w:w="2212" w:type="dxa"/>
            <w:vAlign w:val="center"/>
          </w:tcPr>
          <w:p>
            <w:pPr>
              <w:adjustRightInd w:val="0"/>
              <w:snapToGrid w:val="0"/>
              <w:jc w:val="center"/>
              <w:rPr>
                <w:color w:val="000000"/>
                <w:sz w:val="24"/>
              </w:rPr>
            </w:pPr>
            <w:r>
              <w:rPr>
                <w:color w:val="000000"/>
                <w:sz w:val="24"/>
              </w:rPr>
              <w:t>项目审批（核准/</w:t>
            </w:r>
          </w:p>
          <w:p>
            <w:pPr>
              <w:adjustRightInd w:val="0"/>
              <w:snapToGrid w:val="0"/>
              <w:jc w:val="center"/>
              <w:rPr>
                <w:color w:val="000000"/>
                <w:sz w:val="24"/>
              </w:rPr>
            </w:pPr>
            <w:r>
              <w:rPr>
                <w:color w:val="000000"/>
                <w:sz w:val="24"/>
              </w:rPr>
              <w:t>备案）文号（选填）</w:t>
            </w:r>
          </w:p>
        </w:tc>
        <w:tc>
          <w:tcPr>
            <w:tcW w:w="2639" w:type="dxa"/>
            <w:vAlign w:val="center"/>
          </w:tcPr>
          <w:p>
            <w:pPr>
              <w:adjustRightInd w:val="0"/>
              <w:snapToGrid w:val="0"/>
              <w:jc w:val="center"/>
              <w:rPr>
                <w:color w:val="000000"/>
                <w:sz w:val="24"/>
              </w:rPr>
            </w:pPr>
            <w:r>
              <w:rPr>
                <w:color w:val="000000"/>
                <w:sz w:val="24"/>
              </w:rPr>
              <w:t>泗发改备案[2021]</w:t>
            </w:r>
            <w:r>
              <w:rPr>
                <w:rFonts w:hint="eastAsia"/>
                <w:color w:val="000000"/>
                <w:sz w:val="24"/>
              </w:rPr>
              <w:t>158</w:t>
            </w:r>
            <w:r>
              <w:rPr>
                <w:color w:val="000000"/>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总投资（万元）</w:t>
            </w:r>
          </w:p>
        </w:tc>
        <w:tc>
          <w:tcPr>
            <w:tcW w:w="1637" w:type="dxa"/>
            <w:vAlign w:val="center"/>
          </w:tcPr>
          <w:p>
            <w:pPr>
              <w:adjustRightInd w:val="0"/>
              <w:snapToGrid w:val="0"/>
              <w:jc w:val="center"/>
              <w:rPr>
                <w:color w:val="000000"/>
                <w:sz w:val="24"/>
              </w:rPr>
            </w:pPr>
            <w:r>
              <w:rPr>
                <w:rFonts w:hint="eastAsia"/>
                <w:color w:val="000000"/>
                <w:sz w:val="24"/>
              </w:rPr>
              <w:t>2</w:t>
            </w:r>
            <w:r>
              <w:rPr>
                <w:color w:val="000000"/>
                <w:sz w:val="24"/>
              </w:rPr>
              <w:t>00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637"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p>
        </w:tc>
        <w:tc>
          <w:tcPr>
            <w:tcW w:w="2212" w:type="dxa"/>
            <w:tcMar>
              <w:top w:w="16" w:type="dxa"/>
              <w:left w:w="16" w:type="dxa"/>
              <w:right w:w="16" w:type="dxa"/>
            </w:tcMar>
            <w:vAlign w:val="center"/>
          </w:tcPr>
          <w:p>
            <w:pPr>
              <w:adjustRightInd w:val="0"/>
              <w:snapToGrid w:val="0"/>
              <w:jc w:val="center"/>
              <w:rPr>
                <w:color w:val="000000"/>
                <w:sz w:val="24"/>
              </w:rPr>
            </w:pPr>
            <w:r>
              <w:rPr>
                <w:color w:val="000000"/>
                <w:sz w:val="24"/>
              </w:rPr>
              <w:t>施工工期</w:t>
            </w:r>
          </w:p>
        </w:tc>
        <w:tc>
          <w:tcPr>
            <w:tcW w:w="2639" w:type="dxa"/>
            <w:vAlign w:val="center"/>
          </w:tcPr>
          <w:p>
            <w:pPr>
              <w:adjustRightInd w:val="0"/>
              <w:snapToGrid w:val="0"/>
              <w:jc w:val="center"/>
              <w:rPr>
                <w:color w:val="000000"/>
                <w:sz w:val="24"/>
              </w:rPr>
            </w:pPr>
            <w:r>
              <w:rPr>
                <w:rFonts w:hint="eastAsia"/>
                <w:color w:val="000000"/>
                <w:sz w:val="24"/>
              </w:rPr>
              <w:t>3</w:t>
            </w:r>
            <w:r>
              <w:rPr>
                <w:color w:val="000000"/>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sz w:val="24"/>
              </w:rPr>
            </w:pPr>
            <w:r>
              <w:rPr>
                <w:color w:val="000000"/>
                <w:sz w:val="24"/>
              </w:rPr>
              <w:t>是否开工建设</w:t>
            </w:r>
          </w:p>
        </w:tc>
        <w:tc>
          <w:tcPr>
            <w:tcW w:w="1637" w:type="dxa"/>
            <w:vAlign w:val="center"/>
          </w:tcPr>
          <w:p>
            <w:pPr>
              <w:adjustRightInd w:val="0"/>
              <w:snapToGrid w:val="0"/>
              <w:rPr>
                <w:color w:val="000000"/>
                <w:sz w:val="24"/>
              </w:rPr>
            </w:pPr>
            <w:r>
              <w:rPr>
                <w:color w:val="000000"/>
                <w:sz w:val="24"/>
              </w:rPr>
              <w:sym w:font="Wingdings 2" w:char="0052"/>
            </w:r>
            <w:r>
              <w:rPr>
                <w:color w:val="000000"/>
                <w:sz w:val="24"/>
              </w:rPr>
              <w:t>否</w:t>
            </w:r>
          </w:p>
          <w:p>
            <w:pPr>
              <w:adjustRightInd w:val="0"/>
              <w:snapToGrid w:val="0"/>
              <w:rPr>
                <w:color w:val="000000"/>
                <w:sz w:val="24"/>
              </w:rPr>
            </w:pPr>
            <w:r>
              <w:rPr>
                <w:color w:val="000000"/>
                <w:sz w:val="24"/>
              </w:rPr>
              <w:sym w:font="Wingdings 2" w:char="00A3"/>
            </w:r>
            <w:r>
              <w:rPr>
                <w:color w:val="000000"/>
                <w:sz w:val="24"/>
              </w:rPr>
              <w:t>是：</w:t>
            </w:r>
            <w:r>
              <w:rPr>
                <w:color w:val="000000"/>
                <w:sz w:val="24"/>
                <w:u w:val="single"/>
              </w:rPr>
              <w:t xml:space="preserve">             </w:t>
            </w:r>
          </w:p>
        </w:tc>
        <w:tc>
          <w:tcPr>
            <w:tcW w:w="2212" w:type="dxa"/>
            <w:tcMar>
              <w:top w:w="16" w:type="dxa"/>
              <w:left w:w="16" w:type="dxa"/>
              <w:right w:w="16" w:type="dxa"/>
            </w:tcMar>
            <w:vAlign w:val="center"/>
          </w:tcPr>
          <w:p>
            <w:pPr>
              <w:adjustRightInd w:val="0"/>
              <w:snapToGrid w:val="0"/>
              <w:jc w:val="center"/>
              <w:rPr>
                <w:color w:val="000000"/>
                <w:sz w:val="24"/>
              </w:rPr>
            </w:pPr>
            <w:r>
              <w:rPr>
                <w:color w:val="000000"/>
                <w:sz w:val="24"/>
              </w:rPr>
              <w:t>用地（用海）</w:t>
            </w:r>
          </w:p>
          <w:p>
            <w:pPr>
              <w:adjustRightInd w:val="0"/>
              <w:snapToGrid w:val="0"/>
              <w:jc w:val="center"/>
              <w:rPr>
                <w:color w:val="000000"/>
                <w:sz w:val="24"/>
              </w:rPr>
            </w:pPr>
            <w:r>
              <w:rPr>
                <w:color w:val="000000"/>
                <w:sz w:val="24"/>
              </w:rPr>
              <w:t>面积（m</w:t>
            </w:r>
            <w:r>
              <w:rPr>
                <w:color w:val="000000"/>
                <w:sz w:val="24"/>
                <w:vertAlign w:val="superscript"/>
              </w:rPr>
              <w:t>2</w:t>
            </w:r>
            <w:r>
              <w:rPr>
                <w:color w:val="000000"/>
                <w:sz w:val="24"/>
              </w:rPr>
              <w:t>）</w:t>
            </w:r>
          </w:p>
        </w:tc>
        <w:tc>
          <w:tcPr>
            <w:tcW w:w="2639" w:type="dxa"/>
            <w:vAlign w:val="center"/>
          </w:tcPr>
          <w:p>
            <w:pPr>
              <w:adjustRightInd w:val="0"/>
              <w:snapToGrid w:val="0"/>
              <w:jc w:val="center"/>
              <w:rPr>
                <w:color w:val="000000"/>
                <w:sz w:val="24"/>
              </w:rPr>
            </w:pPr>
            <w:r>
              <w:rPr>
                <w:rFonts w:hint="eastAsia"/>
                <w:color w:val="000000"/>
                <w:sz w:val="24"/>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000000"/>
                <w:kern w:val="0"/>
                <w:sz w:val="24"/>
              </w:rPr>
            </w:pPr>
            <w:r>
              <w:rPr>
                <w:color w:val="000000"/>
                <w:kern w:val="0"/>
                <w:sz w:val="24"/>
              </w:rPr>
              <w:t>专项评价设置情况</w:t>
            </w:r>
          </w:p>
        </w:tc>
        <w:tc>
          <w:tcPr>
            <w:tcW w:w="6488" w:type="dxa"/>
            <w:gridSpan w:val="3"/>
            <w:vAlign w:val="center"/>
          </w:tcPr>
          <w:p>
            <w:pPr>
              <w:autoSpaceDE w:val="0"/>
              <w:autoSpaceDN w:val="0"/>
              <w:adjustRightInd w:val="0"/>
              <w:snapToGrid w:val="0"/>
              <w:jc w:val="center"/>
              <w:rPr>
                <w:color w:val="000000"/>
                <w:kern w:val="0"/>
                <w:sz w:val="24"/>
              </w:rPr>
            </w:pPr>
            <w:r>
              <w:rPr>
                <w:color w:val="000000"/>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000000"/>
                <w:kern w:val="0"/>
                <w:sz w:val="24"/>
              </w:rPr>
            </w:pPr>
            <w:r>
              <w:rPr>
                <w:color w:val="000000"/>
                <w:kern w:val="0"/>
                <w:sz w:val="24"/>
              </w:rPr>
              <w:t>规划情况</w:t>
            </w:r>
          </w:p>
        </w:tc>
        <w:tc>
          <w:tcPr>
            <w:tcW w:w="6488" w:type="dxa"/>
            <w:gridSpan w:val="3"/>
            <w:vAlign w:val="center"/>
          </w:tcPr>
          <w:p>
            <w:pPr>
              <w:pStyle w:val="2"/>
              <w:numPr>
                <w:ilvl w:val="0"/>
                <w:numId w:val="0"/>
              </w:numPr>
              <w:spacing w:before="0" w:after="0" w:line="360" w:lineRule="auto"/>
              <w:rPr>
                <w:rFonts w:ascii="Times New Roman" w:hAnsi="Times New Roman" w:eastAsia="宋体"/>
                <w:b w:val="0"/>
                <w:bCs w:val="0"/>
                <w:kern w:val="0"/>
                <w:sz w:val="24"/>
              </w:rPr>
            </w:pPr>
            <w:r>
              <w:rPr>
                <w:rFonts w:ascii="Times New Roman" w:hAnsi="Times New Roman" w:eastAsia="宋体"/>
                <w:kern w:val="0"/>
                <w:sz w:val="24"/>
              </w:rPr>
              <w:t>规划名称</w:t>
            </w:r>
            <w:r>
              <w:rPr>
                <w:rFonts w:ascii="Times New Roman" w:hAnsi="Times New Roman" w:eastAsia="宋体"/>
                <w:b w:val="0"/>
                <w:bCs w:val="0"/>
                <w:kern w:val="0"/>
                <w:sz w:val="24"/>
              </w:rPr>
              <w:t>：《安徽泗县经济开发区总体发展规划(2013-2030)》；</w:t>
            </w:r>
          </w:p>
          <w:p>
            <w:pPr>
              <w:spacing w:line="360" w:lineRule="auto"/>
              <w:rPr>
                <w:bCs/>
                <w:sz w:val="24"/>
              </w:rPr>
            </w:pPr>
            <w:r>
              <w:rPr>
                <w:b/>
                <w:sz w:val="24"/>
              </w:rPr>
              <w:t>审批机关：</w:t>
            </w:r>
            <w:r>
              <w:rPr>
                <w:bCs/>
                <w:sz w:val="24"/>
              </w:rPr>
              <w:t>安徽省人民政府；</w:t>
            </w:r>
          </w:p>
          <w:p>
            <w:pPr>
              <w:pStyle w:val="9"/>
              <w:spacing w:before="0" w:after="0" w:line="360" w:lineRule="auto"/>
              <w:ind w:right="0"/>
              <w:rPr>
                <w:color w:val="000000"/>
                <w:sz w:val="24"/>
              </w:rPr>
            </w:pPr>
            <w:r>
              <w:rPr>
                <w:b/>
                <w:bCs/>
                <w:sz w:val="24"/>
                <w:szCs w:val="28"/>
              </w:rPr>
              <w:t>审批文件名称和文号：</w:t>
            </w:r>
            <w:r>
              <w:rPr>
                <w:sz w:val="24"/>
                <w:szCs w:val="28"/>
              </w:rPr>
              <w:t>《安徽省人民政府关于设立安徽泗县经济开发区的批复》</w:t>
            </w:r>
            <w:r>
              <w:rPr>
                <w:rFonts w:hint="eastAsia"/>
                <w:sz w:val="24"/>
                <w:szCs w:val="28"/>
              </w:rPr>
              <w:t>（</w:t>
            </w:r>
            <w:r>
              <w:rPr>
                <w:sz w:val="24"/>
                <w:szCs w:val="28"/>
              </w:rPr>
              <w:t>皖政秘[2006]136号</w:t>
            </w:r>
            <w:r>
              <w:rPr>
                <w:rFonts w:hint="eastAsia"/>
                <w:sz w:val="24"/>
                <w:szCs w:val="28"/>
              </w:rPr>
              <w:t>）</w:t>
            </w:r>
            <w:r>
              <w:rPr>
                <w:sz w:val="24"/>
                <w:szCs w:val="28"/>
              </w:rPr>
              <w:t>；</w:t>
            </w:r>
            <w:r>
              <w:rPr>
                <w:sz w:val="24"/>
                <w:szCs w:val="24"/>
              </w:rPr>
              <w:t>《安徽省人民政府关于同意安徽泗县经济开发区扩区的批复》</w:t>
            </w:r>
            <w:r>
              <w:rPr>
                <w:rFonts w:hint="eastAsia"/>
                <w:sz w:val="24"/>
                <w:szCs w:val="24"/>
              </w:rPr>
              <w:t>（</w:t>
            </w:r>
            <w:r>
              <w:rPr>
                <w:sz w:val="24"/>
                <w:szCs w:val="24"/>
              </w:rPr>
              <w:t>皖政秘[2014]124号</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000000"/>
                <w:kern w:val="0"/>
                <w:sz w:val="24"/>
              </w:rPr>
            </w:pPr>
            <w:r>
              <w:rPr>
                <w:color w:val="000000"/>
                <w:kern w:val="0"/>
                <w:sz w:val="24"/>
              </w:rPr>
              <w:t>规划环境影响</w:t>
            </w:r>
          </w:p>
          <w:p>
            <w:pPr>
              <w:autoSpaceDE w:val="0"/>
              <w:autoSpaceDN w:val="0"/>
              <w:adjustRightInd w:val="0"/>
              <w:snapToGrid w:val="0"/>
              <w:jc w:val="center"/>
              <w:rPr>
                <w:color w:val="000000"/>
                <w:kern w:val="0"/>
                <w:sz w:val="24"/>
              </w:rPr>
            </w:pPr>
            <w:r>
              <w:rPr>
                <w:color w:val="000000"/>
                <w:kern w:val="0"/>
                <w:sz w:val="24"/>
              </w:rPr>
              <w:t>评价情况</w:t>
            </w:r>
          </w:p>
        </w:tc>
        <w:tc>
          <w:tcPr>
            <w:tcW w:w="6488" w:type="dxa"/>
            <w:gridSpan w:val="3"/>
            <w:vAlign w:val="center"/>
          </w:tcPr>
          <w:p>
            <w:pPr>
              <w:autoSpaceDE w:val="0"/>
              <w:autoSpaceDN w:val="0"/>
              <w:adjustRightInd w:val="0"/>
              <w:snapToGrid w:val="0"/>
              <w:spacing w:line="360" w:lineRule="auto"/>
              <w:rPr>
                <w:sz w:val="24"/>
              </w:rPr>
            </w:pPr>
            <w:r>
              <w:rPr>
                <w:b/>
                <w:bCs/>
                <w:sz w:val="24"/>
              </w:rPr>
              <w:t>规划环境影响评价文件名称：</w:t>
            </w:r>
            <w:r>
              <w:rPr>
                <w:rFonts w:hint="eastAsia"/>
                <w:sz w:val="24"/>
              </w:rPr>
              <w:t>《安徽泗县经济开发区总体发展规划环境影响报告书》</w:t>
            </w:r>
          </w:p>
          <w:p>
            <w:pPr>
              <w:autoSpaceDE w:val="0"/>
              <w:autoSpaceDN w:val="0"/>
              <w:adjustRightInd w:val="0"/>
              <w:snapToGrid w:val="0"/>
              <w:spacing w:line="360" w:lineRule="auto"/>
              <w:rPr>
                <w:sz w:val="24"/>
              </w:rPr>
            </w:pPr>
            <w:r>
              <w:rPr>
                <w:rFonts w:hint="eastAsia"/>
                <w:b/>
                <w:bCs/>
                <w:sz w:val="24"/>
              </w:rPr>
              <w:t>审查机关：</w:t>
            </w:r>
            <w:r>
              <w:rPr>
                <w:rFonts w:hint="eastAsia"/>
                <w:sz w:val="24"/>
              </w:rPr>
              <w:t>安徽省环境保护厅</w:t>
            </w:r>
          </w:p>
          <w:p>
            <w:pPr>
              <w:widowControl/>
              <w:spacing w:line="360" w:lineRule="auto"/>
              <w:rPr>
                <w:sz w:val="24"/>
              </w:rPr>
            </w:pPr>
            <w:r>
              <w:rPr>
                <w:rFonts w:hint="eastAsia"/>
                <w:b/>
                <w:bCs/>
                <w:sz w:val="24"/>
              </w:rPr>
              <w:t>审查文件名称及文号：</w:t>
            </w:r>
            <w:r>
              <w:rPr>
                <w:rFonts w:hint="eastAsia"/>
                <w:sz w:val="24"/>
              </w:rPr>
              <w:t>《安徽省环保厅关于安徽泗县经济开发区总体发展规划环境影响报告书审查意见的函》皖环函（</w:t>
            </w:r>
            <w:r>
              <w:rPr>
                <w:sz w:val="24"/>
              </w:rPr>
              <w:t>[2014]645号</w:t>
            </w:r>
            <w:r>
              <w:rPr>
                <w:rFonts w:hint="eastAsia"/>
                <w:sz w:val="24"/>
              </w:rPr>
              <w:t>）</w:t>
            </w:r>
          </w:p>
          <w:p>
            <w:pPr>
              <w:autoSpaceDE w:val="0"/>
              <w:autoSpaceDN w:val="0"/>
              <w:adjustRightInd w:val="0"/>
              <w:snapToGrid w:val="0"/>
              <w:spacing w:line="360" w:lineRule="auto"/>
              <w:rPr>
                <w:sz w:val="24"/>
              </w:rPr>
            </w:pPr>
            <w:r>
              <w:rPr>
                <w:rFonts w:hint="eastAsia" w:ascii="宋体" w:hAnsi="宋体" w:cs="宋体"/>
                <w:b/>
                <w:bCs/>
                <w:kern w:val="0"/>
                <w:sz w:val="24"/>
              </w:rPr>
              <w:t>规划环境影响评价文件名称：</w:t>
            </w:r>
            <w:r>
              <w:rPr>
                <w:rFonts w:hint="eastAsia"/>
                <w:sz w:val="24"/>
              </w:rPr>
              <w:t>《安徽泗县经济开发区总体发展环境影响跟踪评价报告书》</w:t>
            </w:r>
          </w:p>
          <w:p>
            <w:pPr>
              <w:autoSpaceDE w:val="0"/>
              <w:autoSpaceDN w:val="0"/>
              <w:adjustRightInd w:val="0"/>
              <w:snapToGrid w:val="0"/>
              <w:spacing w:line="360" w:lineRule="auto"/>
              <w:rPr>
                <w:sz w:val="24"/>
              </w:rPr>
            </w:pPr>
            <w:r>
              <w:rPr>
                <w:rFonts w:hint="eastAsia" w:ascii="宋体" w:hAnsi="宋体" w:cs="宋体"/>
                <w:b/>
                <w:bCs/>
                <w:kern w:val="0"/>
                <w:sz w:val="24"/>
              </w:rPr>
              <w:t>审查机关</w:t>
            </w:r>
            <w:r>
              <w:rPr>
                <w:rFonts w:hint="eastAsia" w:ascii="宋体" w:hAnsi="宋体" w:cs="宋体"/>
                <w:kern w:val="0"/>
                <w:sz w:val="24"/>
              </w:rPr>
              <w:t>：宿州市生态环境局；</w:t>
            </w:r>
          </w:p>
          <w:p>
            <w:pPr>
              <w:autoSpaceDE w:val="0"/>
              <w:autoSpaceDN w:val="0"/>
              <w:adjustRightInd w:val="0"/>
              <w:snapToGrid w:val="0"/>
              <w:spacing w:line="360" w:lineRule="auto"/>
              <w:rPr>
                <w:color w:val="000000"/>
                <w:kern w:val="0"/>
                <w:sz w:val="24"/>
              </w:rPr>
            </w:pPr>
            <w:r>
              <w:rPr>
                <w:rFonts w:hint="eastAsia" w:ascii="宋体" w:hAnsi="宋体" w:cs="宋体"/>
                <w:b/>
                <w:bCs/>
                <w:kern w:val="0"/>
                <w:sz w:val="24"/>
              </w:rPr>
              <w:t>审查文件名称及文号：</w:t>
            </w:r>
            <w:r>
              <w:rPr>
                <w:rFonts w:hint="eastAsia"/>
                <w:sz w:val="24"/>
              </w:rPr>
              <w:t>《</w:t>
            </w:r>
            <w:r>
              <w:rPr>
                <w:rFonts w:hint="eastAsia" w:ascii="宋体" w:hAnsi="宋体" w:cs="宋体"/>
                <w:kern w:val="0"/>
                <w:sz w:val="24"/>
              </w:rPr>
              <w:t>宿州市生态环境局关于安徽泗县经济开发区总体发展规划环境影响跟踪评价报告书的审查意见</w:t>
            </w:r>
            <w:r>
              <w:rPr>
                <w:rFonts w:hint="eastAsia"/>
                <w:sz w:val="24"/>
              </w:rPr>
              <w:t>》（宿环函[2020]101号）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000000"/>
                <w:kern w:val="0"/>
                <w:sz w:val="24"/>
              </w:rPr>
            </w:pPr>
            <w:r>
              <w:rPr>
                <w:color w:val="000000"/>
                <w:kern w:val="0"/>
                <w:sz w:val="24"/>
              </w:rPr>
              <w:t>规划及规划环境</w:t>
            </w:r>
          </w:p>
          <w:p>
            <w:pPr>
              <w:autoSpaceDE w:val="0"/>
              <w:autoSpaceDN w:val="0"/>
              <w:adjustRightInd w:val="0"/>
              <w:snapToGrid w:val="0"/>
              <w:jc w:val="center"/>
              <w:rPr>
                <w:color w:val="000000"/>
                <w:kern w:val="0"/>
                <w:sz w:val="24"/>
              </w:rPr>
            </w:pPr>
            <w:r>
              <w:rPr>
                <w:color w:val="000000"/>
                <w:kern w:val="0"/>
                <w:sz w:val="24"/>
              </w:rPr>
              <w:t>影响评价符合性分析</w:t>
            </w:r>
          </w:p>
        </w:tc>
        <w:tc>
          <w:tcPr>
            <w:tcW w:w="6488" w:type="dxa"/>
            <w:gridSpan w:val="3"/>
            <w:vAlign w:val="center"/>
          </w:tcPr>
          <w:p>
            <w:pPr>
              <w:autoSpaceDE w:val="0"/>
              <w:autoSpaceDN w:val="0"/>
              <w:adjustRightInd w:val="0"/>
              <w:snapToGrid w:val="0"/>
              <w:spacing w:line="360" w:lineRule="auto"/>
              <w:rPr>
                <w:b/>
                <w:bCs/>
                <w:sz w:val="24"/>
              </w:rPr>
            </w:pPr>
            <w:r>
              <w:rPr>
                <w:b/>
                <w:bCs/>
                <w:sz w:val="24"/>
              </w:rPr>
              <w:t>一</w:t>
            </w:r>
            <w:r>
              <w:rPr>
                <w:rFonts w:hint="eastAsia"/>
                <w:b/>
                <w:bCs/>
                <w:sz w:val="24"/>
              </w:rPr>
              <w:t>、</w:t>
            </w:r>
            <w:r>
              <w:rPr>
                <w:b/>
                <w:bCs/>
                <w:sz w:val="24"/>
              </w:rPr>
              <w:t>本项目</w:t>
            </w:r>
            <w:r>
              <w:rPr>
                <w:rFonts w:hint="eastAsia"/>
                <w:b/>
                <w:bCs/>
                <w:sz w:val="24"/>
              </w:rPr>
              <w:t>与</w:t>
            </w:r>
            <w:r>
              <w:rPr>
                <w:b/>
                <w:bCs/>
                <w:sz w:val="24"/>
              </w:rPr>
              <w:t>泗县经济开发区规划</w:t>
            </w:r>
            <w:r>
              <w:rPr>
                <w:rFonts w:hint="eastAsia"/>
                <w:b/>
                <w:bCs/>
                <w:sz w:val="24"/>
              </w:rPr>
              <w:t>的符合性</w:t>
            </w:r>
            <w:r>
              <w:rPr>
                <w:b/>
                <w:bCs/>
                <w:sz w:val="24"/>
              </w:rPr>
              <w:t>分析</w:t>
            </w:r>
          </w:p>
          <w:p>
            <w:pPr>
              <w:autoSpaceDE w:val="0"/>
              <w:autoSpaceDN w:val="0"/>
              <w:adjustRightInd w:val="0"/>
              <w:snapToGrid w:val="0"/>
              <w:spacing w:line="360" w:lineRule="auto"/>
              <w:ind w:firstLine="480" w:firstLineChars="200"/>
              <w:rPr>
                <w:sz w:val="24"/>
              </w:rPr>
            </w:pPr>
            <w:r>
              <w:rPr>
                <w:sz w:val="24"/>
              </w:rPr>
              <w:t>1、泗县经济开发区规划范围及主导产业</w:t>
            </w:r>
          </w:p>
          <w:p>
            <w:pPr>
              <w:autoSpaceDE w:val="0"/>
              <w:autoSpaceDN w:val="0"/>
              <w:adjustRightInd w:val="0"/>
              <w:snapToGrid w:val="0"/>
              <w:spacing w:line="360" w:lineRule="auto"/>
              <w:ind w:firstLine="480" w:firstLineChars="200"/>
              <w:rPr>
                <w:color w:val="0000FF"/>
                <w:sz w:val="24"/>
              </w:rPr>
            </w:pPr>
            <w:r>
              <w:rPr>
                <w:kern w:val="0"/>
                <w:sz w:val="24"/>
              </w:rPr>
              <w:t>根据安徽泗县经济开发区总体发展规划，安徽泗县经济开发区的规划范围为原批复和扩区的全部范围，四至界限：东至东三环路；西至西三环路；南至新汴河；北至古汴河。规划总面积约18km</w:t>
            </w:r>
            <w:r>
              <w:rPr>
                <w:kern w:val="0"/>
                <w:sz w:val="24"/>
                <w:vertAlign w:val="superscript"/>
              </w:rPr>
              <w:t>2</w:t>
            </w:r>
            <w:r>
              <w:rPr>
                <w:kern w:val="0"/>
                <w:sz w:val="24"/>
              </w:rPr>
              <w:t>。主导产业为机械电子、纺织服装、农产品加工。</w:t>
            </w:r>
          </w:p>
          <w:p>
            <w:pPr>
              <w:autoSpaceDE w:val="0"/>
              <w:autoSpaceDN w:val="0"/>
              <w:adjustRightInd w:val="0"/>
              <w:snapToGrid w:val="0"/>
              <w:spacing w:line="360" w:lineRule="auto"/>
              <w:ind w:firstLine="480" w:firstLineChars="200"/>
              <w:rPr>
                <w:sz w:val="24"/>
              </w:rPr>
            </w:pPr>
            <w:r>
              <w:rPr>
                <w:rFonts w:hint="eastAsia"/>
                <w:sz w:val="24"/>
                <w:lang w:bidi="ar"/>
              </w:rPr>
              <w:t>2、</w:t>
            </w:r>
            <w:r>
              <w:rPr>
                <w:sz w:val="24"/>
                <w:lang w:bidi="ar"/>
              </w:rPr>
              <w:t>本项目用地</w:t>
            </w:r>
            <w:r>
              <w:rPr>
                <w:kern w:val="0"/>
                <w:sz w:val="24"/>
              </w:rPr>
              <w:t>性质</w:t>
            </w:r>
            <w:r>
              <w:rPr>
                <w:sz w:val="24"/>
                <w:lang w:bidi="ar"/>
              </w:rPr>
              <w:t>符合性分析</w:t>
            </w:r>
          </w:p>
          <w:p>
            <w:pPr>
              <w:spacing w:line="360" w:lineRule="auto"/>
              <w:ind w:firstLine="480" w:firstLineChars="200"/>
              <w:rPr>
                <w:sz w:val="24"/>
              </w:rPr>
            </w:pPr>
            <w:r>
              <w:rPr>
                <w:kern w:val="0"/>
                <w:sz w:val="24"/>
              </w:rPr>
              <w:t>本项目</w:t>
            </w:r>
            <w:r>
              <w:rPr>
                <w:rFonts w:ascii="宋体" w:hAnsi="宋体" w:cs="宋体"/>
                <w:sz w:val="24"/>
              </w:rPr>
              <w:t>位于泗县泗城镇新型工业园区</w:t>
            </w:r>
            <w:r>
              <w:rPr>
                <w:rFonts w:hint="eastAsia"/>
                <w:kern w:val="0"/>
                <w:sz w:val="24"/>
              </w:rPr>
              <w:t>吉顺驾校内</w:t>
            </w:r>
            <w:r>
              <w:rPr>
                <w:rFonts w:hint="eastAsia"/>
                <w:sz w:val="24"/>
              </w:rPr>
              <w:t>，</w:t>
            </w:r>
            <w:r>
              <w:rPr>
                <w:sz w:val="24"/>
              </w:rPr>
              <w:t>根据泗县经济开发区</w:t>
            </w:r>
            <w:r>
              <w:rPr>
                <w:rFonts w:hint="eastAsia"/>
                <w:sz w:val="24"/>
              </w:rPr>
              <w:t>规划</w:t>
            </w:r>
            <w:r>
              <w:rPr>
                <w:sz w:val="24"/>
              </w:rPr>
              <w:t>，本项目占地为工业用地，</w:t>
            </w:r>
            <w:r>
              <w:rPr>
                <w:rFonts w:ascii="宋体" w:hAnsi="宋体" w:cs="宋体"/>
                <w:sz w:val="24"/>
              </w:rPr>
              <w:t>因此</w:t>
            </w:r>
            <w:r>
              <w:rPr>
                <w:rFonts w:hint="eastAsia" w:ascii="宋体" w:hAnsi="宋体" w:cs="宋体"/>
                <w:sz w:val="24"/>
              </w:rPr>
              <w:t>，</w:t>
            </w:r>
            <w:r>
              <w:rPr>
                <w:sz w:val="24"/>
              </w:rPr>
              <w:t>用地性质符合要求。</w:t>
            </w:r>
          </w:p>
          <w:p>
            <w:pPr>
              <w:autoSpaceDE w:val="0"/>
              <w:autoSpaceDN w:val="0"/>
              <w:adjustRightInd w:val="0"/>
              <w:snapToGrid w:val="0"/>
              <w:spacing w:line="360" w:lineRule="auto"/>
              <w:ind w:firstLine="480" w:firstLineChars="200"/>
              <w:rPr>
                <w:sz w:val="24"/>
              </w:rPr>
            </w:pPr>
            <w:r>
              <w:rPr>
                <w:rFonts w:hint="eastAsia"/>
                <w:kern w:val="0"/>
                <w:sz w:val="24"/>
              </w:rPr>
              <w:t>3、</w:t>
            </w:r>
            <w:r>
              <w:rPr>
                <w:rFonts w:ascii="宋体" w:hAnsi="宋体" w:cs="宋体"/>
                <w:sz w:val="24"/>
              </w:rPr>
              <w:t>本项目与</w:t>
            </w:r>
            <w:r>
              <w:rPr>
                <w:sz w:val="24"/>
              </w:rPr>
              <w:t>泗县经济</w:t>
            </w:r>
            <w:r>
              <w:rPr>
                <w:kern w:val="0"/>
                <w:sz w:val="24"/>
              </w:rPr>
              <w:t>开发区</w:t>
            </w:r>
            <w:r>
              <w:rPr>
                <w:rFonts w:ascii="宋体" w:hAnsi="宋体" w:cs="宋体"/>
                <w:sz w:val="24"/>
              </w:rPr>
              <w:t>主导产业</w:t>
            </w:r>
            <w:r>
              <w:rPr>
                <w:rFonts w:hint="eastAsia"/>
                <w:sz w:val="24"/>
              </w:rPr>
              <w:t>符合性</w:t>
            </w:r>
            <w:r>
              <w:rPr>
                <w:rFonts w:ascii="宋体" w:hAnsi="宋体" w:cs="宋体"/>
                <w:sz w:val="24"/>
              </w:rPr>
              <w:t>分析</w:t>
            </w:r>
          </w:p>
          <w:p>
            <w:pPr>
              <w:autoSpaceDE w:val="0"/>
              <w:autoSpaceDN w:val="0"/>
              <w:adjustRightInd w:val="0"/>
              <w:snapToGrid w:val="0"/>
              <w:spacing w:line="360" w:lineRule="auto"/>
              <w:ind w:firstLine="420"/>
              <w:rPr>
                <w:rFonts w:ascii="宋体" w:hAnsi="宋体" w:cs="宋体"/>
                <w:kern w:val="0"/>
                <w:sz w:val="24"/>
              </w:rPr>
            </w:pPr>
            <w:r>
              <w:rPr>
                <w:rFonts w:hint="eastAsia" w:ascii="宋体" w:hAnsi="宋体" w:cs="宋体"/>
                <w:kern w:val="0"/>
                <w:sz w:val="24"/>
              </w:rPr>
              <w:t>本项目</w:t>
            </w:r>
            <w:r>
              <w:rPr>
                <w:rFonts w:hint="eastAsia"/>
                <w:sz w:val="24"/>
              </w:rPr>
              <w:t>国民经济行业类别为</w:t>
            </w:r>
            <w:r>
              <w:rPr>
                <w:sz w:val="24"/>
              </w:rPr>
              <w:t>G5941油气仓储</w:t>
            </w:r>
            <w:r>
              <w:rPr>
                <w:rFonts w:hint="eastAsia" w:ascii="宋体" w:hAnsi="宋体" w:cs="宋体"/>
                <w:kern w:val="0"/>
                <w:sz w:val="24"/>
              </w:rPr>
              <w:t>，不属于</w:t>
            </w:r>
            <w:r>
              <w:rPr>
                <w:rFonts w:ascii="宋体" w:hAnsi="宋体" w:cs="宋体"/>
                <w:sz w:val="24"/>
              </w:rPr>
              <w:t>泗县经济开发区规划环评中</w:t>
            </w:r>
            <w:r>
              <w:rPr>
                <w:rFonts w:hint="eastAsia" w:ascii="宋体" w:hAnsi="宋体" w:cs="宋体"/>
                <w:kern w:val="0"/>
                <w:sz w:val="24"/>
              </w:rPr>
              <w:t>禁止和限制入区的企业类别，与主导产业</w:t>
            </w:r>
            <w:r>
              <w:rPr>
                <w:rFonts w:ascii="宋体" w:hAnsi="宋体" w:cs="宋体"/>
                <w:sz w:val="24"/>
              </w:rPr>
              <w:t>虽</w:t>
            </w:r>
            <w:r>
              <w:rPr>
                <w:rFonts w:hint="eastAsia" w:ascii="宋体" w:hAnsi="宋体" w:cs="宋体"/>
                <w:kern w:val="0"/>
                <w:sz w:val="24"/>
              </w:rPr>
              <w:t>不完全符合，但是低能耗、轻污染</w:t>
            </w:r>
            <w:r>
              <w:rPr>
                <w:rFonts w:ascii="宋体" w:hAnsi="宋体" w:cs="宋体"/>
                <w:sz w:val="24"/>
              </w:rPr>
              <w:t>，与周边企业不存在冲突，可以相容</w:t>
            </w:r>
            <w:r>
              <w:rPr>
                <w:rFonts w:hint="eastAsia" w:ascii="宋体" w:hAnsi="宋体" w:cs="宋体"/>
                <w:sz w:val="24"/>
              </w:rPr>
              <w:t>，</w:t>
            </w:r>
            <w:r>
              <w:rPr>
                <w:rFonts w:ascii="宋体" w:hAnsi="宋体" w:cs="宋体"/>
                <w:sz w:val="24"/>
              </w:rPr>
              <w:t>因此</w:t>
            </w:r>
            <w:r>
              <w:rPr>
                <w:rFonts w:hint="eastAsia" w:ascii="宋体" w:hAnsi="宋体" w:cs="宋体"/>
                <w:kern w:val="0"/>
                <w:sz w:val="24"/>
              </w:rPr>
              <w:t>认为可以入区。基本符合规划要求。</w:t>
            </w:r>
          </w:p>
          <w:p>
            <w:pPr>
              <w:autoSpaceDE w:val="0"/>
              <w:autoSpaceDN w:val="0"/>
              <w:adjustRightInd w:val="0"/>
              <w:snapToGrid w:val="0"/>
              <w:spacing w:line="360" w:lineRule="auto"/>
              <w:rPr>
                <w:b/>
                <w:bCs/>
                <w:sz w:val="24"/>
              </w:rPr>
            </w:pPr>
            <w:r>
              <w:rPr>
                <w:rFonts w:ascii="宋体" w:hAnsi="宋体" w:cs="宋体"/>
                <w:sz w:val="24"/>
              </w:rPr>
              <w:t>二</w:t>
            </w:r>
            <w:r>
              <w:rPr>
                <w:b/>
                <w:bCs/>
                <w:sz w:val="24"/>
                <w:lang w:bidi="ar"/>
              </w:rPr>
              <w:t>、</w:t>
            </w:r>
            <w:r>
              <w:rPr>
                <w:b/>
                <w:bCs/>
                <w:color w:val="000000"/>
                <w:kern w:val="0"/>
                <w:sz w:val="24"/>
              </w:rPr>
              <w:t>本项目</w:t>
            </w:r>
            <w:r>
              <w:rPr>
                <w:b/>
                <w:bCs/>
                <w:sz w:val="24"/>
                <w:lang w:bidi="ar"/>
              </w:rPr>
              <w:t>与</w:t>
            </w:r>
            <w:r>
              <w:rPr>
                <w:rFonts w:ascii="宋体" w:hAnsi="宋体" w:cs="宋体"/>
                <w:b/>
                <w:bCs/>
                <w:sz w:val="24"/>
              </w:rPr>
              <w:t>安徽省环保厅关于安徽泗县经济开发区总体发展规划环境影响报告书审查意见的</w:t>
            </w:r>
            <w:r>
              <w:rPr>
                <w:b/>
                <w:bCs/>
                <w:sz w:val="24"/>
              </w:rPr>
              <w:t>函</w:t>
            </w:r>
            <w:r>
              <w:rPr>
                <w:b/>
                <w:bCs/>
                <w:sz w:val="24"/>
                <w:lang w:bidi="ar"/>
              </w:rPr>
              <w:t>的符合性</w:t>
            </w:r>
          </w:p>
          <w:p>
            <w:pPr>
              <w:widowControl/>
              <w:spacing w:line="360" w:lineRule="auto"/>
              <w:ind w:firstLine="480" w:firstLineChars="200"/>
              <w:jc w:val="left"/>
              <w:rPr>
                <w:sz w:val="24"/>
                <w:lang w:bidi="ar"/>
              </w:rPr>
            </w:pPr>
            <w:r>
              <w:rPr>
                <w:sz w:val="24"/>
              </w:rPr>
              <w:t>根据《</w:t>
            </w:r>
            <w:r>
              <w:rPr>
                <w:rFonts w:ascii="宋体" w:hAnsi="宋体" w:cs="宋体"/>
                <w:sz w:val="24"/>
              </w:rPr>
              <w:t>安徽省环保厅关于安徽泗县经济开发区总体发展规划环境影响报告书审查意见的</w:t>
            </w:r>
            <w:r>
              <w:rPr>
                <w:sz w:val="24"/>
              </w:rPr>
              <w:t>函》（皖环函[2014]645号），本项目与审查意见相符性分析见下表所示。</w:t>
            </w:r>
          </w:p>
          <w:p>
            <w:pPr>
              <w:widowControl/>
              <w:spacing w:line="360" w:lineRule="auto"/>
              <w:jc w:val="center"/>
              <w:rPr>
                <w:rFonts w:ascii="宋体" w:hAnsi="宋体" w:cs="宋体"/>
                <w:sz w:val="24"/>
              </w:rPr>
            </w:pPr>
            <w:r>
              <w:rPr>
                <w:rFonts w:ascii="宋体" w:hAnsi="宋体" w:cs="宋体"/>
                <w:sz w:val="24"/>
              </w:rPr>
              <w:t>（注：此处仅列举与本项目相关的安徽泗县经济开发区总体发展规划环境影响报告书</w:t>
            </w:r>
            <w:r>
              <w:rPr>
                <w:rFonts w:hint="eastAsia" w:ascii="宋体" w:hAnsi="宋体" w:cs="宋体"/>
                <w:sz w:val="24"/>
              </w:rPr>
              <w:t>的</w:t>
            </w:r>
            <w:r>
              <w:rPr>
                <w:rFonts w:ascii="宋体" w:hAnsi="宋体" w:cs="宋体"/>
                <w:sz w:val="24"/>
              </w:rPr>
              <w:t>审查意见）</w:t>
            </w:r>
          </w:p>
          <w:p>
            <w:pPr>
              <w:widowControl/>
              <w:spacing w:line="360" w:lineRule="auto"/>
              <w:jc w:val="center"/>
              <w:rPr>
                <w:b/>
                <w:bCs/>
                <w:sz w:val="24"/>
                <w:lang w:bidi="ar"/>
              </w:rPr>
            </w:pPr>
            <w:r>
              <w:rPr>
                <w:b/>
                <w:bCs/>
                <w:sz w:val="24"/>
                <w:lang w:bidi="ar"/>
              </w:rPr>
              <w:t>表1-1  项目与规划环评审查意见</w:t>
            </w:r>
            <w:r>
              <w:rPr>
                <w:rFonts w:ascii="宋体" w:hAnsi="宋体" w:cs="宋体"/>
                <w:b/>
                <w:bCs/>
                <w:sz w:val="24"/>
              </w:rPr>
              <w:t>的</w:t>
            </w:r>
            <w:r>
              <w:rPr>
                <w:b/>
                <w:bCs/>
                <w:sz w:val="24"/>
              </w:rPr>
              <w:t>函</w:t>
            </w:r>
            <w:r>
              <w:rPr>
                <w:b/>
                <w:bCs/>
                <w:sz w:val="24"/>
                <w:lang w:bidi="ar"/>
              </w:rPr>
              <w:t>符合性分析</w:t>
            </w:r>
          </w:p>
          <w:tbl>
            <w:tblPr>
              <w:tblStyle w:val="23"/>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33"/>
              <w:gridCol w:w="187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b/>
                      <w:bCs/>
                      <w:szCs w:val="21"/>
                      <w:lang w:bidi="ar"/>
                    </w:rPr>
                  </w:pPr>
                  <w:r>
                    <w:rPr>
                      <w:b/>
                      <w:bCs/>
                      <w:szCs w:val="21"/>
                      <w:lang w:bidi="ar"/>
                    </w:rPr>
                    <w:t>序号</w:t>
                  </w:r>
                </w:p>
              </w:tc>
              <w:tc>
                <w:tcPr>
                  <w:tcW w:w="2933" w:type="dxa"/>
                  <w:vAlign w:val="center"/>
                </w:tcPr>
                <w:p>
                  <w:pPr>
                    <w:widowControl/>
                    <w:jc w:val="center"/>
                    <w:rPr>
                      <w:b/>
                      <w:bCs/>
                      <w:szCs w:val="21"/>
                      <w:lang w:bidi="ar"/>
                    </w:rPr>
                  </w:pPr>
                  <w:r>
                    <w:rPr>
                      <w:b/>
                      <w:bCs/>
                      <w:szCs w:val="21"/>
                      <w:lang w:bidi="ar"/>
                    </w:rPr>
                    <w:t>审查意见</w:t>
                  </w:r>
                </w:p>
              </w:tc>
              <w:tc>
                <w:tcPr>
                  <w:tcW w:w="1879" w:type="dxa"/>
                  <w:vAlign w:val="center"/>
                </w:tcPr>
                <w:p>
                  <w:pPr>
                    <w:widowControl/>
                    <w:jc w:val="center"/>
                    <w:rPr>
                      <w:b/>
                      <w:bCs/>
                      <w:szCs w:val="21"/>
                      <w:lang w:bidi="ar"/>
                    </w:rPr>
                  </w:pPr>
                  <w:r>
                    <w:rPr>
                      <w:b/>
                      <w:bCs/>
                      <w:szCs w:val="21"/>
                      <w:lang w:bidi="ar"/>
                    </w:rPr>
                    <w:t>本项目</w:t>
                  </w:r>
                </w:p>
              </w:tc>
              <w:tc>
                <w:tcPr>
                  <w:tcW w:w="906" w:type="dxa"/>
                  <w:vAlign w:val="center"/>
                </w:tcPr>
                <w:p>
                  <w:pPr>
                    <w:widowControl/>
                    <w:jc w:val="center"/>
                    <w:rPr>
                      <w:b/>
                      <w:bCs/>
                      <w:szCs w:val="21"/>
                      <w:lang w:bidi="ar"/>
                    </w:rPr>
                  </w:pPr>
                  <w:r>
                    <w:rPr>
                      <w:b/>
                      <w:bCs/>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szCs w:val="21"/>
                      <w:lang w:bidi="ar"/>
                    </w:rPr>
                  </w:pPr>
                  <w:r>
                    <w:rPr>
                      <w:szCs w:val="21"/>
                      <w:lang w:bidi="ar"/>
                    </w:rPr>
                    <w:t>1</w:t>
                  </w:r>
                </w:p>
              </w:tc>
              <w:tc>
                <w:tcPr>
                  <w:tcW w:w="2933" w:type="dxa"/>
                  <w:vAlign w:val="center"/>
                </w:tcPr>
                <w:p>
                  <w:pPr>
                    <w:widowControl/>
                    <w:jc w:val="center"/>
                    <w:rPr>
                      <w:szCs w:val="21"/>
                      <w:lang w:bidi="ar"/>
                    </w:rPr>
                  </w:pPr>
                  <w:r>
                    <w:rPr>
                      <w:szCs w:val="21"/>
                      <w:lang w:bidi="ar"/>
                    </w:rPr>
                    <w:t>严格项目行业准入和资源环境准入。禁止负面清单中行业企业入驻；新入区项目应按照规划功能布局入驻。优化调整开发区空间布局、组团结构，设置生态隔离措施，减轻和避免各功能区之间、项目之间的相互影响。</w:t>
                  </w:r>
                </w:p>
              </w:tc>
              <w:tc>
                <w:tcPr>
                  <w:tcW w:w="1879" w:type="dxa"/>
                  <w:vAlign w:val="center"/>
                </w:tcPr>
                <w:p>
                  <w:pPr>
                    <w:widowControl/>
                    <w:jc w:val="center"/>
                    <w:rPr>
                      <w:szCs w:val="21"/>
                      <w:lang w:bidi="ar"/>
                    </w:rPr>
                  </w:pPr>
                  <w:r>
                    <w:rPr>
                      <w:szCs w:val="21"/>
                      <w:lang w:bidi="ar"/>
                    </w:rPr>
                    <w:t>根据以上规划符合性分析，本项目不属于负面清单中的行业企业</w:t>
                  </w:r>
                </w:p>
              </w:tc>
              <w:tc>
                <w:tcPr>
                  <w:tcW w:w="906"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szCs w:val="21"/>
                      <w:lang w:bidi="ar"/>
                    </w:rPr>
                  </w:pPr>
                  <w:r>
                    <w:rPr>
                      <w:szCs w:val="21"/>
                      <w:lang w:bidi="ar"/>
                    </w:rPr>
                    <w:t>2</w:t>
                  </w:r>
                </w:p>
              </w:tc>
              <w:tc>
                <w:tcPr>
                  <w:tcW w:w="2933" w:type="dxa"/>
                  <w:vAlign w:val="center"/>
                </w:tcPr>
                <w:p>
                  <w:pPr>
                    <w:widowControl/>
                    <w:jc w:val="center"/>
                    <w:rPr>
                      <w:szCs w:val="21"/>
                      <w:lang w:bidi="ar"/>
                    </w:rPr>
                  </w:pPr>
                  <w:r>
                    <w:rPr>
                      <w:szCs w:val="21"/>
                      <w:lang w:bidi="ar"/>
                    </w:rPr>
                    <w:t>强化水资源管理，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tc>
              <w:tc>
                <w:tcPr>
                  <w:tcW w:w="1879" w:type="dxa"/>
                  <w:vAlign w:val="center"/>
                </w:tcPr>
                <w:p>
                  <w:pPr>
                    <w:widowControl/>
                    <w:jc w:val="center"/>
                    <w:rPr>
                      <w:szCs w:val="21"/>
                      <w:lang w:bidi="ar"/>
                    </w:rPr>
                  </w:pPr>
                  <w:r>
                    <w:rPr>
                      <w:szCs w:val="21"/>
                      <w:lang w:bidi="ar"/>
                    </w:rPr>
                    <w:t>本项目用水来自园区自来水管网，不自建备用水井，项目不属于国家明令禁止的项目，项目不属于高耗能、污水排放量大的项目</w:t>
                  </w:r>
                </w:p>
              </w:tc>
              <w:tc>
                <w:tcPr>
                  <w:tcW w:w="906"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szCs w:val="21"/>
                      <w:lang w:bidi="ar"/>
                    </w:rPr>
                  </w:pPr>
                  <w:r>
                    <w:rPr>
                      <w:szCs w:val="21"/>
                      <w:lang w:bidi="ar"/>
                    </w:rPr>
                    <w:t>3</w:t>
                  </w:r>
                </w:p>
              </w:tc>
              <w:tc>
                <w:tcPr>
                  <w:tcW w:w="2933" w:type="dxa"/>
                  <w:vAlign w:val="center"/>
                </w:tcPr>
                <w:p>
                  <w:pPr>
                    <w:widowControl/>
                    <w:jc w:val="center"/>
                    <w:rPr>
                      <w:szCs w:val="21"/>
                      <w:lang w:bidi="ar"/>
                    </w:rPr>
                  </w:pPr>
                  <w:r>
                    <w:rPr>
                      <w:szCs w:val="21"/>
                      <w:lang w:bidi="ar"/>
                    </w:rPr>
                    <w:t>进一步优化发展重点，严格控制非主导产业项目入区。对不符合开发区产业定位和环保要求以及容易引起突发性环境风险的项目应禁止入区建设。建立并实施不符合规划、产业准入和环保准入条件的项目退出机制。大力推进园区产业升级改造工程，通过关、停、并、转、迁，加速转型或淘汰不符合工业用地性质、产业定位及环保要求的企业</w:t>
                  </w:r>
                </w:p>
              </w:tc>
              <w:tc>
                <w:tcPr>
                  <w:tcW w:w="1879" w:type="dxa"/>
                  <w:vAlign w:val="center"/>
                </w:tcPr>
                <w:p>
                  <w:pPr>
                    <w:widowControl/>
                    <w:jc w:val="center"/>
                    <w:rPr>
                      <w:szCs w:val="21"/>
                      <w:lang w:bidi="ar"/>
                    </w:rPr>
                  </w:pPr>
                  <w:r>
                    <w:rPr>
                      <w:rFonts w:hint="eastAsia"/>
                      <w:szCs w:val="21"/>
                      <w:lang w:bidi="ar"/>
                    </w:rPr>
                    <w:t>本项目国民经济行业类别为</w:t>
                  </w:r>
                  <w:r>
                    <w:rPr>
                      <w:szCs w:val="21"/>
                      <w:lang w:bidi="ar"/>
                    </w:rPr>
                    <w:t>G5941油气仓储</w:t>
                  </w:r>
                  <w:r>
                    <w:rPr>
                      <w:rFonts w:hint="eastAsia"/>
                      <w:szCs w:val="21"/>
                      <w:lang w:bidi="ar"/>
                    </w:rPr>
                    <w:t>，不属于</w:t>
                  </w:r>
                  <w:r>
                    <w:rPr>
                      <w:szCs w:val="21"/>
                      <w:lang w:bidi="ar"/>
                    </w:rPr>
                    <w:t>泗县经济开发区规划环评中</w:t>
                  </w:r>
                  <w:r>
                    <w:rPr>
                      <w:rFonts w:hint="eastAsia"/>
                      <w:szCs w:val="21"/>
                      <w:lang w:bidi="ar"/>
                    </w:rPr>
                    <w:t>禁止和限制入区的企业类别，与主导产业</w:t>
                  </w:r>
                  <w:r>
                    <w:rPr>
                      <w:szCs w:val="21"/>
                      <w:lang w:bidi="ar"/>
                    </w:rPr>
                    <w:t>虽</w:t>
                  </w:r>
                  <w:r>
                    <w:rPr>
                      <w:rFonts w:hint="eastAsia"/>
                      <w:szCs w:val="21"/>
                      <w:lang w:bidi="ar"/>
                    </w:rPr>
                    <w:t>不完全符合，但是低能耗、轻污染</w:t>
                  </w:r>
                  <w:r>
                    <w:rPr>
                      <w:szCs w:val="21"/>
                      <w:lang w:bidi="ar"/>
                    </w:rPr>
                    <w:t>，与周边企业不存在冲突，可以相容</w:t>
                  </w:r>
                  <w:r>
                    <w:rPr>
                      <w:rFonts w:hint="eastAsia"/>
                      <w:szCs w:val="21"/>
                      <w:lang w:bidi="ar"/>
                    </w:rPr>
                    <w:t>，</w:t>
                  </w:r>
                  <w:r>
                    <w:rPr>
                      <w:szCs w:val="21"/>
                      <w:lang w:bidi="ar"/>
                    </w:rPr>
                    <w:t>因此</w:t>
                  </w:r>
                  <w:r>
                    <w:rPr>
                      <w:rFonts w:hint="eastAsia"/>
                      <w:szCs w:val="21"/>
                      <w:lang w:bidi="ar"/>
                    </w:rPr>
                    <w:t>认为可以入区。</w:t>
                  </w:r>
                </w:p>
              </w:tc>
              <w:tc>
                <w:tcPr>
                  <w:tcW w:w="906"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szCs w:val="21"/>
                      <w:lang w:bidi="ar"/>
                    </w:rPr>
                  </w:pPr>
                  <w:r>
                    <w:rPr>
                      <w:szCs w:val="21"/>
                      <w:lang w:bidi="ar"/>
                    </w:rPr>
                    <w:t>4</w:t>
                  </w:r>
                </w:p>
              </w:tc>
              <w:tc>
                <w:tcPr>
                  <w:tcW w:w="2933" w:type="dxa"/>
                  <w:vAlign w:val="center"/>
                </w:tcPr>
                <w:p>
                  <w:pPr>
                    <w:widowControl/>
                    <w:jc w:val="center"/>
                    <w:rPr>
                      <w:szCs w:val="21"/>
                      <w:lang w:bidi="ar"/>
                    </w:rPr>
                  </w:pPr>
                  <w:r>
                    <w:rPr>
                      <w:szCs w:val="21"/>
                      <w:lang w:bidi="ar"/>
                    </w:rPr>
                    <w:t>加快实施产业结构调整与升级，夯实主导产业定位，逐步实现产业转型；建立产业引入清单管理，严格执行环境准入制度。引进项目的生产工艺、设备、污染治理技术及单位产品污染物排放和资源利用率均需达到同行业国内先进水平。</w:t>
                  </w:r>
                </w:p>
              </w:tc>
              <w:tc>
                <w:tcPr>
                  <w:tcW w:w="1879" w:type="dxa"/>
                  <w:vAlign w:val="center"/>
                </w:tcPr>
                <w:p>
                  <w:pPr>
                    <w:widowControl/>
                    <w:jc w:val="center"/>
                    <w:rPr>
                      <w:szCs w:val="21"/>
                      <w:lang w:bidi="ar"/>
                    </w:rPr>
                  </w:pPr>
                  <w:r>
                    <w:rPr>
                      <w:szCs w:val="21"/>
                      <w:lang w:bidi="ar"/>
                    </w:rPr>
                    <w:t>本项目使用的生产工艺、设备、污染治理技术及单位产品污染物排放标准和资源利用率均可达到同行业国内先进水平</w:t>
                  </w:r>
                </w:p>
              </w:tc>
              <w:tc>
                <w:tcPr>
                  <w:tcW w:w="906"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szCs w:val="21"/>
                      <w:lang w:bidi="ar"/>
                    </w:rPr>
                  </w:pPr>
                  <w:r>
                    <w:rPr>
                      <w:szCs w:val="21"/>
                      <w:lang w:bidi="ar"/>
                    </w:rPr>
                    <w:t>5</w:t>
                  </w:r>
                </w:p>
              </w:tc>
              <w:tc>
                <w:tcPr>
                  <w:tcW w:w="2933" w:type="dxa"/>
                  <w:vAlign w:val="center"/>
                </w:tcPr>
                <w:p>
                  <w:pPr>
                    <w:widowControl/>
                    <w:jc w:val="center"/>
                    <w:rPr>
                      <w:szCs w:val="21"/>
                      <w:lang w:bidi="ar"/>
                    </w:rPr>
                  </w:pPr>
                  <w:r>
                    <w:rPr>
                      <w:szCs w:val="21"/>
                      <w:lang w:bidi="ar"/>
                    </w:rPr>
                    <w:t>扎实推进节能减排工作。应采取工艺改造、节水管理等措施控制和减少现有企业的资源消耗水平及污染物排放强度。加强挥发性有机物防治，园区现有主要VOCs及异味废气排放企业开展综合治理工作，加强日常监测、监督管理和预防控制</w:t>
                  </w:r>
                </w:p>
              </w:tc>
              <w:tc>
                <w:tcPr>
                  <w:tcW w:w="1879" w:type="dxa"/>
                  <w:vAlign w:val="center"/>
                </w:tcPr>
                <w:p>
                  <w:pPr>
                    <w:widowControl/>
                    <w:jc w:val="center"/>
                    <w:rPr>
                      <w:szCs w:val="21"/>
                      <w:lang w:bidi="ar"/>
                    </w:rPr>
                  </w:pPr>
                  <w:r>
                    <w:rPr>
                      <w:szCs w:val="21"/>
                      <w:lang w:bidi="ar"/>
                    </w:rPr>
                    <w:t>本项目无VOCs原辅材料使用</w:t>
                  </w:r>
                </w:p>
              </w:tc>
              <w:tc>
                <w:tcPr>
                  <w:tcW w:w="906"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color w:val="000000"/>
                      <w:szCs w:val="21"/>
                    </w:rPr>
                  </w:pPr>
                  <w:r>
                    <w:rPr>
                      <w:color w:val="000000"/>
                      <w:szCs w:val="21"/>
                    </w:rPr>
                    <w:t>6</w:t>
                  </w:r>
                </w:p>
              </w:tc>
              <w:tc>
                <w:tcPr>
                  <w:tcW w:w="2933" w:type="dxa"/>
                  <w:vAlign w:val="center"/>
                </w:tcPr>
                <w:p>
                  <w:pPr>
                    <w:widowControl/>
                    <w:jc w:val="center"/>
                    <w:rPr>
                      <w:color w:val="000000"/>
                      <w:szCs w:val="21"/>
                    </w:rPr>
                  </w:pPr>
                  <w:r>
                    <w:rPr>
                      <w:color w:val="000000"/>
                      <w:szCs w:val="21"/>
                    </w:rPr>
                    <w:t>严格落实污染物排放总量控制要求，采取有效措施减少粉尘、挥发性有机物、化学需氧量、氨氮、总氮、总磷等污染物的排放量，切实维护区域环境质量和生态功能。</w:t>
                  </w:r>
                </w:p>
              </w:tc>
              <w:tc>
                <w:tcPr>
                  <w:tcW w:w="1879" w:type="dxa"/>
                  <w:vAlign w:val="center"/>
                </w:tcPr>
                <w:p>
                  <w:pPr>
                    <w:widowControl/>
                    <w:jc w:val="center"/>
                    <w:rPr>
                      <w:color w:val="FF0000"/>
                      <w:szCs w:val="21"/>
                      <w:lang w:bidi="ar"/>
                    </w:rPr>
                  </w:pPr>
                  <w:r>
                    <w:rPr>
                      <w:color w:val="000000"/>
                      <w:szCs w:val="21"/>
                    </w:rPr>
                    <w:t>本项目</w:t>
                  </w:r>
                  <w:r>
                    <w:rPr>
                      <w:rFonts w:hint="eastAsia"/>
                      <w:color w:val="000000"/>
                      <w:szCs w:val="21"/>
                    </w:rPr>
                    <w:t>为</w:t>
                  </w:r>
                  <w:r>
                    <w:rPr>
                      <w:rFonts w:hint="eastAsia"/>
                      <w:szCs w:val="21"/>
                    </w:rPr>
                    <w:t>油气仓储</w:t>
                  </w:r>
                  <w:r>
                    <w:rPr>
                      <w:color w:val="000000"/>
                      <w:szCs w:val="21"/>
                    </w:rPr>
                    <w:t>，项目采用高效密封储罐储存原料，溢出的少量油气由油气回收装置，油气回收率＞90%。</w:t>
                  </w:r>
                </w:p>
              </w:tc>
              <w:tc>
                <w:tcPr>
                  <w:tcW w:w="906" w:type="dxa"/>
                  <w:vAlign w:val="center"/>
                </w:tcPr>
                <w:p>
                  <w:pPr>
                    <w:widowControl/>
                    <w:jc w:val="center"/>
                    <w:rPr>
                      <w:szCs w:val="21"/>
                      <w:lang w:bidi="ar"/>
                    </w:rPr>
                  </w:pPr>
                  <w:r>
                    <w:rPr>
                      <w:szCs w:val="21"/>
                      <w:lang w:bidi="ar"/>
                    </w:rPr>
                    <w:t>符合</w:t>
                  </w:r>
                </w:p>
              </w:tc>
            </w:tr>
          </w:tbl>
          <w:p>
            <w:pPr>
              <w:autoSpaceDE w:val="0"/>
              <w:autoSpaceDN w:val="0"/>
              <w:adjustRightInd w:val="0"/>
              <w:snapToGrid w:val="0"/>
              <w:spacing w:line="360" w:lineRule="auto"/>
              <w:rPr>
                <w:sz w:val="24"/>
              </w:rPr>
            </w:pPr>
            <w:r>
              <w:rPr>
                <w:rFonts w:ascii="宋体" w:hAnsi="宋体" w:cs="宋体"/>
                <w:sz w:val="24"/>
              </w:rPr>
              <w:t>三、</w:t>
            </w:r>
            <w:r>
              <w:rPr>
                <w:b/>
                <w:bCs/>
                <w:color w:val="000000"/>
                <w:kern w:val="0"/>
                <w:sz w:val="24"/>
              </w:rPr>
              <w:t>本项目</w:t>
            </w:r>
            <w:r>
              <w:rPr>
                <w:b/>
                <w:bCs/>
                <w:sz w:val="24"/>
                <w:lang w:bidi="ar"/>
              </w:rPr>
              <w:t>与</w:t>
            </w:r>
            <w:r>
              <w:rPr>
                <w:b/>
                <w:bCs/>
                <w:kern w:val="0"/>
                <w:sz w:val="24"/>
              </w:rPr>
              <w:t>宿州市生</w:t>
            </w:r>
            <w:r>
              <w:rPr>
                <w:rFonts w:hint="eastAsia" w:ascii="宋体" w:hAnsi="宋体" w:cs="宋体"/>
                <w:b/>
                <w:bCs/>
                <w:kern w:val="0"/>
                <w:sz w:val="24"/>
              </w:rPr>
              <w:t>态环境局关于安徽泗县经济开发区总体发展规划环境影响跟踪评价报告书的审查意见</w:t>
            </w:r>
            <w:r>
              <w:rPr>
                <w:b/>
                <w:bCs/>
                <w:sz w:val="24"/>
                <w:lang w:bidi="ar"/>
              </w:rPr>
              <w:t>的符合性</w:t>
            </w:r>
          </w:p>
          <w:p>
            <w:pPr>
              <w:widowControl/>
              <w:spacing w:line="360" w:lineRule="auto"/>
              <w:ind w:firstLine="480" w:firstLineChars="200"/>
              <w:jc w:val="left"/>
              <w:rPr>
                <w:sz w:val="24"/>
                <w:lang w:bidi="ar"/>
              </w:rPr>
            </w:pPr>
            <w:r>
              <w:rPr>
                <w:sz w:val="24"/>
              </w:rPr>
              <w:t>根据《</w:t>
            </w:r>
            <w:r>
              <w:rPr>
                <w:kern w:val="0"/>
                <w:sz w:val="24"/>
              </w:rPr>
              <w:t>宿州市生</w:t>
            </w:r>
            <w:r>
              <w:rPr>
                <w:rFonts w:hint="eastAsia" w:ascii="宋体" w:hAnsi="宋体" w:cs="宋体"/>
                <w:kern w:val="0"/>
                <w:sz w:val="24"/>
              </w:rPr>
              <w:t>态环境局关于安徽泗县经济开发区总体发展规划环境影响跟踪评价报告书的审查意见</w:t>
            </w:r>
            <w:r>
              <w:rPr>
                <w:rFonts w:hint="eastAsia"/>
                <w:sz w:val="24"/>
              </w:rPr>
              <w:t>》宿环函[2020]101号</w:t>
            </w:r>
            <w:r>
              <w:rPr>
                <w:sz w:val="24"/>
              </w:rPr>
              <w:t>，本项目与审查意见相符性分析见下表所示。</w:t>
            </w:r>
          </w:p>
          <w:p>
            <w:pPr>
              <w:widowControl/>
              <w:spacing w:line="360" w:lineRule="auto"/>
              <w:jc w:val="center"/>
              <w:rPr>
                <w:b/>
                <w:bCs/>
                <w:sz w:val="24"/>
                <w:lang w:bidi="ar"/>
              </w:rPr>
            </w:pPr>
            <w:r>
              <w:rPr>
                <w:rFonts w:ascii="宋体" w:hAnsi="宋体" w:cs="宋体"/>
                <w:sz w:val="24"/>
              </w:rPr>
              <w:t>（注：此处仅列举与本项目相关的安徽泗县经济开发区总体发展规划环境影响</w:t>
            </w:r>
            <w:r>
              <w:rPr>
                <w:rFonts w:hint="eastAsia" w:ascii="宋体" w:hAnsi="宋体" w:cs="宋体"/>
                <w:kern w:val="0"/>
                <w:sz w:val="24"/>
              </w:rPr>
              <w:t>跟踪评价报告书</w:t>
            </w:r>
            <w:r>
              <w:rPr>
                <w:rFonts w:hint="eastAsia" w:ascii="宋体" w:hAnsi="宋体" w:cs="宋体"/>
                <w:sz w:val="24"/>
              </w:rPr>
              <w:t>的</w:t>
            </w:r>
            <w:r>
              <w:rPr>
                <w:rFonts w:ascii="宋体" w:hAnsi="宋体" w:cs="宋体"/>
                <w:sz w:val="24"/>
              </w:rPr>
              <w:t>审查意见）</w:t>
            </w:r>
          </w:p>
          <w:p>
            <w:pPr>
              <w:widowControl/>
              <w:spacing w:line="360" w:lineRule="auto"/>
              <w:jc w:val="center"/>
              <w:rPr>
                <w:b/>
                <w:bCs/>
                <w:sz w:val="24"/>
                <w:lang w:bidi="ar"/>
              </w:rPr>
            </w:pPr>
            <w:r>
              <w:rPr>
                <w:b/>
                <w:bCs/>
                <w:sz w:val="24"/>
                <w:lang w:bidi="ar"/>
              </w:rPr>
              <w:t>表1-</w:t>
            </w:r>
            <w:r>
              <w:rPr>
                <w:rFonts w:hint="eastAsia"/>
                <w:b/>
                <w:bCs/>
                <w:sz w:val="24"/>
                <w:lang w:bidi="ar"/>
              </w:rPr>
              <w:t>2</w:t>
            </w:r>
            <w:r>
              <w:rPr>
                <w:b/>
                <w:bCs/>
                <w:sz w:val="24"/>
                <w:lang w:bidi="ar"/>
              </w:rPr>
              <w:t xml:space="preserve">  项目与</w:t>
            </w:r>
            <w:r>
              <w:rPr>
                <w:rFonts w:hint="eastAsia" w:ascii="宋体" w:hAnsi="宋体" w:cs="宋体"/>
                <w:b/>
                <w:bCs/>
                <w:kern w:val="0"/>
                <w:sz w:val="24"/>
              </w:rPr>
              <w:t>跟踪评价</w:t>
            </w:r>
            <w:r>
              <w:rPr>
                <w:b/>
                <w:bCs/>
                <w:sz w:val="24"/>
                <w:lang w:bidi="ar"/>
              </w:rPr>
              <w:t>审查意见符合性分析</w:t>
            </w:r>
          </w:p>
          <w:tbl>
            <w:tblPr>
              <w:tblStyle w:val="24"/>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165"/>
              <w:gridCol w:w="164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kern w:val="0"/>
                    </w:rPr>
                  </w:pPr>
                  <w:r>
                    <w:rPr>
                      <w:b/>
                      <w:bCs/>
                      <w:szCs w:val="21"/>
                      <w:lang w:bidi="ar"/>
                    </w:rPr>
                    <w:t>序号</w:t>
                  </w:r>
                </w:p>
              </w:tc>
              <w:tc>
                <w:tcPr>
                  <w:tcW w:w="3165" w:type="dxa"/>
                  <w:vAlign w:val="center"/>
                </w:tcPr>
                <w:p>
                  <w:pPr>
                    <w:widowControl/>
                    <w:jc w:val="center"/>
                    <w:rPr>
                      <w:kern w:val="0"/>
                    </w:rPr>
                  </w:pPr>
                  <w:r>
                    <w:rPr>
                      <w:b/>
                      <w:bCs/>
                      <w:szCs w:val="21"/>
                      <w:lang w:bidi="ar"/>
                    </w:rPr>
                    <w:t>审查意见</w:t>
                  </w:r>
                </w:p>
              </w:tc>
              <w:tc>
                <w:tcPr>
                  <w:tcW w:w="1643" w:type="dxa"/>
                  <w:vAlign w:val="center"/>
                </w:tcPr>
                <w:p>
                  <w:pPr>
                    <w:widowControl/>
                    <w:jc w:val="center"/>
                    <w:rPr>
                      <w:kern w:val="0"/>
                    </w:rPr>
                  </w:pPr>
                  <w:r>
                    <w:rPr>
                      <w:b/>
                      <w:bCs/>
                      <w:szCs w:val="21"/>
                      <w:lang w:bidi="ar"/>
                    </w:rPr>
                    <w:t>本项目</w:t>
                  </w:r>
                </w:p>
              </w:tc>
              <w:tc>
                <w:tcPr>
                  <w:tcW w:w="910" w:type="dxa"/>
                  <w:vAlign w:val="center"/>
                </w:tcPr>
                <w:p>
                  <w:pPr>
                    <w:widowControl/>
                    <w:jc w:val="center"/>
                    <w:rPr>
                      <w:kern w:val="0"/>
                    </w:rPr>
                  </w:pPr>
                  <w:r>
                    <w:rPr>
                      <w:b/>
                      <w:bCs/>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kern w:val="0"/>
                      <w:szCs w:val="21"/>
                    </w:rPr>
                  </w:pPr>
                  <w:r>
                    <w:rPr>
                      <w:rFonts w:hint="eastAsia"/>
                      <w:kern w:val="0"/>
                      <w:szCs w:val="21"/>
                    </w:rPr>
                    <w:t>1</w:t>
                  </w:r>
                </w:p>
              </w:tc>
              <w:tc>
                <w:tcPr>
                  <w:tcW w:w="3165" w:type="dxa"/>
                  <w:vAlign w:val="center"/>
                </w:tcPr>
                <w:p>
                  <w:pPr>
                    <w:widowControl/>
                    <w:jc w:val="center"/>
                    <w:rPr>
                      <w:kern w:val="0"/>
                    </w:rPr>
                  </w:pPr>
                  <w:r>
                    <w:rPr>
                      <w:szCs w:val="21"/>
                      <w:lang w:bidi="ar"/>
                    </w:rPr>
                    <w:t>根据现状功能分区，适当调整优化产业布局</w:t>
                  </w:r>
                  <w:r>
                    <w:rPr>
                      <w:rFonts w:hint="eastAsia"/>
                      <w:szCs w:val="21"/>
                      <w:lang w:bidi="ar"/>
                    </w:rPr>
                    <w:t>，</w:t>
                  </w:r>
                  <w:r>
                    <w:rPr>
                      <w:szCs w:val="21"/>
                      <w:lang w:bidi="ar"/>
                    </w:rPr>
                    <w:t>针对现有产业布局较为杂乱的情况，要采取措施逐步进行调整或搬迁</w:t>
                  </w:r>
                  <w:r>
                    <w:rPr>
                      <w:rFonts w:hint="eastAsia"/>
                      <w:szCs w:val="21"/>
                      <w:lang w:bidi="ar"/>
                    </w:rPr>
                    <w:t>，</w:t>
                  </w:r>
                  <w:r>
                    <w:rPr>
                      <w:szCs w:val="21"/>
                      <w:lang w:bidi="ar"/>
                    </w:rPr>
                    <w:t>对不能调整和搬迁的应严格控制企业规模</w:t>
                  </w:r>
                  <w:r>
                    <w:rPr>
                      <w:rFonts w:hint="eastAsia"/>
                      <w:szCs w:val="21"/>
                      <w:lang w:bidi="ar"/>
                    </w:rPr>
                    <w:t>，</w:t>
                  </w:r>
                  <w:r>
                    <w:rPr>
                      <w:szCs w:val="21"/>
                      <w:lang w:bidi="ar"/>
                    </w:rPr>
                    <w:t>未来逐步进行产业升级调整</w:t>
                  </w:r>
                </w:p>
              </w:tc>
              <w:tc>
                <w:tcPr>
                  <w:tcW w:w="1643" w:type="dxa"/>
                  <w:vAlign w:val="center"/>
                </w:tcPr>
                <w:p>
                  <w:pPr>
                    <w:widowControl/>
                    <w:jc w:val="center"/>
                    <w:rPr>
                      <w:kern w:val="0"/>
                    </w:rPr>
                  </w:pPr>
                  <w:r>
                    <w:rPr>
                      <w:szCs w:val="21"/>
                      <w:lang w:bidi="ar"/>
                    </w:rPr>
                    <w:t>本项目为新建项目，并且于202</w:t>
                  </w:r>
                  <w:r>
                    <w:rPr>
                      <w:rFonts w:hint="eastAsia"/>
                      <w:szCs w:val="21"/>
                      <w:lang w:bidi="ar"/>
                    </w:rPr>
                    <w:t>1</w:t>
                  </w:r>
                  <w:r>
                    <w:rPr>
                      <w:szCs w:val="21"/>
                      <w:lang w:bidi="ar"/>
                    </w:rPr>
                    <w:t>年</w:t>
                  </w:r>
                  <w:r>
                    <w:rPr>
                      <w:rFonts w:hint="eastAsia"/>
                      <w:szCs w:val="21"/>
                      <w:lang w:bidi="ar"/>
                    </w:rPr>
                    <w:t>7</w:t>
                  </w:r>
                  <w:r>
                    <w:rPr>
                      <w:szCs w:val="21"/>
                      <w:lang w:bidi="ar"/>
                    </w:rPr>
                    <w:t>月</w:t>
                  </w:r>
                  <w:r>
                    <w:rPr>
                      <w:rFonts w:hint="eastAsia"/>
                      <w:szCs w:val="21"/>
                      <w:lang w:bidi="ar"/>
                    </w:rPr>
                    <w:t>15</w:t>
                  </w:r>
                  <w:r>
                    <w:rPr>
                      <w:szCs w:val="21"/>
                      <w:lang w:bidi="ar"/>
                    </w:rPr>
                    <w:t>日由泗县发展和改革委员会予以备案</w:t>
                  </w:r>
                </w:p>
              </w:tc>
              <w:tc>
                <w:tcPr>
                  <w:tcW w:w="910" w:type="dxa"/>
                  <w:vAlign w:val="center"/>
                </w:tcPr>
                <w:p>
                  <w:pPr>
                    <w:widowControl/>
                    <w:jc w:val="center"/>
                    <w:rPr>
                      <w:kern w:val="0"/>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4" w:type="dxa"/>
                  <w:vAlign w:val="center"/>
                </w:tcPr>
                <w:p>
                  <w:pPr>
                    <w:widowControl/>
                    <w:jc w:val="center"/>
                    <w:rPr>
                      <w:kern w:val="0"/>
                      <w:szCs w:val="21"/>
                    </w:rPr>
                  </w:pPr>
                  <w:r>
                    <w:rPr>
                      <w:rFonts w:hint="eastAsia"/>
                      <w:kern w:val="0"/>
                      <w:szCs w:val="21"/>
                    </w:rPr>
                    <w:t>2</w:t>
                  </w:r>
                </w:p>
              </w:tc>
              <w:tc>
                <w:tcPr>
                  <w:tcW w:w="3165" w:type="dxa"/>
                  <w:vAlign w:val="center"/>
                </w:tcPr>
                <w:p>
                  <w:pPr>
                    <w:widowControl/>
                    <w:jc w:val="center"/>
                    <w:rPr>
                      <w:kern w:val="0"/>
                    </w:rPr>
                  </w:pPr>
                  <w:r>
                    <w:rPr>
                      <w:szCs w:val="21"/>
                      <w:lang w:bidi="ar"/>
                    </w:rPr>
                    <w:t>严格项目行业准入和资源环境准入。禁止负面清单中行业企业入驻</w:t>
                  </w:r>
                  <w:r>
                    <w:rPr>
                      <w:rFonts w:hint="eastAsia"/>
                      <w:szCs w:val="21"/>
                      <w:lang w:bidi="ar"/>
                    </w:rPr>
                    <w:t>；</w:t>
                  </w:r>
                  <w:r>
                    <w:rPr>
                      <w:szCs w:val="21"/>
                      <w:lang w:bidi="ar"/>
                    </w:rPr>
                    <w:t>新入区项目应按照规划功能布局入驻。优化调整开发区空间布局、组团结构，设置生态隔离措施，减轻和避免各功能区之间、项目之间的相互影响。</w:t>
                  </w:r>
                </w:p>
              </w:tc>
              <w:tc>
                <w:tcPr>
                  <w:tcW w:w="1643" w:type="dxa"/>
                  <w:vAlign w:val="center"/>
                </w:tcPr>
                <w:p>
                  <w:pPr>
                    <w:widowControl/>
                    <w:jc w:val="center"/>
                    <w:rPr>
                      <w:kern w:val="0"/>
                    </w:rPr>
                  </w:pPr>
                  <w:r>
                    <w:rPr>
                      <w:szCs w:val="21"/>
                    </w:rPr>
                    <w:t>本项目</w:t>
                  </w:r>
                  <w:r>
                    <w:rPr>
                      <w:rFonts w:hint="eastAsia"/>
                      <w:szCs w:val="21"/>
                    </w:rPr>
                    <w:t>为油气仓储</w:t>
                  </w:r>
                  <w:r>
                    <w:rPr>
                      <w:szCs w:val="21"/>
                    </w:rPr>
                    <w:t>，不属于环境准入负面清单行业。</w:t>
                  </w:r>
                </w:p>
              </w:tc>
              <w:tc>
                <w:tcPr>
                  <w:tcW w:w="910" w:type="dxa"/>
                  <w:vAlign w:val="center"/>
                </w:tcPr>
                <w:p>
                  <w:pPr>
                    <w:widowControl/>
                    <w:jc w:val="center"/>
                    <w:rPr>
                      <w:kern w:val="0"/>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center"/>
                    <w:rPr>
                      <w:kern w:val="0"/>
                      <w:szCs w:val="21"/>
                    </w:rPr>
                  </w:pPr>
                  <w:r>
                    <w:rPr>
                      <w:rFonts w:hint="eastAsia"/>
                      <w:kern w:val="0"/>
                      <w:szCs w:val="21"/>
                    </w:rPr>
                    <w:t>3</w:t>
                  </w:r>
                </w:p>
              </w:tc>
              <w:tc>
                <w:tcPr>
                  <w:tcW w:w="3165" w:type="dxa"/>
                  <w:vAlign w:val="center"/>
                </w:tcPr>
                <w:p>
                  <w:pPr>
                    <w:widowControl/>
                    <w:jc w:val="center"/>
                    <w:rPr>
                      <w:kern w:val="0"/>
                    </w:rPr>
                  </w:pPr>
                  <w:r>
                    <w:rPr>
                      <w:szCs w:val="21"/>
                      <w:lang w:bidi="ar"/>
                    </w:rPr>
                    <w:t>强化水资源管理，积极推进企业内、企业间水资源梯级利用和企业用水总量控制</w:t>
                  </w:r>
                  <w:r>
                    <w:rPr>
                      <w:rFonts w:hint="eastAsia"/>
                      <w:szCs w:val="21"/>
                      <w:lang w:bidi="ar"/>
                    </w:rPr>
                    <w:t>，</w:t>
                  </w:r>
                  <w:r>
                    <w:rPr>
                      <w:szCs w:val="21"/>
                      <w:lang w:bidi="ar"/>
                    </w:rPr>
                    <w:t>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tc>
              <w:tc>
                <w:tcPr>
                  <w:tcW w:w="1643" w:type="dxa"/>
                  <w:vAlign w:val="center"/>
                </w:tcPr>
                <w:p>
                  <w:pPr>
                    <w:widowControl/>
                    <w:jc w:val="center"/>
                    <w:rPr>
                      <w:kern w:val="0"/>
                    </w:rPr>
                  </w:pPr>
                  <w:r>
                    <w:rPr>
                      <w:szCs w:val="21"/>
                      <w:lang w:bidi="ar"/>
                    </w:rPr>
                    <w:t>本项目用水来自园区自来水管网，不自建备用水井，项目不属于国家明令禁止的项目，项目不属于高耗能、污水排放量大的项目，项目</w:t>
                  </w:r>
                  <w:r>
                    <w:rPr>
                      <w:szCs w:val="21"/>
                    </w:rPr>
                    <w:t>生活污水</w:t>
                  </w:r>
                  <w:r>
                    <w:rPr>
                      <w:bCs/>
                      <w:color w:val="000000"/>
                      <w:szCs w:val="21"/>
                    </w:rPr>
                    <w:t>经</w:t>
                  </w:r>
                  <w:r>
                    <w:rPr>
                      <w:rFonts w:hint="eastAsia"/>
                      <w:szCs w:val="21"/>
                    </w:rPr>
                    <w:t>化粪池</w:t>
                  </w:r>
                  <w:r>
                    <w:rPr>
                      <w:szCs w:val="21"/>
                    </w:rPr>
                    <w:t>处理后</w:t>
                  </w:r>
                  <w:r>
                    <w:rPr>
                      <w:szCs w:val="21"/>
                      <w:lang w:bidi="ar"/>
                    </w:rPr>
                    <w:t>进入泗县工业污水处理厂进一步处理</w:t>
                  </w:r>
                </w:p>
              </w:tc>
              <w:tc>
                <w:tcPr>
                  <w:tcW w:w="910" w:type="dxa"/>
                  <w:vAlign w:val="center"/>
                </w:tcPr>
                <w:p>
                  <w:pPr>
                    <w:widowControl/>
                    <w:jc w:val="center"/>
                    <w:rPr>
                      <w:kern w:val="0"/>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trPr>
              <w:tc>
                <w:tcPr>
                  <w:tcW w:w="554" w:type="dxa"/>
                  <w:vAlign w:val="center"/>
                </w:tcPr>
                <w:p>
                  <w:pPr>
                    <w:widowControl/>
                    <w:jc w:val="center"/>
                    <w:rPr>
                      <w:kern w:val="0"/>
                      <w:szCs w:val="21"/>
                    </w:rPr>
                  </w:pPr>
                  <w:r>
                    <w:rPr>
                      <w:rFonts w:hint="eastAsia"/>
                      <w:kern w:val="0"/>
                      <w:szCs w:val="21"/>
                    </w:rPr>
                    <w:t>4</w:t>
                  </w:r>
                </w:p>
              </w:tc>
              <w:tc>
                <w:tcPr>
                  <w:tcW w:w="3165" w:type="dxa"/>
                  <w:vAlign w:val="center"/>
                </w:tcPr>
                <w:p>
                  <w:pPr>
                    <w:widowControl/>
                    <w:jc w:val="center"/>
                    <w:rPr>
                      <w:szCs w:val="21"/>
                      <w:lang w:bidi="ar"/>
                    </w:rPr>
                  </w:pPr>
                  <w:r>
                    <w:rPr>
                      <w:szCs w:val="21"/>
                      <w:lang w:bidi="ar"/>
                    </w:rPr>
                    <w:t>在规划确定的开发区产业定位总体框架下,根据当地环境容量和资源情况，进一步优化发展重点，严格控制非主导产业项目入区。对不符合开发区产业定位和环保要求以及容易引起突发性环境风险的项目应禁止入区建设。建立并实施不符合规划、产业准入和环保准入条件项目的退出机制。大力推进园区产业升级改造工程，通过关、停、并、转、迁，加速转型或淘汰不符合工业用地性质、产业定位及环保要求的企业。</w:t>
                  </w:r>
                </w:p>
              </w:tc>
              <w:tc>
                <w:tcPr>
                  <w:tcW w:w="1643" w:type="dxa"/>
                  <w:vAlign w:val="center"/>
                </w:tcPr>
                <w:p>
                  <w:pPr>
                    <w:widowControl/>
                    <w:jc w:val="center"/>
                    <w:rPr>
                      <w:szCs w:val="21"/>
                      <w:lang w:bidi="ar"/>
                    </w:rPr>
                  </w:pPr>
                  <w:r>
                    <w:rPr>
                      <w:szCs w:val="21"/>
                      <w:lang w:bidi="ar"/>
                    </w:rPr>
                    <w:t>本项目为新建项目，</w:t>
                  </w:r>
                  <w:r>
                    <w:rPr>
                      <w:szCs w:val="21"/>
                    </w:rPr>
                    <w:t>不属于环境准入负面清单行业</w:t>
                  </w:r>
                  <w:r>
                    <w:rPr>
                      <w:rFonts w:hint="eastAsia"/>
                      <w:szCs w:val="21"/>
                    </w:rPr>
                    <w:t>，</w:t>
                  </w:r>
                  <w:r>
                    <w:rPr>
                      <w:szCs w:val="21"/>
                      <w:lang w:bidi="ar"/>
                    </w:rPr>
                    <w:t>并且于202</w:t>
                  </w:r>
                  <w:r>
                    <w:rPr>
                      <w:rFonts w:hint="eastAsia"/>
                      <w:szCs w:val="21"/>
                      <w:lang w:bidi="ar"/>
                    </w:rPr>
                    <w:t>1</w:t>
                  </w:r>
                  <w:r>
                    <w:rPr>
                      <w:szCs w:val="21"/>
                      <w:lang w:bidi="ar"/>
                    </w:rPr>
                    <w:t>年</w:t>
                  </w:r>
                  <w:r>
                    <w:rPr>
                      <w:rFonts w:hint="eastAsia"/>
                      <w:szCs w:val="21"/>
                      <w:lang w:bidi="ar"/>
                    </w:rPr>
                    <w:t>7</w:t>
                  </w:r>
                  <w:r>
                    <w:rPr>
                      <w:szCs w:val="21"/>
                      <w:lang w:bidi="ar"/>
                    </w:rPr>
                    <w:t>月</w:t>
                  </w:r>
                  <w:r>
                    <w:rPr>
                      <w:rFonts w:hint="eastAsia"/>
                      <w:szCs w:val="21"/>
                      <w:lang w:bidi="ar"/>
                    </w:rPr>
                    <w:t>15</w:t>
                  </w:r>
                  <w:r>
                    <w:rPr>
                      <w:szCs w:val="21"/>
                      <w:lang w:bidi="ar"/>
                    </w:rPr>
                    <w:t>日由泗县发展和改革委员会予以备案</w:t>
                  </w:r>
                </w:p>
              </w:tc>
              <w:tc>
                <w:tcPr>
                  <w:tcW w:w="910" w:type="dxa"/>
                  <w:vAlign w:val="center"/>
                </w:tcPr>
                <w:p>
                  <w:pPr>
                    <w:widowControl/>
                    <w:jc w:val="center"/>
                    <w:rPr>
                      <w:szCs w:val="21"/>
                      <w:lang w:bidi="ar"/>
                    </w:rPr>
                  </w:pPr>
                  <w:r>
                    <w:rPr>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spacing w:line="360" w:lineRule="auto"/>
                    <w:jc w:val="center"/>
                    <w:rPr>
                      <w:kern w:val="0"/>
                      <w:szCs w:val="21"/>
                    </w:rPr>
                  </w:pPr>
                  <w:r>
                    <w:rPr>
                      <w:rFonts w:hint="eastAsia"/>
                      <w:kern w:val="0"/>
                      <w:szCs w:val="21"/>
                    </w:rPr>
                    <w:t>5</w:t>
                  </w:r>
                </w:p>
              </w:tc>
              <w:tc>
                <w:tcPr>
                  <w:tcW w:w="3165" w:type="dxa"/>
                </w:tcPr>
                <w:p>
                  <w:pPr>
                    <w:widowControl/>
                    <w:jc w:val="center"/>
                    <w:rPr>
                      <w:szCs w:val="21"/>
                      <w:lang w:bidi="ar"/>
                    </w:rPr>
                  </w:pPr>
                  <w:r>
                    <w:rPr>
                      <w:szCs w:val="21"/>
                      <w:lang w:bidi="ar"/>
                    </w:rPr>
                    <w:t>扎实推进节能减排工作。应采取工艺改造、节水管理等措施控制和减少现有企业的资源消耗水平及污染物排放强度。加强挥发性有机物防治</w:t>
                  </w:r>
                  <w:r>
                    <w:rPr>
                      <w:rFonts w:hint="eastAsia"/>
                      <w:szCs w:val="21"/>
                      <w:lang w:bidi="ar"/>
                    </w:rPr>
                    <w:t>，</w:t>
                  </w:r>
                  <w:r>
                    <w:rPr>
                      <w:szCs w:val="21"/>
                      <w:lang w:bidi="ar"/>
                    </w:rPr>
                    <w:t>对园区现有主要VOCs及异味废气排放企业开展综合治理工作，加强日常监测、监督管理和预防控制。</w:t>
                  </w:r>
                </w:p>
              </w:tc>
              <w:tc>
                <w:tcPr>
                  <w:tcW w:w="1643" w:type="dxa"/>
                  <w:vAlign w:val="center"/>
                </w:tcPr>
                <w:p>
                  <w:pPr>
                    <w:widowControl/>
                    <w:jc w:val="center"/>
                    <w:rPr>
                      <w:kern w:val="0"/>
                    </w:rPr>
                  </w:pPr>
                  <w:r>
                    <w:rPr>
                      <w:color w:val="000000"/>
                      <w:szCs w:val="21"/>
                    </w:rPr>
                    <w:t>本项目</w:t>
                  </w:r>
                  <w:r>
                    <w:rPr>
                      <w:rFonts w:hint="eastAsia"/>
                      <w:color w:val="000000"/>
                      <w:szCs w:val="21"/>
                    </w:rPr>
                    <w:t>为</w:t>
                  </w:r>
                  <w:r>
                    <w:rPr>
                      <w:rFonts w:hint="eastAsia"/>
                      <w:szCs w:val="21"/>
                    </w:rPr>
                    <w:t>油气仓储</w:t>
                  </w:r>
                  <w:r>
                    <w:rPr>
                      <w:color w:val="000000"/>
                      <w:szCs w:val="21"/>
                    </w:rPr>
                    <w:t>，项目采用高效密封储罐储存原料，溢出的少量油气由油气回收装置，油气回收率＞90%。</w:t>
                  </w:r>
                </w:p>
              </w:tc>
              <w:tc>
                <w:tcPr>
                  <w:tcW w:w="910" w:type="dxa"/>
                  <w:vAlign w:val="center"/>
                </w:tcPr>
                <w:p>
                  <w:pPr>
                    <w:widowControl/>
                    <w:jc w:val="center"/>
                    <w:rPr>
                      <w:kern w:val="0"/>
                    </w:rPr>
                  </w:pPr>
                  <w:r>
                    <w:rPr>
                      <w:szCs w:val="21"/>
                      <w:lang w:bidi="ar"/>
                    </w:rPr>
                    <w:t>符合</w:t>
                  </w:r>
                </w:p>
              </w:tc>
            </w:tr>
          </w:tbl>
          <w:p>
            <w:pPr>
              <w:spacing w:line="480" w:lineRule="exact"/>
              <w:ind w:firstLine="480" w:firstLineChars="200"/>
              <w:rPr>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000000"/>
                <w:kern w:val="0"/>
                <w:sz w:val="24"/>
              </w:rPr>
            </w:pPr>
            <w:r>
              <w:rPr>
                <w:color w:val="000000"/>
                <w:kern w:val="0"/>
                <w:sz w:val="24"/>
              </w:rPr>
              <w:t>其他符合性分析</w:t>
            </w:r>
          </w:p>
        </w:tc>
        <w:tc>
          <w:tcPr>
            <w:tcW w:w="6488" w:type="dxa"/>
            <w:gridSpan w:val="3"/>
            <w:vAlign w:val="center"/>
          </w:tcPr>
          <w:p>
            <w:pPr>
              <w:spacing w:line="360" w:lineRule="auto"/>
              <w:rPr>
                <w:b/>
                <w:bCs/>
                <w:color w:val="000000"/>
                <w:sz w:val="24"/>
              </w:rPr>
            </w:pPr>
            <w:r>
              <w:rPr>
                <w:rFonts w:ascii="宋体" w:hAnsi="宋体" w:cs="宋体"/>
                <w:b/>
                <w:bCs/>
                <w:sz w:val="24"/>
              </w:rPr>
              <w:t>一</w:t>
            </w:r>
            <w:r>
              <w:rPr>
                <w:b/>
                <w:bCs/>
                <w:color w:val="000000"/>
                <w:sz w:val="24"/>
              </w:rPr>
              <w:t>、产业政策分析</w:t>
            </w:r>
          </w:p>
          <w:p>
            <w:pPr>
              <w:spacing w:line="360" w:lineRule="auto"/>
              <w:ind w:firstLine="480" w:firstLineChars="200"/>
              <w:rPr>
                <w:sz w:val="24"/>
                <w:lang w:bidi="ar"/>
              </w:rPr>
            </w:pPr>
            <w:r>
              <w:rPr>
                <w:sz w:val="24"/>
                <w:lang w:bidi="ar"/>
              </w:rPr>
              <w:t>根据《产业结构调整指导目录（2019年本）》，本项目不属于鼓励类、限制类和淘汰类，属于允许类项目。</w:t>
            </w:r>
          </w:p>
          <w:p>
            <w:pPr>
              <w:spacing w:line="360" w:lineRule="auto"/>
              <w:ind w:firstLine="480" w:firstLineChars="200"/>
              <w:rPr>
                <w:sz w:val="24"/>
                <w:lang w:bidi="ar"/>
              </w:rPr>
            </w:pPr>
            <w:r>
              <w:rPr>
                <w:sz w:val="24"/>
                <w:lang w:bidi="ar"/>
              </w:rPr>
              <w:t>本项目已于202</w:t>
            </w:r>
            <w:r>
              <w:rPr>
                <w:rFonts w:hint="eastAsia"/>
                <w:sz w:val="24"/>
                <w:lang w:bidi="ar"/>
              </w:rPr>
              <w:t>1</w:t>
            </w:r>
            <w:r>
              <w:rPr>
                <w:sz w:val="24"/>
                <w:lang w:bidi="ar"/>
              </w:rPr>
              <w:t>年</w:t>
            </w:r>
            <w:r>
              <w:rPr>
                <w:rFonts w:hint="eastAsia"/>
                <w:sz w:val="24"/>
                <w:lang w:bidi="ar"/>
              </w:rPr>
              <w:t>7</w:t>
            </w:r>
            <w:r>
              <w:rPr>
                <w:sz w:val="24"/>
                <w:lang w:bidi="ar"/>
              </w:rPr>
              <w:t>月</w:t>
            </w:r>
            <w:r>
              <w:rPr>
                <w:rFonts w:hint="eastAsia"/>
                <w:sz w:val="24"/>
                <w:lang w:bidi="ar"/>
              </w:rPr>
              <w:t>15</w:t>
            </w:r>
            <w:r>
              <w:rPr>
                <w:sz w:val="24"/>
                <w:lang w:bidi="ar"/>
              </w:rPr>
              <w:t>日由泗县发展和改革委员会以泗发改备案号【202</w:t>
            </w:r>
            <w:r>
              <w:rPr>
                <w:rFonts w:hint="eastAsia"/>
                <w:sz w:val="24"/>
                <w:lang w:bidi="ar"/>
              </w:rPr>
              <w:t>1</w:t>
            </w:r>
            <w:r>
              <w:rPr>
                <w:sz w:val="24"/>
                <w:lang w:bidi="ar"/>
              </w:rPr>
              <w:t>】</w:t>
            </w:r>
            <w:r>
              <w:rPr>
                <w:rFonts w:hint="eastAsia"/>
                <w:sz w:val="24"/>
                <w:lang w:bidi="ar"/>
              </w:rPr>
              <w:t>158</w:t>
            </w:r>
            <w:r>
              <w:rPr>
                <w:sz w:val="24"/>
                <w:lang w:bidi="ar"/>
              </w:rPr>
              <w:t>号予以备案。项目代码为</w:t>
            </w:r>
            <w:r>
              <w:rPr>
                <w:sz w:val="24"/>
              </w:rPr>
              <w:t>2107-341324-04-03-497208</w:t>
            </w:r>
            <w:r>
              <w:rPr>
                <w:sz w:val="24"/>
                <w:lang w:bidi="ar"/>
              </w:rPr>
              <w:t>。因此，本项目的建设符合国家和地方相关产业政策要求。</w:t>
            </w:r>
          </w:p>
          <w:p>
            <w:pPr>
              <w:spacing w:line="360" w:lineRule="auto"/>
              <w:rPr>
                <w:b/>
                <w:bCs/>
                <w:color w:val="000000"/>
                <w:sz w:val="24"/>
              </w:rPr>
            </w:pPr>
            <w:r>
              <w:rPr>
                <w:b/>
                <w:bCs/>
                <w:lang w:bidi="ar"/>
              </w:rPr>
              <w:t>二</w:t>
            </w:r>
            <w:r>
              <w:rPr>
                <w:b/>
                <w:bCs/>
                <w:color w:val="000000"/>
                <w:sz w:val="24"/>
              </w:rPr>
              <w:t>、选址合理性分析</w:t>
            </w:r>
          </w:p>
          <w:p>
            <w:pPr>
              <w:widowControl/>
              <w:spacing w:line="360" w:lineRule="auto"/>
              <w:ind w:firstLine="480" w:firstLineChars="200"/>
              <w:jc w:val="left"/>
              <w:rPr>
                <w:rFonts w:ascii="宋体" w:hAnsi="宋体" w:cs="宋体"/>
                <w:sz w:val="24"/>
              </w:rPr>
            </w:pPr>
            <w:r>
              <w:rPr>
                <w:bCs/>
                <w:color w:val="000000"/>
                <w:sz w:val="24"/>
              </w:rPr>
              <w:t>本项目位于</w:t>
            </w:r>
            <w:r>
              <w:rPr>
                <w:rFonts w:ascii="宋体" w:hAnsi="宋体" w:cs="宋体"/>
                <w:sz w:val="24"/>
              </w:rPr>
              <w:t>泗县泗城镇新型工业园区</w:t>
            </w:r>
            <w:r>
              <w:rPr>
                <w:rFonts w:hint="eastAsia"/>
                <w:kern w:val="0"/>
                <w:sz w:val="24"/>
              </w:rPr>
              <w:t>吉顺驾校内</w:t>
            </w:r>
            <w:r>
              <w:rPr>
                <w:bCs/>
                <w:color w:val="000000"/>
                <w:sz w:val="24"/>
              </w:rPr>
              <w:t>。</w:t>
            </w:r>
            <w:r>
              <w:rPr>
                <w:rFonts w:ascii="宋体" w:hAnsi="宋体" w:cs="宋体"/>
                <w:sz w:val="24"/>
              </w:rPr>
              <w:t>根据泗县开发区总体规划布局图，项目</w:t>
            </w:r>
            <w:r>
              <w:rPr>
                <w:rFonts w:hint="eastAsia" w:ascii="宋体" w:hAnsi="宋体" w:cs="宋体"/>
                <w:sz w:val="24"/>
              </w:rPr>
              <w:t>所在地属于工业用地，项目所属行业基本符合泗县经济开发区总体发展规划。</w:t>
            </w:r>
          </w:p>
          <w:p>
            <w:pPr>
              <w:widowControl/>
              <w:spacing w:line="360" w:lineRule="auto"/>
              <w:ind w:firstLine="480" w:firstLineChars="200"/>
              <w:jc w:val="left"/>
              <w:rPr>
                <w:sz w:val="24"/>
                <w:lang w:bidi="ar"/>
              </w:rPr>
            </w:pPr>
            <w:r>
              <w:rPr>
                <w:color w:val="000000" w:themeColor="text1"/>
                <w:sz w:val="24"/>
                <w14:textFill>
                  <w14:solidFill>
                    <w14:schemeClr w14:val="tx1"/>
                  </w14:solidFill>
                </w14:textFill>
              </w:rPr>
              <w:t>项目北侧为</w:t>
            </w:r>
            <w:r>
              <w:rPr>
                <w:rFonts w:ascii="宋体" w:hAnsi="宋体" w:cs="宋体"/>
                <w:color w:val="000000" w:themeColor="text1"/>
                <w:sz w:val="24"/>
                <w14:textFill>
                  <w14:solidFill>
                    <w14:schemeClr w14:val="tx1"/>
                  </w14:solidFill>
                </w14:textFill>
              </w:rPr>
              <w:t>驾校空地</w:t>
            </w:r>
            <w:r>
              <w:rPr>
                <w:color w:val="000000" w:themeColor="text1"/>
                <w:sz w:val="24"/>
                <w14:textFill>
                  <w14:solidFill>
                    <w14:schemeClr w14:val="tx1"/>
                  </w14:solidFill>
                </w14:textFill>
              </w:rPr>
              <w:t>，东侧为</w:t>
            </w:r>
            <w:r>
              <w:rPr>
                <w:rFonts w:ascii="宋体" w:hAnsi="宋体" w:cs="宋体"/>
                <w:color w:val="000000" w:themeColor="text1"/>
                <w:sz w:val="24"/>
                <w14:textFill>
                  <w14:solidFill>
                    <w14:schemeClr w14:val="tx1"/>
                  </w14:solidFill>
                </w14:textFill>
              </w:rPr>
              <w:t>驾校空地</w:t>
            </w:r>
            <w:r>
              <w:rPr>
                <w:color w:val="000000" w:themeColor="text1"/>
                <w:sz w:val="24"/>
                <w14:textFill>
                  <w14:solidFill>
                    <w14:schemeClr w14:val="tx1"/>
                  </w14:solidFill>
                </w14:textFill>
              </w:rPr>
              <w:t>、南侧为</w:t>
            </w:r>
            <w:r>
              <w:rPr>
                <w:rFonts w:ascii="宋体" w:hAnsi="宋体" w:cs="宋体"/>
                <w:color w:val="000000" w:themeColor="text1"/>
                <w:sz w:val="24"/>
                <w14:textFill>
                  <w14:solidFill>
                    <w14:schemeClr w14:val="tx1"/>
                  </w14:solidFill>
                </w14:textFill>
              </w:rPr>
              <w:t>驾校水泥硬化训练场地</w:t>
            </w:r>
            <w:r>
              <w:rPr>
                <w:color w:val="000000" w:themeColor="text1"/>
                <w:sz w:val="24"/>
                <w14:textFill>
                  <w14:solidFill>
                    <w14:schemeClr w14:val="tx1"/>
                  </w14:solidFill>
                </w14:textFill>
              </w:rPr>
              <w:t>、西侧为</w:t>
            </w:r>
            <w:r>
              <w:rPr>
                <w:rFonts w:ascii="宋体" w:hAnsi="宋体" w:cs="宋体"/>
                <w:color w:val="000000" w:themeColor="text1"/>
                <w:sz w:val="24"/>
                <w14:textFill>
                  <w14:solidFill>
                    <w14:schemeClr w14:val="tx1"/>
                  </w14:solidFill>
                </w14:textFill>
              </w:rPr>
              <w:t>驾校内道路</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周</w:t>
            </w:r>
            <w:r>
              <w:rPr>
                <w:rFonts w:hint="eastAsia"/>
                <w:sz w:val="24"/>
              </w:rPr>
              <w:t>边</w:t>
            </w:r>
            <w:r>
              <w:rPr>
                <w:sz w:val="24"/>
              </w:rPr>
              <w:t>无环境敏感保护目标、饮用水源、城市居民区、自然保护区等环境特殊敏感区。</w:t>
            </w:r>
            <w:r>
              <w:rPr>
                <w:sz w:val="24"/>
                <w:lang w:bidi="ar"/>
              </w:rPr>
              <w:t>运营消耗资源主要为水、电，项目耗电量相对区域资源利用总量较少，满足项目建设外部条件要求。</w:t>
            </w:r>
          </w:p>
          <w:p>
            <w:pPr>
              <w:widowControl/>
              <w:spacing w:line="360" w:lineRule="auto"/>
              <w:ind w:firstLine="480" w:firstLineChars="200"/>
              <w:jc w:val="left"/>
              <w:rPr>
                <w:sz w:val="24"/>
              </w:rPr>
            </w:pPr>
            <w:r>
              <w:rPr>
                <w:sz w:val="24"/>
              </w:rPr>
              <w:t>总体来说，本项目不会对所在区域环境造成较大影响。</w:t>
            </w:r>
          </w:p>
          <w:p>
            <w:pPr>
              <w:autoSpaceDE w:val="0"/>
              <w:autoSpaceDN w:val="0"/>
              <w:adjustRightInd w:val="0"/>
              <w:snapToGrid w:val="0"/>
              <w:spacing w:line="360" w:lineRule="auto"/>
              <w:jc w:val="left"/>
              <w:rPr>
                <w:b/>
                <w:bCs/>
                <w:color w:val="000000"/>
                <w:kern w:val="0"/>
                <w:sz w:val="24"/>
              </w:rPr>
            </w:pPr>
            <w:r>
              <w:rPr>
                <w:rFonts w:ascii="宋体" w:hAnsi="宋体" w:cs="宋体"/>
                <w:sz w:val="24"/>
              </w:rPr>
              <w:t>三</w:t>
            </w:r>
            <w:r>
              <w:rPr>
                <w:b/>
                <w:bCs/>
                <w:color w:val="000000"/>
                <w:kern w:val="0"/>
                <w:sz w:val="24"/>
              </w:rPr>
              <w:t>、“三线一单”符合性分析</w:t>
            </w:r>
          </w:p>
          <w:p>
            <w:pPr>
              <w:spacing w:line="360" w:lineRule="auto"/>
              <w:ind w:firstLine="480" w:firstLineChars="200"/>
              <w:rPr>
                <w:color w:val="000000"/>
                <w:sz w:val="24"/>
              </w:rPr>
            </w:pPr>
            <w:r>
              <w:rPr>
                <w:rFonts w:hint="eastAsia"/>
                <w:color w:val="000000"/>
                <w:sz w:val="24"/>
              </w:rPr>
              <w:t>1、</w:t>
            </w:r>
            <w:r>
              <w:rPr>
                <w:color w:val="000000"/>
                <w:sz w:val="24"/>
              </w:rPr>
              <w:t>生态保护红线</w:t>
            </w:r>
          </w:p>
          <w:p>
            <w:pPr>
              <w:spacing w:line="360" w:lineRule="auto"/>
              <w:ind w:firstLine="480" w:firstLineChars="200"/>
              <w:rPr>
                <w:color w:val="000000"/>
                <w:sz w:val="24"/>
              </w:rPr>
            </w:pPr>
            <w:r>
              <w:rPr>
                <w:color w:val="000000"/>
                <w:sz w:val="24"/>
              </w:rPr>
              <w:t>本项目位于</w:t>
            </w:r>
            <w:r>
              <w:rPr>
                <w:rFonts w:hint="eastAsia"/>
                <w:color w:val="000000"/>
                <w:sz w:val="24"/>
              </w:rPr>
              <w:t>泗县经济开发区</w:t>
            </w:r>
            <w:r>
              <w:rPr>
                <w:color w:val="000000"/>
                <w:sz w:val="24"/>
              </w:rPr>
              <w:t>，</w:t>
            </w:r>
            <w:r>
              <w:rPr>
                <w:rFonts w:hint="eastAsia"/>
                <w:color w:val="000000"/>
                <w:sz w:val="24"/>
              </w:rPr>
              <w:t>根据《安徽省人民政府关于发布安徽省生态保护红线的通知》（皖政秘[2018]120号），本项目所在区域不在生态保护红线区域内（</w:t>
            </w:r>
            <w:r>
              <w:rPr>
                <w:color w:val="000000"/>
                <w:sz w:val="24"/>
              </w:rPr>
              <w:t>具体见附</w:t>
            </w:r>
            <w:r>
              <w:rPr>
                <w:rFonts w:hint="eastAsia"/>
                <w:color w:val="000000"/>
                <w:sz w:val="24"/>
              </w:rPr>
              <w:t>图）</w:t>
            </w:r>
            <w:r>
              <w:rPr>
                <w:color w:val="000000"/>
                <w:sz w:val="24"/>
              </w:rPr>
              <w:t>。</w:t>
            </w:r>
          </w:p>
          <w:p>
            <w:pPr>
              <w:spacing w:line="360" w:lineRule="auto"/>
              <w:ind w:firstLine="480" w:firstLineChars="200"/>
              <w:rPr>
                <w:color w:val="000000"/>
                <w:sz w:val="24"/>
              </w:rPr>
            </w:pPr>
            <w:r>
              <w:rPr>
                <w:rFonts w:hint="eastAsia"/>
                <w:color w:val="000000"/>
                <w:sz w:val="24"/>
              </w:rPr>
              <w:t>2、</w:t>
            </w:r>
            <w:r>
              <w:rPr>
                <w:color w:val="000000"/>
                <w:sz w:val="24"/>
              </w:rPr>
              <w:t>资源利用上线</w:t>
            </w:r>
          </w:p>
          <w:p>
            <w:pPr>
              <w:spacing w:line="360" w:lineRule="auto"/>
              <w:ind w:firstLine="480" w:firstLineChars="200"/>
              <w:rPr>
                <w:color w:val="000000"/>
                <w:sz w:val="24"/>
              </w:rPr>
            </w:pPr>
            <w:r>
              <w:rPr>
                <w:kern w:val="0"/>
                <w:sz w:val="24"/>
              </w:rPr>
              <w:t>本</w:t>
            </w:r>
            <w:r>
              <w:rPr>
                <w:sz w:val="24"/>
                <w:lang w:bidi="ar"/>
              </w:rPr>
              <w:t>项目所在地不属于资源、能源紧缺区域，</w:t>
            </w:r>
            <w:r>
              <w:rPr>
                <w:rFonts w:ascii="宋体" w:hAnsi="宋体" w:cs="宋体"/>
                <w:sz w:val="24"/>
              </w:rPr>
              <w:t>且</w:t>
            </w:r>
            <w:r>
              <w:rPr>
                <w:sz w:val="24"/>
                <w:lang w:bidi="ar"/>
              </w:rPr>
              <w:t>本项目用地性质为工业用地。从资源角度，本项目的建设充分利用了现有土地资源，减少了土地资源的浪费。从能源角度，本项目消耗能源主要为电、水，</w:t>
            </w:r>
            <w:r>
              <w:rPr>
                <w:rFonts w:ascii="宋体" w:hAnsi="宋体" w:cs="宋体"/>
                <w:sz w:val="24"/>
              </w:rPr>
              <w:t>不消耗煤炭、天然气等资源，不突破当地资源利用上限要求</w:t>
            </w:r>
            <w:r>
              <w:rPr>
                <w:color w:val="000000"/>
                <w:sz w:val="24"/>
              </w:rPr>
              <w:t>，符合资源利用上限要求。</w:t>
            </w:r>
          </w:p>
          <w:p>
            <w:pPr>
              <w:spacing w:line="360" w:lineRule="auto"/>
              <w:ind w:firstLine="480" w:firstLineChars="200"/>
              <w:rPr>
                <w:color w:val="000000"/>
                <w:sz w:val="24"/>
              </w:rPr>
            </w:pPr>
            <w:r>
              <w:rPr>
                <w:rFonts w:hint="eastAsia"/>
                <w:color w:val="000000"/>
                <w:sz w:val="24"/>
              </w:rPr>
              <w:t>3、</w:t>
            </w:r>
            <w:r>
              <w:rPr>
                <w:color w:val="000000"/>
                <w:sz w:val="24"/>
              </w:rPr>
              <w:t>环境质量底线</w:t>
            </w:r>
          </w:p>
          <w:p>
            <w:pPr>
              <w:spacing w:line="360" w:lineRule="auto"/>
              <w:ind w:firstLine="480" w:firstLineChars="200"/>
              <w:rPr>
                <w:color w:val="000000"/>
                <w:sz w:val="24"/>
              </w:rPr>
            </w:pPr>
            <w:r>
              <w:rPr>
                <w:color w:val="000000"/>
                <w:sz w:val="24"/>
                <w:lang w:bidi="ar"/>
              </w:rPr>
              <w:t>根据</w:t>
            </w:r>
            <w:r>
              <w:rPr>
                <w:rFonts w:eastAsia="Times New Roman"/>
                <w:color w:val="000000"/>
                <w:sz w:val="24"/>
              </w:rPr>
              <w:t>20</w:t>
            </w:r>
            <w:r>
              <w:rPr>
                <w:rFonts w:hint="eastAsia" w:eastAsia="Times New Roman"/>
                <w:color w:val="000000"/>
                <w:sz w:val="24"/>
              </w:rPr>
              <w:t>2</w:t>
            </w:r>
            <w:r>
              <w:rPr>
                <w:rFonts w:hint="eastAsia"/>
                <w:color w:val="000000"/>
                <w:sz w:val="24"/>
              </w:rPr>
              <w:t>0</w:t>
            </w:r>
            <w:r>
              <w:rPr>
                <w:color w:val="000000"/>
                <w:spacing w:val="-14"/>
                <w:sz w:val="24"/>
              </w:rPr>
              <w:t>年宿州市</w:t>
            </w:r>
            <w:r>
              <w:rPr>
                <w:color w:val="000000"/>
                <w:sz w:val="24"/>
                <w:lang w:bidi="ar"/>
              </w:rPr>
              <w:t>环境质量公告，</w:t>
            </w:r>
            <w:r>
              <w:rPr>
                <w:color w:val="000000"/>
                <w:sz w:val="24"/>
              </w:rPr>
              <w:t>项目区域大气环境质量不满足《环境空气质量标准》（GB3095-2012）二级标准，为改善环境空气质量情况，宿州市通过优化产业结构和布局，严格控制高耗能、高污染项目建设，对“散乱污”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声环境质量可以满足区域声环境质量标准。结合项目环境影响预测，本项目的建设不会恶化区域环境质量功能，不会触碰区域环境质量底线</w:t>
            </w:r>
          </w:p>
          <w:p>
            <w:pPr>
              <w:spacing w:line="360" w:lineRule="auto"/>
              <w:ind w:firstLine="480"/>
              <w:rPr>
                <w:rFonts w:ascii="宋体" w:hAnsi="宋体" w:cs="宋体"/>
                <w:sz w:val="24"/>
              </w:rPr>
            </w:pPr>
            <w:r>
              <w:rPr>
                <w:rFonts w:hint="eastAsia"/>
                <w:color w:val="000000"/>
                <w:sz w:val="24"/>
              </w:rPr>
              <w:t>4、</w:t>
            </w:r>
            <w:r>
              <w:rPr>
                <w:rFonts w:ascii="宋体" w:hAnsi="宋体" w:cs="宋体"/>
                <w:sz w:val="24"/>
              </w:rPr>
              <w:t>依据泗县经济开发区环境影响跟踪评价</w:t>
            </w:r>
            <w:r>
              <w:rPr>
                <w:rFonts w:hint="eastAsia" w:ascii="宋体" w:hAnsi="宋体" w:cs="宋体"/>
                <w:sz w:val="24"/>
              </w:rPr>
              <w:t>环境准入负面清单</w:t>
            </w:r>
          </w:p>
          <w:p>
            <w:pPr>
              <w:spacing w:line="360" w:lineRule="auto"/>
              <w:ind w:left="420" w:leftChars="200" w:firstLine="1446" w:firstLineChars="600"/>
              <w:rPr>
                <w:b/>
                <w:bCs/>
              </w:rPr>
            </w:pPr>
            <w:r>
              <w:rPr>
                <w:b/>
                <w:bCs/>
                <w:sz w:val="24"/>
              </w:rPr>
              <w:t>表1-</w:t>
            </w:r>
            <w:r>
              <w:rPr>
                <w:rFonts w:hint="eastAsia"/>
                <w:b/>
                <w:bCs/>
                <w:sz w:val="24"/>
              </w:rPr>
              <w:t xml:space="preserve">3  </w:t>
            </w:r>
            <w:r>
              <w:rPr>
                <w:b/>
                <w:bCs/>
                <w:sz w:val="24"/>
              </w:rPr>
              <w:t>环境准入负面清单</w:t>
            </w:r>
          </w:p>
          <w:tbl>
            <w:tblPr>
              <w:tblStyle w:val="24"/>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754"/>
              <w:gridCol w:w="188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718" w:type="dxa"/>
                  <w:vAlign w:val="center"/>
                </w:tcPr>
                <w:p>
                  <w:pPr>
                    <w:jc w:val="center"/>
                    <w:rPr>
                      <w:rFonts w:ascii="宋体" w:hAnsi="宋体" w:cs="宋体"/>
                      <w:b/>
                      <w:bCs/>
                      <w:szCs w:val="21"/>
                    </w:rPr>
                  </w:pPr>
                  <w:r>
                    <w:rPr>
                      <w:rFonts w:ascii="宋体" w:hAnsi="宋体" w:cs="宋体"/>
                      <w:b/>
                      <w:bCs/>
                      <w:szCs w:val="21"/>
                    </w:rPr>
                    <w:t>序号</w:t>
                  </w:r>
                </w:p>
              </w:tc>
              <w:tc>
                <w:tcPr>
                  <w:tcW w:w="2754" w:type="dxa"/>
                  <w:vAlign w:val="center"/>
                </w:tcPr>
                <w:p>
                  <w:pPr>
                    <w:jc w:val="center"/>
                    <w:rPr>
                      <w:rFonts w:ascii="宋体" w:hAnsi="宋体" w:cs="宋体"/>
                      <w:b/>
                      <w:bCs/>
                      <w:szCs w:val="21"/>
                    </w:rPr>
                  </w:pPr>
                  <w:r>
                    <w:rPr>
                      <w:rFonts w:ascii="宋体" w:hAnsi="宋体" w:cs="宋体"/>
                      <w:b/>
                      <w:bCs/>
                      <w:szCs w:val="21"/>
                    </w:rPr>
                    <w:t>内容</w:t>
                  </w:r>
                </w:p>
              </w:tc>
              <w:tc>
                <w:tcPr>
                  <w:tcW w:w="1888" w:type="dxa"/>
                  <w:vAlign w:val="center"/>
                </w:tcPr>
                <w:p>
                  <w:pPr>
                    <w:jc w:val="center"/>
                    <w:rPr>
                      <w:b/>
                      <w:bCs/>
                      <w:szCs w:val="21"/>
                      <w:lang w:bidi="ar"/>
                    </w:rPr>
                  </w:pPr>
                  <w:r>
                    <w:rPr>
                      <w:b/>
                      <w:bCs/>
                      <w:szCs w:val="21"/>
                      <w:lang w:bidi="ar"/>
                    </w:rPr>
                    <w:t>项目</w:t>
                  </w:r>
                </w:p>
                <w:p>
                  <w:pPr>
                    <w:jc w:val="center"/>
                    <w:rPr>
                      <w:rFonts w:ascii="宋体" w:hAnsi="宋体" w:cs="宋体"/>
                      <w:b/>
                      <w:bCs/>
                      <w:szCs w:val="21"/>
                    </w:rPr>
                  </w:pPr>
                  <w:r>
                    <w:rPr>
                      <w:b/>
                      <w:bCs/>
                      <w:szCs w:val="21"/>
                      <w:lang w:bidi="ar"/>
                    </w:rPr>
                    <w:t>情况</w:t>
                  </w:r>
                </w:p>
              </w:tc>
              <w:tc>
                <w:tcPr>
                  <w:tcW w:w="912" w:type="dxa"/>
                  <w:vAlign w:val="center"/>
                </w:tcPr>
                <w:p>
                  <w:pPr>
                    <w:jc w:val="center"/>
                    <w:rPr>
                      <w:rFonts w:ascii="宋体" w:hAnsi="宋体" w:cs="宋体"/>
                      <w:b/>
                      <w:bCs/>
                      <w:szCs w:val="21"/>
                    </w:rPr>
                  </w:pPr>
                  <w:r>
                    <w:rPr>
                      <w:rFonts w:ascii="宋体" w:hAnsi="宋体" w:cs="宋体"/>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1</w:t>
                  </w:r>
                </w:p>
              </w:tc>
              <w:tc>
                <w:tcPr>
                  <w:tcW w:w="2754" w:type="dxa"/>
                  <w:vAlign w:val="center"/>
                </w:tcPr>
                <w:p>
                  <w:pPr>
                    <w:jc w:val="center"/>
                    <w:rPr>
                      <w:rFonts w:ascii="宋体" w:hAnsi="宋体" w:cs="宋体"/>
                      <w:szCs w:val="21"/>
                    </w:rPr>
                  </w:pPr>
                  <w:r>
                    <w:rPr>
                      <w:szCs w:val="21"/>
                    </w:rPr>
                    <w:t>国家明令禁止建设或投资的、不符合《产业结构调整指导目录》要求的建设项目不得进入开发区</w:t>
                  </w:r>
                </w:p>
              </w:tc>
              <w:tc>
                <w:tcPr>
                  <w:tcW w:w="1888" w:type="dxa"/>
                  <w:vAlign w:val="center"/>
                </w:tcPr>
                <w:p>
                  <w:pPr>
                    <w:jc w:val="center"/>
                    <w:rPr>
                      <w:rFonts w:ascii="宋体" w:hAnsi="宋体" w:cs="宋体"/>
                      <w:szCs w:val="21"/>
                    </w:rPr>
                  </w:pPr>
                  <w:r>
                    <w:rPr>
                      <w:rFonts w:hint="eastAsia"/>
                      <w:szCs w:val="21"/>
                    </w:rPr>
                    <w:t>本项目不属于</w:t>
                  </w:r>
                  <w:r>
                    <w:rPr>
                      <w:szCs w:val="21"/>
                    </w:rPr>
                    <w:t>国家明令禁止建设或投资的</w:t>
                  </w:r>
                  <w:r>
                    <w:rPr>
                      <w:rFonts w:hint="eastAsia"/>
                      <w:szCs w:val="21"/>
                    </w:rPr>
                    <w:t>，</w:t>
                  </w:r>
                  <w:r>
                    <w:rPr>
                      <w:szCs w:val="21"/>
                    </w:rPr>
                    <w:t>符合《产业结构调整指导目录》</w:t>
                  </w:r>
                </w:p>
              </w:tc>
              <w:tc>
                <w:tcPr>
                  <w:tcW w:w="912" w:type="dxa"/>
                  <w:vAlign w:val="center"/>
                </w:tcPr>
                <w:p>
                  <w:pPr>
                    <w:jc w:val="cente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2</w:t>
                  </w:r>
                </w:p>
              </w:tc>
              <w:tc>
                <w:tcPr>
                  <w:tcW w:w="2754" w:type="dxa"/>
                  <w:vAlign w:val="center"/>
                </w:tcPr>
                <w:p>
                  <w:pPr>
                    <w:pStyle w:val="65"/>
                    <w:ind w:firstLine="0"/>
                    <w:jc w:val="center"/>
                    <w:rPr>
                      <w:rFonts w:ascii="宋体" w:hAnsi="宋体" w:cs="宋体"/>
                      <w:szCs w:val="21"/>
                    </w:rPr>
                  </w:pPr>
                  <w:r>
                    <w:rPr>
                      <w:szCs w:val="21"/>
                    </w:rPr>
                    <w:t>规模效益差、能源资源消耗大、环境影响严重的企业</w:t>
                  </w:r>
                </w:p>
              </w:tc>
              <w:tc>
                <w:tcPr>
                  <w:tcW w:w="1888" w:type="dxa"/>
                  <w:vAlign w:val="center"/>
                </w:tcPr>
                <w:p>
                  <w:pPr>
                    <w:jc w:val="center"/>
                    <w:rPr>
                      <w:rFonts w:ascii="宋体" w:hAnsi="宋体" w:cs="宋体"/>
                      <w:szCs w:val="21"/>
                    </w:rPr>
                  </w:pPr>
                  <w:r>
                    <w:rPr>
                      <w:rFonts w:hint="eastAsia"/>
                      <w:szCs w:val="21"/>
                    </w:rPr>
                    <w:t>本项目不属于</w:t>
                  </w:r>
                  <w:r>
                    <w:rPr>
                      <w:szCs w:val="21"/>
                    </w:rPr>
                    <w:t>规模效益差、能源资源消耗大、环境影响严重的企业</w:t>
                  </w:r>
                </w:p>
              </w:tc>
              <w:tc>
                <w:tcPr>
                  <w:tcW w:w="912" w:type="dxa"/>
                  <w:vAlign w:val="center"/>
                </w:tcPr>
                <w:p>
                  <w:pPr>
                    <w:jc w:val="cente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3</w:t>
                  </w:r>
                </w:p>
              </w:tc>
              <w:tc>
                <w:tcPr>
                  <w:tcW w:w="2754" w:type="dxa"/>
                  <w:vAlign w:val="center"/>
                </w:tcPr>
                <w:p>
                  <w:pPr>
                    <w:pStyle w:val="65"/>
                    <w:ind w:firstLine="0"/>
                    <w:jc w:val="center"/>
                    <w:rPr>
                      <w:rFonts w:ascii="宋体" w:hAnsi="宋体" w:cs="宋体"/>
                      <w:szCs w:val="21"/>
                    </w:rPr>
                  </w:pPr>
                  <w:r>
                    <w:rPr>
                      <w:szCs w:val="21"/>
                    </w:rPr>
                    <w:t>纺织服装类片区禁止新建印染和制革类项目；禁止新建每小时20蒸吨及以下燃煤锅炉的项目。</w:t>
                  </w:r>
                </w:p>
              </w:tc>
              <w:tc>
                <w:tcPr>
                  <w:tcW w:w="1888" w:type="dxa"/>
                  <w:vAlign w:val="center"/>
                </w:tcPr>
                <w:p>
                  <w:pPr>
                    <w:jc w:val="center"/>
                    <w:rPr>
                      <w:szCs w:val="21"/>
                    </w:rPr>
                  </w:pPr>
                  <w:r>
                    <w:rPr>
                      <w:rFonts w:hint="eastAsia"/>
                      <w:szCs w:val="21"/>
                    </w:rPr>
                    <w:t>本项目为油气仓储，无</w:t>
                  </w:r>
                  <w:r>
                    <w:rPr>
                      <w:szCs w:val="21"/>
                    </w:rPr>
                    <w:t>锅炉</w:t>
                  </w:r>
                </w:p>
              </w:tc>
              <w:tc>
                <w:tcPr>
                  <w:tcW w:w="912" w:type="dxa"/>
                  <w:vAlign w:val="center"/>
                </w:tcPr>
                <w:p>
                  <w:pPr>
                    <w:jc w:val="cente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4</w:t>
                  </w:r>
                </w:p>
              </w:tc>
              <w:tc>
                <w:tcPr>
                  <w:tcW w:w="2754" w:type="dxa"/>
                  <w:vAlign w:val="center"/>
                </w:tcPr>
                <w:p>
                  <w:pPr>
                    <w:pStyle w:val="65"/>
                    <w:ind w:firstLine="0"/>
                    <w:jc w:val="center"/>
                    <w:rPr>
                      <w:szCs w:val="21"/>
                    </w:rPr>
                  </w:pPr>
                  <w:r>
                    <w:rPr>
                      <w:szCs w:val="21"/>
                    </w:rPr>
                    <w:t>引进项目必须符合国家的产业技术政策，其中属于国家、安徽省的有关政策，《产业结构调整指导目录（2019年本）》中淘汰类项目禁止进入</w:t>
                  </w:r>
                </w:p>
              </w:tc>
              <w:tc>
                <w:tcPr>
                  <w:tcW w:w="1888" w:type="dxa"/>
                  <w:vAlign w:val="center"/>
                </w:tcPr>
                <w:p>
                  <w:pPr>
                    <w:jc w:val="center"/>
                    <w:rPr>
                      <w:szCs w:val="21"/>
                    </w:rPr>
                  </w:pPr>
                  <w:r>
                    <w:rPr>
                      <w:rFonts w:hint="eastAsia"/>
                      <w:szCs w:val="21"/>
                    </w:rPr>
                    <w:t>本项目不属于</w:t>
                  </w:r>
                  <w:r>
                    <w:rPr>
                      <w:szCs w:val="21"/>
                    </w:rPr>
                    <w:t>《产业结构调整指导目录（2019年本）》中淘汰类项目</w:t>
                  </w:r>
                  <w:r>
                    <w:rPr>
                      <w:rFonts w:hint="eastAsia"/>
                      <w:szCs w:val="21"/>
                    </w:rPr>
                    <w:t>，为允许类</w:t>
                  </w:r>
                </w:p>
              </w:tc>
              <w:tc>
                <w:tcPr>
                  <w:tcW w:w="912" w:type="dxa"/>
                  <w:vAlign w:val="center"/>
                </w:tcPr>
                <w:p>
                  <w:pPr>
                    <w:jc w:val="cente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5</w:t>
                  </w:r>
                </w:p>
              </w:tc>
              <w:tc>
                <w:tcPr>
                  <w:tcW w:w="2754" w:type="dxa"/>
                  <w:vAlign w:val="center"/>
                </w:tcPr>
                <w:p>
                  <w:pPr>
                    <w:jc w:val="center"/>
                    <w:rPr>
                      <w:szCs w:val="21"/>
                    </w:rPr>
                  </w:pPr>
                  <w:r>
                    <w:rPr>
                      <w:szCs w:val="21"/>
                    </w:rPr>
                    <w:t>禁止进入规模效益差、能源资源消耗大、环境影响严重的企业</w:t>
                  </w:r>
                </w:p>
              </w:tc>
              <w:tc>
                <w:tcPr>
                  <w:tcW w:w="1888" w:type="dxa"/>
                  <w:vAlign w:val="center"/>
                </w:tcPr>
                <w:p>
                  <w:pPr>
                    <w:jc w:val="center"/>
                    <w:rPr>
                      <w:szCs w:val="21"/>
                    </w:rPr>
                  </w:pPr>
                  <w:r>
                    <w:rPr>
                      <w:rFonts w:hint="eastAsia"/>
                      <w:szCs w:val="21"/>
                    </w:rPr>
                    <w:t>本项目不属于</w:t>
                  </w:r>
                  <w:r>
                    <w:rPr>
                      <w:szCs w:val="21"/>
                    </w:rPr>
                    <w:t>规模效益差、能源资源消耗大、环境影响严重的企业</w:t>
                  </w:r>
                </w:p>
              </w:tc>
              <w:tc>
                <w:tcPr>
                  <w:tcW w:w="912" w:type="dxa"/>
                  <w:vAlign w:val="center"/>
                </w:tcPr>
                <w:p>
                  <w:pPr>
                    <w:jc w:val="cente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jc w:val="center"/>
                    <w:rPr>
                      <w:szCs w:val="21"/>
                    </w:rPr>
                  </w:pPr>
                  <w:r>
                    <w:rPr>
                      <w:rFonts w:hint="eastAsia"/>
                      <w:szCs w:val="21"/>
                    </w:rPr>
                    <w:t>6</w:t>
                  </w:r>
                </w:p>
              </w:tc>
              <w:tc>
                <w:tcPr>
                  <w:tcW w:w="2754" w:type="dxa"/>
                  <w:vAlign w:val="center"/>
                </w:tcPr>
                <w:p>
                  <w:pPr>
                    <w:jc w:val="center"/>
                    <w:rPr>
                      <w:szCs w:val="21"/>
                    </w:rPr>
                  </w:pPr>
                  <w:r>
                    <w:rPr>
                      <w:szCs w:val="21"/>
                    </w:rPr>
                    <w:t>禁止新建化学纸浆造纸企业</w:t>
                  </w:r>
                  <w:r>
                    <w:rPr>
                      <w:rFonts w:hint="eastAsia"/>
                      <w:szCs w:val="21"/>
                    </w:rPr>
                    <w:t>；</w:t>
                  </w:r>
                  <w:r>
                    <w:rPr>
                      <w:szCs w:val="21"/>
                    </w:rPr>
                    <w:t>止新建印染、制革、化工、电镀、酿造等污染严重的企业</w:t>
                  </w:r>
                  <w:r>
                    <w:rPr>
                      <w:rFonts w:hint="eastAsia"/>
                      <w:szCs w:val="21"/>
                    </w:rPr>
                    <w:t>；</w:t>
                  </w:r>
                  <w:r>
                    <w:rPr>
                      <w:szCs w:val="21"/>
                    </w:rPr>
                    <w:t>禁止引入专门从事贮存、运输有毒有害危险化学品的项目</w:t>
                  </w:r>
                </w:p>
              </w:tc>
              <w:tc>
                <w:tcPr>
                  <w:tcW w:w="1888" w:type="dxa"/>
                  <w:vAlign w:val="center"/>
                </w:tcPr>
                <w:p>
                  <w:pPr>
                    <w:jc w:val="center"/>
                    <w:rPr>
                      <w:szCs w:val="21"/>
                    </w:rPr>
                  </w:pPr>
                  <w:r>
                    <w:rPr>
                      <w:rFonts w:hint="eastAsia"/>
                      <w:szCs w:val="21"/>
                    </w:rPr>
                    <w:t>本项目为油气仓储，不属于上述禁止入区企业</w:t>
                  </w:r>
                </w:p>
              </w:tc>
              <w:tc>
                <w:tcPr>
                  <w:tcW w:w="912" w:type="dxa"/>
                  <w:vAlign w:val="center"/>
                </w:tcPr>
                <w:p>
                  <w:pPr>
                    <w:jc w:val="center"/>
                    <w:rPr>
                      <w:rFonts w:ascii="宋体" w:hAnsi="宋体" w:cs="宋体"/>
                      <w:szCs w:val="21"/>
                    </w:rPr>
                  </w:pPr>
                  <w:r>
                    <w:rPr>
                      <w:rFonts w:hint="eastAsia" w:ascii="宋体" w:hAnsi="宋体" w:cs="宋体"/>
                      <w:szCs w:val="21"/>
                    </w:rPr>
                    <w:t>符合</w:t>
                  </w:r>
                </w:p>
              </w:tc>
            </w:tr>
          </w:tbl>
          <w:p>
            <w:pPr>
              <w:autoSpaceDE w:val="0"/>
              <w:autoSpaceDN w:val="0"/>
              <w:adjustRightInd w:val="0"/>
              <w:snapToGrid w:val="0"/>
              <w:spacing w:line="360" w:lineRule="auto"/>
              <w:ind w:firstLine="480" w:firstLineChars="200"/>
              <w:jc w:val="left"/>
              <w:rPr>
                <w:color w:val="000000"/>
                <w:sz w:val="24"/>
              </w:rPr>
            </w:pPr>
            <w:r>
              <w:rPr>
                <w:color w:val="000000"/>
                <w:sz w:val="24"/>
              </w:rPr>
              <w:t>综上所述，本项目符合“三线一单”要求</w:t>
            </w:r>
          </w:p>
          <w:p>
            <w:pPr>
              <w:autoSpaceDE w:val="0"/>
              <w:autoSpaceDN w:val="0"/>
              <w:adjustRightInd w:val="0"/>
              <w:snapToGrid w:val="0"/>
              <w:spacing w:line="360" w:lineRule="auto"/>
              <w:jc w:val="left"/>
              <w:rPr>
                <w:b/>
                <w:bCs/>
                <w:color w:val="000000"/>
                <w:sz w:val="24"/>
              </w:rPr>
            </w:pPr>
            <w:r>
              <w:rPr>
                <w:rFonts w:ascii="宋体" w:hAnsi="宋体" w:cs="宋体"/>
                <w:b/>
                <w:bCs/>
                <w:sz w:val="24"/>
              </w:rPr>
              <w:t>四</w:t>
            </w:r>
            <w:r>
              <w:rPr>
                <w:rFonts w:hint="eastAsia"/>
                <w:b/>
                <w:bCs/>
                <w:color w:val="000000"/>
                <w:sz w:val="24"/>
              </w:rPr>
              <w:t>、</w:t>
            </w:r>
            <w:r>
              <w:rPr>
                <w:rFonts w:hint="eastAsia"/>
                <w:b/>
                <w:kern w:val="0"/>
                <w:sz w:val="24"/>
              </w:rPr>
              <w:t>与相关政策相符性</w:t>
            </w:r>
          </w:p>
          <w:p>
            <w:pPr>
              <w:autoSpaceDE w:val="0"/>
              <w:autoSpaceDN w:val="0"/>
              <w:adjustRightInd w:val="0"/>
              <w:snapToGrid w:val="0"/>
              <w:spacing w:line="360" w:lineRule="auto"/>
              <w:ind w:firstLine="480" w:firstLineChars="200"/>
              <w:jc w:val="left"/>
              <w:rPr>
                <w:color w:val="000000"/>
                <w:sz w:val="24"/>
                <w:lang w:bidi="ar"/>
              </w:rPr>
            </w:pPr>
            <w:r>
              <w:rPr>
                <w:rFonts w:hint="eastAsia"/>
                <w:color w:val="000000"/>
                <w:sz w:val="24"/>
              </w:rPr>
              <w:t>1</w:t>
            </w:r>
            <w:r>
              <w:rPr>
                <w:color w:val="000000"/>
                <w:sz w:val="24"/>
              </w:rPr>
              <w:t>、</w:t>
            </w:r>
            <w:r>
              <w:rPr>
                <w:color w:val="000000"/>
                <w:sz w:val="24"/>
                <w:lang w:bidi="ar"/>
              </w:rPr>
              <w:t>本项目与《“十三五”挥发性有机物污染防治工作方案》环大气【2017】121号相符性分析详见下表。</w:t>
            </w:r>
          </w:p>
          <w:p>
            <w:pPr>
              <w:autoSpaceDE w:val="0"/>
              <w:autoSpaceDN w:val="0"/>
              <w:adjustRightInd w:val="0"/>
              <w:snapToGrid w:val="0"/>
              <w:spacing w:line="360" w:lineRule="auto"/>
              <w:ind w:firstLine="482" w:firstLineChars="200"/>
              <w:jc w:val="center"/>
              <w:rPr>
                <w:color w:val="000000"/>
                <w:sz w:val="24"/>
                <w:lang w:bidi="ar"/>
              </w:rPr>
            </w:pPr>
            <w:r>
              <w:rPr>
                <w:b/>
                <w:bCs/>
                <w:sz w:val="24"/>
              </w:rPr>
              <w:t>表1-</w:t>
            </w:r>
            <w:r>
              <w:rPr>
                <w:rFonts w:hint="eastAsia"/>
                <w:b/>
                <w:bCs/>
                <w:sz w:val="24"/>
              </w:rPr>
              <w:t xml:space="preserve">4  </w:t>
            </w:r>
            <w:r>
              <w:rPr>
                <w:b/>
                <w:color w:val="000000"/>
                <w:kern w:val="0"/>
                <w:sz w:val="24"/>
              </w:rPr>
              <w:t>与“十三五”挥发性有机物污染防治工作方案相符性</w:t>
            </w:r>
          </w:p>
          <w:tbl>
            <w:tblPr>
              <w:tblStyle w:val="24"/>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13"/>
              <w:gridCol w:w="138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center"/>
                </w:tcPr>
                <w:p>
                  <w:pPr>
                    <w:jc w:val="center"/>
                    <w:rPr>
                      <w:color w:val="000000"/>
                      <w:sz w:val="24"/>
                    </w:rPr>
                  </w:pPr>
                  <w:r>
                    <w:rPr>
                      <w:b/>
                      <w:bCs/>
                      <w:color w:val="000000"/>
                      <w:szCs w:val="21"/>
                      <w:lang w:bidi="ar"/>
                    </w:rPr>
                    <w:t>序号</w:t>
                  </w:r>
                </w:p>
              </w:tc>
              <w:tc>
                <w:tcPr>
                  <w:tcW w:w="3413" w:type="dxa"/>
                  <w:vAlign w:val="center"/>
                </w:tcPr>
                <w:p>
                  <w:pPr>
                    <w:jc w:val="center"/>
                    <w:rPr>
                      <w:color w:val="000000"/>
                      <w:sz w:val="24"/>
                    </w:rPr>
                  </w:pPr>
                  <w:r>
                    <w:rPr>
                      <w:b/>
                      <w:bCs/>
                      <w:color w:val="000000"/>
                      <w:szCs w:val="21"/>
                    </w:rPr>
                    <w:t>“十三五”挥发性有机物污染防治工作方案</w:t>
                  </w:r>
                </w:p>
              </w:tc>
              <w:tc>
                <w:tcPr>
                  <w:tcW w:w="1380" w:type="dxa"/>
                  <w:vAlign w:val="center"/>
                </w:tcPr>
                <w:p>
                  <w:pPr>
                    <w:jc w:val="center"/>
                    <w:rPr>
                      <w:color w:val="000000"/>
                      <w:sz w:val="24"/>
                    </w:rPr>
                  </w:pPr>
                  <w:r>
                    <w:rPr>
                      <w:b/>
                      <w:bCs/>
                      <w:color w:val="000000"/>
                      <w:szCs w:val="21"/>
                      <w:lang w:bidi="ar"/>
                    </w:rPr>
                    <w:t>项目情况</w:t>
                  </w:r>
                </w:p>
              </w:tc>
              <w:tc>
                <w:tcPr>
                  <w:tcW w:w="754" w:type="dxa"/>
                  <w:vAlign w:val="center"/>
                </w:tcPr>
                <w:p>
                  <w:pPr>
                    <w:jc w:val="center"/>
                    <w:rPr>
                      <w:color w:val="000000"/>
                      <w:sz w:val="24"/>
                    </w:rPr>
                  </w:pPr>
                  <w:r>
                    <w:rPr>
                      <w:b/>
                      <w:bCs/>
                      <w:color w:val="000000"/>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center"/>
                </w:tcPr>
                <w:p>
                  <w:pPr>
                    <w:jc w:val="center"/>
                    <w:rPr>
                      <w:color w:val="000000"/>
                      <w:sz w:val="24"/>
                    </w:rPr>
                  </w:pPr>
                  <w:r>
                    <w:rPr>
                      <w:color w:val="000000"/>
                      <w:szCs w:val="21"/>
                      <w:lang w:bidi="ar"/>
                    </w:rPr>
                    <w:t>1</w:t>
                  </w:r>
                </w:p>
              </w:tc>
              <w:tc>
                <w:tcPr>
                  <w:tcW w:w="3413" w:type="dxa"/>
                  <w:vAlign w:val="center"/>
                </w:tcPr>
                <w:p>
                  <w:pPr>
                    <w:jc w:val="center"/>
                    <w:rPr>
                      <w:color w:val="000000"/>
                      <w:sz w:val="24"/>
                    </w:rPr>
                  </w:pPr>
                  <w:r>
                    <w:rPr>
                      <w:color w:val="000000"/>
                      <w:szCs w:val="21"/>
                      <w:lang w:bidi="ar"/>
                    </w:rPr>
                    <w:t>提高VOCs排放重点行业环保入门槛，严格控制新増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380" w:type="dxa"/>
                  <w:vAlign w:val="center"/>
                </w:tcPr>
                <w:p>
                  <w:pPr>
                    <w:jc w:val="center"/>
                    <w:rPr>
                      <w:color w:val="000000"/>
                      <w:sz w:val="24"/>
                    </w:rPr>
                  </w:pPr>
                  <w:r>
                    <w:rPr>
                      <w:color w:val="000000"/>
                      <w:szCs w:val="21"/>
                    </w:rPr>
                    <w:t>本项目</w:t>
                  </w:r>
                  <w:r>
                    <w:rPr>
                      <w:rFonts w:hint="eastAsia"/>
                      <w:color w:val="000000"/>
                      <w:szCs w:val="21"/>
                    </w:rPr>
                    <w:t>为</w:t>
                  </w:r>
                  <w:r>
                    <w:rPr>
                      <w:rFonts w:hint="eastAsia"/>
                      <w:szCs w:val="21"/>
                    </w:rPr>
                    <w:t>油气仓储</w:t>
                  </w:r>
                  <w:r>
                    <w:rPr>
                      <w:color w:val="000000"/>
                      <w:szCs w:val="21"/>
                    </w:rPr>
                    <w:t>，不属于高VOCs排放建设</w:t>
                  </w:r>
                  <w:r>
                    <w:rPr>
                      <w:color w:val="000000"/>
                      <w:szCs w:val="21"/>
                      <w:lang w:bidi="ar"/>
                    </w:rPr>
                    <w:t>项目</w:t>
                  </w:r>
                  <w:r>
                    <w:rPr>
                      <w:rFonts w:hint="eastAsia"/>
                      <w:color w:val="000000"/>
                      <w:szCs w:val="21"/>
                      <w:lang w:bidi="ar"/>
                    </w:rPr>
                    <w:t>，</w:t>
                  </w:r>
                  <w:r>
                    <w:rPr>
                      <w:color w:val="000000"/>
                      <w:szCs w:val="21"/>
                    </w:rPr>
                    <w:t>项目采用高效密封储罐储存原料，安装油气回收装置</w:t>
                  </w:r>
                </w:p>
              </w:tc>
              <w:tc>
                <w:tcPr>
                  <w:tcW w:w="754" w:type="dxa"/>
                  <w:vAlign w:val="center"/>
                </w:tcPr>
                <w:p>
                  <w:pPr>
                    <w:jc w:val="center"/>
                    <w:rPr>
                      <w:color w:val="000000"/>
                      <w:sz w:val="24"/>
                    </w:rPr>
                  </w:pPr>
                  <w:r>
                    <w:rPr>
                      <w:color w:val="000000"/>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center"/>
                </w:tcPr>
                <w:p>
                  <w:pPr>
                    <w:jc w:val="center"/>
                    <w:rPr>
                      <w:color w:val="000000"/>
                      <w:sz w:val="24"/>
                    </w:rPr>
                  </w:pPr>
                  <w:r>
                    <w:rPr>
                      <w:rFonts w:hint="eastAsia"/>
                      <w:color w:val="000000"/>
                      <w:szCs w:val="21"/>
                      <w:lang w:bidi="ar"/>
                    </w:rPr>
                    <w:t>2</w:t>
                  </w:r>
                </w:p>
              </w:tc>
              <w:tc>
                <w:tcPr>
                  <w:tcW w:w="3413" w:type="dxa"/>
                  <w:vAlign w:val="center"/>
                </w:tcPr>
                <w:p>
                  <w:pPr>
                    <w:jc w:val="center"/>
                    <w:rPr>
                      <w:color w:val="000000"/>
                      <w:szCs w:val="21"/>
                      <w:lang w:bidi="ar"/>
                    </w:rPr>
                  </w:pPr>
                  <w:r>
                    <w:rPr>
                      <w:color w:val="000000"/>
                      <w:szCs w:val="21"/>
                      <w:lang w:bidi="ar"/>
                    </w:rPr>
                    <w:t>全面加强汽油储运销油气排放控制，重点地区逐步推进港口储存和装卸、油品装船油气回收治理任务。</w:t>
                  </w:r>
                </w:p>
                <w:p>
                  <w:pPr>
                    <w:jc w:val="center"/>
                    <w:rPr>
                      <w:color w:val="000000"/>
                      <w:sz w:val="24"/>
                    </w:rPr>
                  </w:pPr>
                  <w:r>
                    <w:rPr>
                      <w:color w:val="000000"/>
                      <w:szCs w:val="21"/>
                      <w:lang w:bidi="ar"/>
                    </w:rPr>
                    <w:t>加强汽油储运销油气排放控制。减少油品周转次数。严格按照排放标准要求，加快完成加油站、储油库、油罐车油气回收治理工作，重点地区全面推进行政区域内所有加油站油气回收治理。建设油气回收自动监测系统平台，储油库和年销售</w:t>
                  </w:r>
                  <w:r>
                    <w:rPr>
                      <w:b/>
                      <w:bCs/>
                      <w:color w:val="000000"/>
                      <w:szCs w:val="21"/>
                      <w:lang w:bidi="ar"/>
                    </w:rPr>
                    <w:t>汽油量</w:t>
                  </w:r>
                  <w:r>
                    <w:rPr>
                      <w:color w:val="000000"/>
                      <w:szCs w:val="21"/>
                      <w:lang w:bidi="ar"/>
                    </w:rPr>
                    <w:t>大于5000 吨的加油站加快安装油气回收自动监测设备。制定加油站、储油库油气回收自动监测系统技术规范，企业要加强对油气回收系统外观检测和仪器检测，确保油气回收系统正常运转。</w:t>
                  </w:r>
                </w:p>
              </w:tc>
              <w:tc>
                <w:tcPr>
                  <w:tcW w:w="1380" w:type="dxa"/>
                  <w:vAlign w:val="center"/>
                </w:tcPr>
                <w:p>
                  <w:pPr>
                    <w:jc w:val="center"/>
                    <w:rPr>
                      <w:color w:val="000000"/>
                      <w:sz w:val="24"/>
                    </w:rPr>
                  </w:pPr>
                  <w:r>
                    <w:rPr>
                      <w:color w:val="000000"/>
                      <w:szCs w:val="21"/>
                    </w:rPr>
                    <w:t>本项目汽油加油量小于5000吨，项目安装卸油油气回收装置和加油油气回收装置，油气回收率＞90%。</w:t>
                  </w:r>
                </w:p>
              </w:tc>
              <w:tc>
                <w:tcPr>
                  <w:tcW w:w="754" w:type="dxa"/>
                  <w:vAlign w:val="center"/>
                </w:tcPr>
                <w:p>
                  <w:pPr>
                    <w:jc w:val="center"/>
                    <w:rPr>
                      <w:color w:val="000000"/>
                      <w:sz w:val="24"/>
                    </w:rPr>
                  </w:pPr>
                  <w:r>
                    <w:rPr>
                      <w:color w:val="000000"/>
                      <w:szCs w:val="21"/>
                      <w:lang w:bidi="ar"/>
                    </w:rPr>
                    <w:t>相符</w:t>
                  </w:r>
                </w:p>
              </w:tc>
            </w:tr>
          </w:tbl>
          <w:p>
            <w:pPr>
              <w:pStyle w:val="63"/>
              <w:spacing w:before="120" w:beforeLines="50"/>
              <w:ind w:firstLine="482" w:firstLineChars="200"/>
              <w:rPr>
                <w:color w:val="000000"/>
                <w:sz w:val="24"/>
              </w:rPr>
            </w:pPr>
            <w:r>
              <w:rPr>
                <w:rFonts w:hint="eastAsia"/>
                <w:color w:val="000000"/>
                <w:sz w:val="24"/>
              </w:rPr>
              <w:t>2</w:t>
            </w:r>
            <w:r>
              <w:rPr>
                <w:color w:val="000000"/>
                <w:sz w:val="24"/>
              </w:rPr>
              <w:t>、本项目与《</w:t>
            </w:r>
            <w:r>
              <w:rPr>
                <w:bCs/>
                <w:color w:val="000000"/>
                <w:kern w:val="0"/>
                <w:sz w:val="24"/>
              </w:rPr>
              <w:t>2020年挥发性有机物治理攻坚方案</w:t>
            </w:r>
            <w:r>
              <w:rPr>
                <w:color w:val="000000"/>
                <w:sz w:val="24"/>
              </w:rPr>
              <w:t>》相符性分析</w:t>
            </w:r>
          </w:p>
          <w:p>
            <w:pPr>
              <w:pStyle w:val="25"/>
              <w:spacing w:line="360" w:lineRule="auto"/>
              <w:ind w:firstLine="480" w:firstLineChars="200"/>
              <w:jc w:val="both"/>
              <w:rPr>
                <w:rFonts w:ascii="Times New Roman" w:cs="Times New Roman"/>
              </w:rPr>
            </w:pPr>
            <w:r>
              <w:rPr>
                <w:rFonts w:ascii="Times New Roman" w:cs="Times New Roman"/>
              </w:rPr>
              <w:t>为贯彻落实《</w:t>
            </w:r>
            <w:r>
              <w:rPr>
                <w:rFonts w:ascii="Times New Roman" w:cs="Times New Roman"/>
              </w:rPr>
              <w:fldChar w:fldCharType="begin"/>
            </w:r>
            <w:r>
              <w:rPr>
                <w:rFonts w:ascii="Times New Roman" w:cs="Times New Roman"/>
              </w:rPr>
              <w:instrText xml:space="preserve"> HYPERLINK "http://www.mee.gov.cn/ywgz/fgbz/gz/201807/t20180705_446146.shtml" </w:instrText>
            </w:r>
            <w:r>
              <w:rPr>
                <w:rFonts w:ascii="Times New Roman" w:cs="Times New Roman"/>
              </w:rPr>
              <w:fldChar w:fldCharType="separate"/>
            </w:r>
            <w:r>
              <w:rPr>
                <w:rFonts w:ascii="Times New Roman" w:cs="Times New Roman"/>
              </w:rPr>
              <w:t>打赢蓝天保卫战三年行动计划</w:t>
            </w:r>
            <w:r>
              <w:rPr>
                <w:rFonts w:ascii="Times New Roman" w:cs="Times New Roman"/>
              </w:rPr>
              <w:fldChar w:fldCharType="end"/>
            </w:r>
            <w:r>
              <w:rPr>
                <w:rFonts w:ascii="Times New Roman" w:cs="Times New Roman"/>
              </w:rPr>
              <w:t>》（国发〔2018〕22号）有关要求，确保完成“十三五”环境空气质量改善目标任务，有效降低O</w:t>
            </w:r>
            <w:r>
              <w:rPr>
                <w:rFonts w:ascii="Times New Roman" w:cs="Times New Roman"/>
                <w:vertAlign w:val="subscript"/>
              </w:rPr>
              <w:t>3</w:t>
            </w:r>
            <w:r>
              <w:rPr>
                <w:rFonts w:ascii="Times New Roman" w:cs="Times New Roman"/>
              </w:rPr>
              <w:t>污染，保障人民群众身体健康，在全国开展夏季（6-9月）VOCs治理攻坚行动，中华人民共和国生态环境部在充分调研基础上制定了《2020年挥发性有机物治理攻坚方案》（以下简称《方案》）。本项目与该文件相关要求的对比情况见下表。</w:t>
            </w:r>
          </w:p>
          <w:p>
            <w:pPr>
              <w:pStyle w:val="15"/>
              <w:adjustRightInd w:val="0"/>
              <w:snapToGrid w:val="0"/>
              <w:ind w:firstLine="0"/>
              <w:jc w:val="center"/>
              <w:rPr>
                <w:b/>
                <w:bCs/>
                <w:color w:val="000000"/>
                <w:szCs w:val="24"/>
              </w:rPr>
            </w:pPr>
            <w:r>
              <w:rPr>
                <w:b/>
                <w:bCs/>
                <w:color w:val="000000"/>
                <w:szCs w:val="24"/>
              </w:rPr>
              <w:t>表1-</w:t>
            </w:r>
            <w:r>
              <w:rPr>
                <w:rFonts w:hint="eastAsia"/>
                <w:b/>
                <w:bCs/>
                <w:color w:val="000000"/>
                <w:szCs w:val="24"/>
              </w:rPr>
              <w:t>5</w:t>
            </w:r>
            <w:r>
              <w:rPr>
                <w:b/>
                <w:bCs/>
                <w:color w:val="000000"/>
                <w:szCs w:val="24"/>
              </w:rPr>
              <w:t xml:space="preserve">  本项目与</w:t>
            </w:r>
            <w:r>
              <w:rPr>
                <w:color w:val="000000"/>
                <w:szCs w:val="24"/>
              </w:rPr>
              <w:t>《</w:t>
            </w:r>
            <w:r>
              <w:rPr>
                <w:b/>
                <w:bCs/>
                <w:color w:val="000000"/>
                <w:szCs w:val="24"/>
              </w:rPr>
              <w:t>2020年挥发性有机物治理攻坚方案</w:t>
            </w:r>
            <w:r>
              <w:rPr>
                <w:color w:val="000000"/>
                <w:szCs w:val="24"/>
              </w:rPr>
              <w:t>》</w:t>
            </w:r>
            <w:r>
              <w:rPr>
                <w:b/>
                <w:bCs/>
                <w:color w:val="000000"/>
                <w:szCs w:val="24"/>
              </w:rPr>
              <w:t>相符性分析情况一览表</w:t>
            </w:r>
          </w:p>
          <w:tbl>
            <w:tblPr>
              <w:tblStyle w:val="23"/>
              <w:tblW w:w="6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67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50" w:type="dxa"/>
                  <w:vAlign w:val="center"/>
                </w:tcPr>
                <w:p>
                  <w:pPr>
                    <w:pStyle w:val="15"/>
                    <w:spacing w:after="0"/>
                    <w:ind w:left="0" w:leftChars="0" w:firstLine="0"/>
                    <w:jc w:val="center"/>
                    <w:rPr>
                      <w:b/>
                      <w:bCs/>
                      <w:color w:val="000000"/>
                      <w:sz w:val="21"/>
                      <w:szCs w:val="21"/>
                    </w:rPr>
                  </w:pPr>
                  <w:r>
                    <w:rPr>
                      <w:b/>
                      <w:bCs/>
                      <w:color w:val="000000"/>
                      <w:sz w:val="21"/>
                      <w:szCs w:val="21"/>
                    </w:rPr>
                    <w:t>文件要求</w:t>
                  </w:r>
                </w:p>
              </w:tc>
              <w:tc>
                <w:tcPr>
                  <w:tcW w:w="679" w:type="dxa"/>
                  <w:vAlign w:val="center"/>
                </w:tcPr>
                <w:p>
                  <w:pPr>
                    <w:pStyle w:val="15"/>
                    <w:spacing w:after="0"/>
                    <w:ind w:left="0" w:leftChars="0" w:firstLine="0"/>
                    <w:jc w:val="center"/>
                    <w:rPr>
                      <w:b/>
                      <w:bCs/>
                      <w:color w:val="000000"/>
                      <w:sz w:val="21"/>
                      <w:szCs w:val="21"/>
                    </w:rPr>
                  </w:pPr>
                  <w:r>
                    <w:rPr>
                      <w:b/>
                      <w:bCs/>
                      <w:color w:val="000000"/>
                      <w:sz w:val="21"/>
                      <w:szCs w:val="21"/>
                    </w:rPr>
                    <w:t>本工程情况</w:t>
                  </w:r>
                </w:p>
              </w:tc>
              <w:tc>
                <w:tcPr>
                  <w:tcW w:w="833" w:type="dxa"/>
                  <w:vAlign w:val="center"/>
                </w:tcPr>
                <w:p>
                  <w:pPr>
                    <w:pStyle w:val="15"/>
                    <w:spacing w:after="0"/>
                    <w:ind w:left="0" w:leftChars="0" w:firstLine="0"/>
                    <w:jc w:val="center"/>
                    <w:rPr>
                      <w:b/>
                      <w:bCs/>
                      <w:color w:val="000000"/>
                      <w:sz w:val="21"/>
                      <w:szCs w:val="21"/>
                    </w:rPr>
                  </w:pPr>
                  <w:r>
                    <w:rPr>
                      <w:b/>
                      <w:bCs/>
                      <w:color w:val="00000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0" w:type="dxa"/>
                  <w:vAlign w:val="center"/>
                </w:tcPr>
                <w:p>
                  <w:pPr>
                    <w:pStyle w:val="17"/>
                    <w:spacing w:before="0" w:beforeAutospacing="0" w:after="0" w:afterAutospacing="0"/>
                    <w:jc w:val="center"/>
                    <w:rPr>
                      <w:rFonts w:ascii="Times New Roman" w:hAnsi="Times New Roman"/>
                      <w:color w:val="000000"/>
                      <w:sz w:val="21"/>
                      <w:szCs w:val="21"/>
                    </w:rPr>
                  </w:pPr>
                  <w:r>
                    <w:rPr>
                      <w:rFonts w:ascii="Times New Roman" w:hAnsi="Times New Roman"/>
                      <w:color w:val="000000"/>
                      <w:kern w:val="2"/>
                      <w:sz w:val="21"/>
                      <w:szCs w:val="21"/>
                    </w:rPr>
                    <w:t>加大汽油、石脑油、煤油以及原油等油品储运销全过程VOCs排放控制，在保障安全的前提下，重点推进储油库、油罐车、加油站油气回收治理，加大油气排放监管力度，并要求企业建立日查、自检、年检和维保制度。储油库应采用底部装油方式，装油时产生的油气应进行密闭收集和回收处理，处理装置出入口应安装气体流量传感器。7月15日前，对储油库油气密闭收集系统进行一次检测，任何泄漏点排放的油气体积分数浓度不应超过0.05%。运输汽油的油罐汽车应具备底部装卸油系统和油气回收系统，装油时能够将汽车油罐内排出的油气密闭输入储油库回收系统，往返运输过程中能够保证汽油和油气不泄漏，卸油时能够将产生的油气回收到汽车的油罐内，除必要应急维修外，不应因操作、维修和管理等方面的原因发生油气泄漏；运输汽油的铁路罐车要采取相应措施，减少装油、卸油和运输过程的油气排放。加油站卸油、储油和加油时排放的油气，应采用以密闭收集为基础的油气回收方法进行控制，卸油应采用浸没式，埋地油罐应采用电子式液位计进行液位测量，除必要的维修外不得进行人工量油，加油产生的油气应采用真空辅助方式密闭收集，加油站正常运行时，地下罐应急排空管手动阀门在非必要时应关闭并铅封，应急开启后应及时报告当地生态环境部门，做好台账记录。</w:t>
                  </w:r>
                </w:p>
              </w:tc>
              <w:tc>
                <w:tcPr>
                  <w:tcW w:w="679" w:type="dxa"/>
                  <w:vAlign w:val="center"/>
                </w:tcPr>
                <w:p>
                  <w:pPr>
                    <w:pStyle w:val="15"/>
                    <w:spacing w:after="0"/>
                    <w:ind w:left="0" w:leftChars="0" w:firstLine="0"/>
                    <w:jc w:val="center"/>
                    <w:rPr>
                      <w:color w:val="000000"/>
                      <w:sz w:val="21"/>
                      <w:szCs w:val="21"/>
                    </w:rPr>
                  </w:pPr>
                  <w:r>
                    <w:rPr>
                      <w:color w:val="000000"/>
                      <w:sz w:val="21"/>
                      <w:szCs w:val="21"/>
                    </w:rPr>
                    <w:t>项目采用高效密封储罐储存原料，安装油气回收装置，回收率＞90%</w:t>
                  </w:r>
                </w:p>
              </w:tc>
              <w:tc>
                <w:tcPr>
                  <w:tcW w:w="833" w:type="dxa"/>
                  <w:vAlign w:val="center"/>
                </w:tcPr>
                <w:p>
                  <w:pPr>
                    <w:pStyle w:val="15"/>
                    <w:spacing w:after="0"/>
                    <w:ind w:left="0" w:leftChars="0" w:firstLine="0"/>
                    <w:jc w:val="center"/>
                    <w:rPr>
                      <w:color w:val="000000"/>
                      <w:sz w:val="21"/>
                      <w:szCs w:val="21"/>
                    </w:rPr>
                  </w:pPr>
                  <w:r>
                    <w:rPr>
                      <w:color w:val="000000"/>
                      <w:sz w:val="21"/>
                      <w:szCs w:val="21"/>
                    </w:rPr>
                    <w:t>相符</w:t>
                  </w:r>
                </w:p>
              </w:tc>
            </w:tr>
          </w:tbl>
          <w:p>
            <w:pPr>
              <w:pStyle w:val="63"/>
              <w:spacing w:before="120" w:beforeLines="50"/>
              <w:ind w:firstLine="482" w:firstLineChars="200"/>
              <w:rPr>
                <w:color w:val="000000"/>
                <w:sz w:val="24"/>
              </w:rPr>
            </w:pPr>
            <w:r>
              <w:rPr>
                <w:rFonts w:hint="eastAsia"/>
                <w:color w:val="000000"/>
                <w:sz w:val="24"/>
              </w:rPr>
              <w:t>3</w:t>
            </w:r>
            <w:r>
              <w:rPr>
                <w:color w:val="000000"/>
                <w:sz w:val="24"/>
              </w:rPr>
              <w:t>、本项目与《</w:t>
            </w:r>
            <w:r>
              <w:rPr>
                <w:rFonts w:hint="eastAsia"/>
                <w:color w:val="000000"/>
                <w:sz w:val="24"/>
              </w:rPr>
              <w:t>油品储运销挥发性有机物治理实用手册</w:t>
            </w:r>
            <w:r>
              <w:rPr>
                <w:color w:val="000000"/>
                <w:sz w:val="24"/>
              </w:rPr>
              <w:t>》相符性分析</w:t>
            </w:r>
          </w:p>
          <w:p>
            <w:pPr>
              <w:jc w:val="center"/>
              <w:rPr>
                <w:b/>
                <w:bCs/>
                <w:color w:val="333333"/>
                <w:sz w:val="24"/>
              </w:rPr>
            </w:pPr>
            <w:r>
              <w:rPr>
                <w:rFonts w:hint="eastAsia" w:ascii="宋体" w:hAnsi="宋体" w:cs="宋体"/>
                <w:b/>
                <w:bCs/>
                <w:color w:val="333333"/>
                <w:sz w:val="24"/>
              </w:rPr>
              <w:t>表</w:t>
            </w:r>
            <w:r>
              <w:rPr>
                <w:b/>
                <w:bCs/>
                <w:color w:val="333333"/>
                <w:sz w:val="24"/>
              </w:rPr>
              <w:t>1-</w:t>
            </w:r>
            <w:r>
              <w:rPr>
                <w:rFonts w:hint="eastAsia"/>
                <w:b/>
                <w:bCs/>
                <w:color w:val="333333"/>
                <w:sz w:val="24"/>
              </w:rPr>
              <w:t>6</w:t>
            </w:r>
            <w:r>
              <w:rPr>
                <w:b/>
                <w:bCs/>
                <w:color w:val="333333"/>
                <w:sz w:val="24"/>
              </w:rPr>
              <w:t xml:space="preserve"> 本项目与《油品储运销挥发性有机物治理实用手册》相符性分析</w:t>
            </w:r>
          </w:p>
          <w:tbl>
            <w:tblPr>
              <w:tblStyle w:val="23"/>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15"/>
              <w:gridCol w:w="197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9" w:type="dxa"/>
                  <w:gridSpan w:val="2"/>
                  <w:vAlign w:val="center"/>
                </w:tcPr>
                <w:p>
                  <w:pPr>
                    <w:jc w:val="center"/>
                    <w:rPr>
                      <w:rFonts w:eastAsia="微软雅黑"/>
                      <w:b/>
                      <w:bCs/>
                      <w:color w:val="000000"/>
                      <w:szCs w:val="21"/>
                    </w:rPr>
                  </w:pPr>
                  <w:r>
                    <w:rPr>
                      <w:rFonts w:hint="eastAsia" w:ascii="宋体" w:hAnsi="宋体" w:cs="宋体"/>
                      <w:b/>
                      <w:bCs/>
                      <w:color w:val="333333"/>
                      <w:szCs w:val="21"/>
                    </w:rPr>
                    <w:t>油品储运销挥发性有机物治理实用手册</w:t>
                  </w:r>
                </w:p>
              </w:tc>
              <w:tc>
                <w:tcPr>
                  <w:tcW w:w="1972" w:type="dxa"/>
                  <w:vAlign w:val="center"/>
                </w:tcPr>
                <w:p>
                  <w:pPr>
                    <w:pStyle w:val="15"/>
                    <w:spacing w:after="0"/>
                    <w:ind w:left="0" w:leftChars="0" w:firstLine="0"/>
                    <w:jc w:val="center"/>
                    <w:rPr>
                      <w:b/>
                      <w:bCs/>
                      <w:color w:val="000000"/>
                      <w:sz w:val="21"/>
                      <w:szCs w:val="21"/>
                    </w:rPr>
                  </w:pPr>
                  <w:r>
                    <w:rPr>
                      <w:b/>
                      <w:bCs/>
                      <w:color w:val="000000"/>
                      <w:sz w:val="21"/>
                      <w:szCs w:val="21"/>
                    </w:rPr>
                    <w:t>本工程情况</w:t>
                  </w:r>
                </w:p>
              </w:tc>
              <w:tc>
                <w:tcPr>
                  <w:tcW w:w="735" w:type="dxa"/>
                  <w:vAlign w:val="center"/>
                </w:tcPr>
                <w:p>
                  <w:pPr>
                    <w:pStyle w:val="15"/>
                    <w:spacing w:after="0"/>
                    <w:ind w:left="0" w:leftChars="0" w:firstLine="0"/>
                    <w:jc w:val="center"/>
                    <w:rPr>
                      <w:b/>
                      <w:bCs/>
                      <w:color w:val="000000"/>
                      <w:sz w:val="21"/>
                      <w:szCs w:val="21"/>
                    </w:rPr>
                  </w:pPr>
                  <w:r>
                    <w:rPr>
                      <w:b/>
                      <w:bCs/>
                      <w:color w:val="00000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加油</w:t>
                  </w:r>
                </w:p>
              </w:tc>
              <w:tc>
                <w:tcPr>
                  <w:tcW w:w="2815" w:type="dxa"/>
                  <w:vAlign w:val="center"/>
                </w:tcPr>
                <w:p>
                  <w:pPr>
                    <w:rPr>
                      <w:rFonts w:eastAsia="Times New Roman"/>
                      <w:szCs w:val="21"/>
                      <w:lang w:val="zh-CN"/>
                    </w:rPr>
                  </w:pPr>
                  <w:r>
                    <w:rPr>
                      <w:rFonts w:eastAsia="Times New Roman"/>
                      <w:szCs w:val="21"/>
                      <w:lang w:val="zh-CN"/>
                    </w:rPr>
                    <w:t>需使用油气回收型加油枪，有密封罩，且密封罩完好无损。应采用真空辅助方式密闭收集加油油气，加油时油气回收泵需正常工作。需将密封罩紧密贴在汽车油箱加油口进行加油作业。当汽车油箱油面达到自动停止加油高度时，不应再向油箱内加油。应配备具有拉断截止阀的加油软管，加油时不得溢油、滴油。油气回收管线上的开关应常开，检测口开关应常闭。加油机内油气回收相关管路、接头不得有跑冒滴漏现象。油气回收检测口安装合理，有控制开关、堵头，周围空间方便检测操作。</w:t>
                  </w:r>
                </w:p>
                <w:p>
                  <w:pPr>
                    <w:rPr>
                      <w:rFonts w:eastAsia="Times New Roman"/>
                      <w:szCs w:val="21"/>
                      <w:lang w:val="zh-CN"/>
                    </w:rPr>
                  </w:pPr>
                  <w:r>
                    <w:rPr>
                      <w:rFonts w:eastAsia="Times New Roman"/>
                      <w:szCs w:val="21"/>
                      <w:lang w:val="zh-CN"/>
                    </w:rPr>
                    <w:t>给摩托车加油时，应由加油枪直接为摩托车加油，禁止使用油壶或油桶等容器。</w:t>
                  </w:r>
                </w:p>
              </w:tc>
              <w:tc>
                <w:tcPr>
                  <w:tcW w:w="1972" w:type="dxa"/>
                  <w:vAlign w:val="center"/>
                </w:tcPr>
                <w:p>
                  <w:pPr>
                    <w:rPr>
                      <w:rFonts w:eastAsia="Times New Roman"/>
                      <w:szCs w:val="21"/>
                      <w:lang w:val="zh-CN"/>
                    </w:rPr>
                  </w:pPr>
                  <w:r>
                    <w:rPr>
                      <w:rFonts w:hint="eastAsia" w:eastAsia="Times New Roman"/>
                      <w:szCs w:val="21"/>
                      <w:lang w:val="zh-CN"/>
                    </w:rPr>
                    <w:t>本项目使用油气回收型加油枪，且有密封罩，密封罩完好无损。</w:t>
                  </w:r>
                  <w:r>
                    <w:rPr>
                      <w:rFonts w:eastAsia="Times New Roman"/>
                      <w:szCs w:val="21"/>
                      <w:lang w:val="zh-CN"/>
                    </w:rPr>
                    <w:t>采用真空辅助方式密闭收集加油油气，加油时油气回收泵正常工作</w:t>
                  </w:r>
                  <w:r>
                    <w:rPr>
                      <w:rFonts w:hint="eastAsia" w:eastAsia="Times New Roman"/>
                      <w:szCs w:val="21"/>
                      <w:lang w:val="zh-CN"/>
                    </w:rPr>
                    <w:t>。</w:t>
                  </w:r>
                  <w:r>
                    <w:rPr>
                      <w:rFonts w:eastAsia="Times New Roman"/>
                      <w:szCs w:val="21"/>
                      <w:lang w:val="zh-CN"/>
                    </w:rPr>
                    <w:t>配备具有拉断截止阀的加油软管，加油时不溢油、滴油</w:t>
                  </w:r>
                  <w:r>
                    <w:rPr>
                      <w:rFonts w:hint="eastAsia" w:eastAsia="Times New Roman"/>
                      <w:szCs w:val="21"/>
                      <w:lang w:val="zh-CN"/>
                    </w:rPr>
                    <w:t>。</w:t>
                  </w:r>
                  <w:r>
                    <w:rPr>
                      <w:rFonts w:eastAsia="Times New Roman"/>
                      <w:szCs w:val="21"/>
                      <w:lang w:val="zh-CN"/>
                    </w:rPr>
                    <w:t>油气回收管线上的开关应常开，检测口开关应常闭。加油机内油气回收相关管路、接头不得有跑冒滴漏现象。</w:t>
                  </w:r>
                  <w:r>
                    <w:rPr>
                      <w:rFonts w:hint="eastAsia" w:eastAsia="Times New Roman"/>
                      <w:szCs w:val="21"/>
                      <w:lang w:val="zh-CN"/>
                    </w:rPr>
                    <w:t>加油工作人员全部经培训上岗，严格按照加油规范要求执行</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卸油</w:t>
                  </w:r>
                </w:p>
              </w:tc>
              <w:tc>
                <w:tcPr>
                  <w:tcW w:w="2815" w:type="dxa"/>
                  <w:vAlign w:val="center"/>
                </w:tcPr>
                <w:p>
                  <w:pPr>
                    <w:rPr>
                      <w:color w:val="000000"/>
                      <w:szCs w:val="21"/>
                    </w:rPr>
                  </w:pPr>
                  <w:r>
                    <w:rPr>
                      <w:rFonts w:eastAsia="Times New Roman"/>
                      <w:szCs w:val="21"/>
                      <w:lang w:val="zh-CN"/>
                    </w:rPr>
                    <w:t>卸油口和油气回收接口应安装截流阀（或密封式快速接头）和帽盖。连接软管应采用密封式快速接头与卸油车连接，卸油后连接软管内不能存留残油。所有油气管线排放口应设置压力/真空阀。卸油时应保证卸油油气回收系统密闭。卸油前卸油软管和油气回收软管应与油罐汽车和埋地油罐紧密连接，然后开启油气回收管路阀门，再开启卸油管路阀门进行卸油作业。卸油后应先关闭与卸油软管及油气回收软管相关的阀门，再断开卸油软管和油气回收软管，卸油软管和油气回收软管内应没有残油。卸油全过程要在视频监控下进行，视频角度应能观测到两根管道的连接状况。卸油完毕后，应确保油气回收阀及卸油阀关严关实。</w:t>
                  </w:r>
                </w:p>
              </w:tc>
              <w:tc>
                <w:tcPr>
                  <w:tcW w:w="1972" w:type="dxa"/>
                  <w:vAlign w:val="center"/>
                </w:tcPr>
                <w:p>
                  <w:pPr>
                    <w:rPr>
                      <w:rFonts w:eastAsia="Times New Roman"/>
                      <w:szCs w:val="21"/>
                      <w:lang w:val="zh-CN"/>
                    </w:rPr>
                  </w:pPr>
                  <w:r>
                    <w:rPr>
                      <w:rFonts w:eastAsia="Times New Roman"/>
                      <w:szCs w:val="21"/>
                      <w:lang w:val="zh-CN"/>
                    </w:rPr>
                    <w:t>卸油口和油气回收接口安装截流阀（或密封式快速接头）和帽盖</w:t>
                  </w:r>
                  <w:r>
                    <w:rPr>
                      <w:rFonts w:hint="eastAsia" w:eastAsia="Times New Roman"/>
                      <w:szCs w:val="21"/>
                      <w:lang w:val="zh-CN"/>
                    </w:rPr>
                    <w:t>；</w:t>
                  </w:r>
                  <w:r>
                    <w:rPr>
                      <w:rFonts w:eastAsia="Times New Roman"/>
                      <w:szCs w:val="21"/>
                      <w:lang w:val="zh-CN"/>
                    </w:rPr>
                    <w:t>连接软管采用密封式快速接头与卸油车连接，卸油后连接软管</w:t>
                  </w:r>
                  <w:r>
                    <w:rPr>
                      <w:rFonts w:eastAsia="Times New Roman"/>
                      <w:color w:val="0000FF"/>
                      <w:szCs w:val="21"/>
                      <w:lang w:val="zh-CN"/>
                    </w:rPr>
                    <w:t>内</w:t>
                  </w:r>
                  <w:r>
                    <w:rPr>
                      <w:rFonts w:hint="eastAsia"/>
                      <w:color w:val="0000FF"/>
                      <w:szCs w:val="21"/>
                    </w:rPr>
                    <w:t>无</w:t>
                  </w:r>
                  <w:r>
                    <w:rPr>
                      <w:rFonts w:eastAsia="Times New Roman"/>
                      <w:color w:val="0000FF"/>
                      <w:szCs w:val="21"/>
                      <w:lang w:val="zh-CN"/>
                    </w:rPr>
                    <w:t>残</w:t>
                  </w:r>
                  <w:r>
                    <w:rPr>
                      <w:rFonts w:eastAsia="Times New Roman"/>
                      <w:szCs w:val="21"/>
                      <w:lang w:val="zh-CN"/>
                    </w:rPr>
                    <w:t>油。卸油时卸油油气回收系统密闭。卸油前卸油软管和油气回收软管与油罐汽车和埋地油罐紧密连接，然后开启油气回收管路阀门，再开启卸油管路阀门进行卸油作业。卸油后先关闭与卸油软管及油气回收软管相关的阀门，再断开卸油软管和油气回收软管，卸油软管和油气回收软管内</w:t>
                  </w:r>
                  <w:r>
                    <w:rPr>
                      <w:rFonts w:hint="eastAsia"/>
                      <w:szCs w:val="21"/>
                    </w:rPr>
                    <w:t>无</w:t>
                  </w:r>
                  <w:r>
                    <w:rPr>
                      <w:rFonts w:eastAsia="Times New Roman"/>
                      <w:szCs w:val="21"/>
                      <w:lang w:val="zh-CN"/>
                    </w:rPr>
                    <w:t>残油。</w:t>
                  </w:r>
                </w:p>
                <w:p>
                  <w:pPr>
                    <w:rPr>
                      <w:rFonts w:eastAsia="Times New Roman"/>
                      <w:szCs w:val="21"/>
                      <w:lang w:val="zh-CN"/>
                    </w:rPr>
                  </w:pPr>
                  <w:r>
                    <w:rPr>
                      <w:rFonts w:eastAsia="Times New Roman"/>
                      <w:szCs w:val="21"/>
                      <w:lang w:val="zh-CN"/>
                    </w:rPr>
                    <w:t>卸油</w:t>
                  </w:r>
                  <w:r>
                    <w:rPr>
                      <w:rFonts w:hint="eastAsia"/>
                      <w:szCs w:val="21"/>
                    </w:rPr>
                    <w:t>处安装视频监控，</w:t>
                  </w:r>
                  <w:r>
                    <w:rPr>
                      <w:rFonts w:eastAsia="Times New Roman"/>
                      <w:szCs w:val="21"/>
                      <w:lang w:val="zh-CN"/>
                    </w:rPr>
                    <w:t>全过程在视频监控下进行，视频角度能观测到两根管道的连接状况。</w:t>
                  </w:r>
                </w:p>
                <w:p>
                  <w:pPr>
                    <w:pStyle w:val="15"/>
                    <w:spacing w:after="0"/>
                    <w:ind w:left="0" w:leftChars="0" w:firstLine="0"/>
                    <w:jc w:val="center"/>
                    <w:rPr>
                      <w:rFonts w:eastAsia="Times New Roman"/>
                      <w:sz w:val="21"/>
                      <w:szCs w:val="21"/>
                    </w:rPr>
                  </w:pPr>
                  <w:r>
                    <w:rPr>
                      <w:rFonts w:eastAsia="Times New Roman"/>
                      <w:sz w:val="21"/>
                      <w:szCs w:val="21"/>
                      <w:lang w:val="zh-CN"/>
                    </w:rPr>
                    <w:t>卸油完毕后，油气回收阀及卸油阀关严关实。</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汽油密封储存</w:t>
                  </w:r>
                </w:p>
              </w:tc>
              <w:tc>
                <w:tcPr>
                  <w:tcW w:w="2815" w:type="dxa"/>
                  <w:vAlign w:val="center"/>
                </w:tcPr>
                <w:p>
                  <w:pPr>
                    <w:rPr>
                      <w:szCs w:val="21"/>
                    </w:rPr>
                  </w:pPr>
                  <w:r>
                    <w:rPr>
                      <w:rFonts w:eastAsia="Times New Roman"/>
                      <w:szCs w:val="21"/>
                      <w:lang w:val="zh-CN"/>
                    </w:rPr>
                    <w:t>埋地油罐应采用电子式液位计进行油气密闭测量，避免人工量油的情况，宜选择具有测漏功能的电子式液位测量系统。所有影响储油油气密闭性的部件，包括油气管线和所连接的法兰、阀门、快接头以及其他相关部件应保证不漏气。对于未安装后处理装置的加油站，应将顶部安装了真空/压力阀（P/V阀）的油气排放管上的阀门保持常开；原顶部安装了防火罩的油气排放管上的阀门应保持常闭；对于按照油气回收后处理设施的，原有真空/压力阀（P/V阀）和防火罩的有油气排放管上的阀门均需保持关闭。</w:t>
                  </w:r>
                </w:p>
              </w:tc>
              <w:tc>
                <w:tcPr>
                  <w:tcW w:w="1972" w:type="dxa"/>
                  <w:vAlign w:val="center"/>
                </w:tcPr>
                <w:p>
                  <w:pPr>
                    <w:pStyle w:val="15"/>
                    <w:spacing w:after="0"/>
                    <w:ind w:left="0" w:leftChars="0" w:firstLine="0"/>
                    <w:jc w:val="center"/>
                    <w:rPr>
                      <w:sz w:val="21"/>
                      <w:szCs w:val="21"/>
                    </w:rPr>
                  </w:pPr>
                  <w:r>
                    <w:rPr>
                      <w:rFonts w:ascii="宋体" w:hAnsi="宋体" w:cs="宋体"/>
                      <w:sz w:val="21"/>
                      <w:szCs w:val="21"/>
                    </w:rPr>
                    <w:t>本项目为</w:t>
                  </w:r>
                  <w:r>
                    <w:rPr>
                      <w:rFonts w:hint="eastAsia"/>
                      <w:sz w:val="21"/>
                      <w:szCs w:val="21"/>
                    </w:rPr>
                    <w:t>撬装加油装置，</w:t>
                  </w:r>
                  <w:r>
                    <w:rPr>
                      <w:rFonts w:ascii="宋体" w:hAnsi="宋体" w:cs="宋体"/>
                      <w:sz w:val="21"/>
                      <w:szCs w:val="21"/>
                    </w:rPr>
                    <w:t>不属于</w:t>
                  </w:r>
                  <w:r>
                    <w:rPr>
                      <w:rFonts w:eastAsia="Times New Roman"/>
                      <w:sz w:val="21"/>
                      <w:szCs w:val="21"/>
                      <w:lang w:val="zh-CN"/>
                    </w:rPr>
                    <w:t>埋地油罐</w:t>
                  </w:r>
                </w:p>
              </w:tc>
              <w:tc>
                <w:tcPr>
                  <w:tcW w:w="735" w:type="dxa"/>
                  <w:vAlign w:val="center"/>
                </w:tcPr>
                <w:p>
                  <w:pPr>
                    <w:pStyle w:val="15"/>
                    <w:spacing w:after="0"/>
                    <w:ind w:left="0" w:leftChars="0" w:firstLine="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检查维修</w:t>
                  </w:r>
                </w:p>
              </w:tc>
              <w:tc>
                <w:tcPr>
                  <w:tcW w:w="2815" w:type="dxa"/>
                  <w:vAlign w:val="center"/>
                </w:tcPr>
                <w:p>
                  <w:pPr>
                    <w:rPr>
                      <w:color w:val="000000"/>
                      <w:szCs w:val="21"/>
                    </w:rPr>
                  </w:pPr>
                  <w:r>
                    <w:rPr>
                      <w:rFonts w:eastAsia="Times New Roman"/>
                      <w:szCs w:val="21"/>
                      <w:lang w:val="zh-CN"/>
                    </w:rPr>
                    <w:t>指定专人负责油气回收设施，组织日常检查，如实填写检查、维修记录。</w:t>
                  </w:r>
                </w:p>
              </w:tc>
              <w:tc>
                <w:tcPr>
                  <w:tcW w:w="1972" w:type="dxa"/>
                  <w:vAlign w:val="center"/>
                </w:tcPr>
                <w:p>
                  <w:pPr>
                    <w:pStyle w:val="15"/>
                    <w:spacing w:after="0"/>
                    <w:ind w:left="0" w:leftChars="0" w:firstLine="0"/>
                    <w:jc w:val="center"/>
                    <w:rPr>
                      <w:color w:val="000000"/>
                      <w:sz w:val="21"/>
                      <w:szCs w:val="21"/>
                    </w:rPr>
                  </w:pPr>
                  <w:r>
                    <w:rPr>
                      <w:rFonts w:hint="eastAsia"/>
                      <w:color w:val="000000"/>
                      <w:sz w:val="21"/>
                      <w:szCs w:val="21"/>
                    </w:rPr>
                    <w:t>制定环境保护管理制度，落实专人负责</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油气回收系统检测</w:t>
                  </w:r>
                </w:p>
              </w:tc>
              <w:tc>
                <w:tcPr>
                  <w:tcW w:w="2815" w:type="dxa"/>
                  <w:vAlign w:val="center"/>
                </w:tcPr>
                <w:p>
                  <w:pPr>
                    <w:rPr>
                      <w:color w:val="000000"/>
                      <w:szCs w:val="21"/>
                    </w:rPr>
                  </w:pPr>
                  <w:r>
                    <w:rPr>
                      <w:rFonts w:eastAsia="Times New Roman"/>
                      <w:szCs w:val="21"/>
                      <w:lang w:val="zh-CN"/>
                    </w:rPr>
                    <w:t>每年至少1次对系统气液比、密闭性、液阻、后处理装置（如有）油气排放浓度等指标进行委托检测。检测报告到期前需重新进行检测，鼓励加油站加强自检频次。</w:t>
                  </w:r>
                </w:p>
              </w:tc>
              <w:tc>
                <w:tcPr>
                  <w:tcW w:w="1972" w:type="dxa"/>
                  <w:vAlign w:val="center"/>
                </w:tcPr>
                <w:p>
                  <w:pPr>
                    <w:pStyle w:val="15"/>
                    <w:spacing w:after="0"/>
                    <w:ind w:left="0" w:leftChars="0" w:firstLine="0"/>
                    <w:jc w:val="center"/>
                    <w:rPr>
                      <w:color w:val="000000"/>
                      <w:sz w:val="21"/>
                      <w:szCs w:val="21"/>
                    </w:rPr>
                  </w:pPr>
                  <w:r>
                    <w:rPr>
                      <w:rFonts w:hint="eastAsia"/>
                      <w:color w:val="000000"/>
                      <w:sz w:val="21"/>
                      <w:szCs w:val="21"/>
                    </w:rPr>
                    <w:t>已制定监测计划，运行后严格按照监测计划执行</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在线监控系统</w:t>
                  </w:r>
                </w:p>
              </w:tc>
              <w:tc>
                <w:tcPr>
                  <w:tcW w:w="2815" w:type="dxa"/>
                  <w:vAlign w:val="center"/>
                </w:tcPr>
                <w:p>
                  <w:pPr>
                    <w:rPr>
                      <w:rFonts w:eastAsia="Times New Roman"/>
                      <w:szCs w:val="21"/>
                      <w:lang w:val="zh-CN"/>
                    </w:rPr>
                  </w:pPr>
                  <w:r>
                    <w:rPr>
                      <w:rFonts w:eastAsia="Times New Roman"/>
                      <w:szCs w:val="21"/>
                      <w:lang w:val="zh-CN"/>
                    </w:rPr>
                    <w:t>符合下列条件之一的加油站应安装在线监测系统：</w:t>
                  </w:r>
                </w:p>
                <w:p>
                  <w:pPr>
                    <w:rPr>
                      <w:rFonts w:eastAsia="Times New Roman"/>
                      <w:szCs w:val="21"/>
                      <w:lang w:val="zh-CN"/>
                    </w:rPr>
                  </w:pPr>
                  <w:r>
                    <w:rPr>
                      <w:rFonts w:eastAsia="Times New Roman"/>
                      <w:szCs w:val="21"/>
                      <w:lang w:val="zh-CN"/>
                    </w:rPr>
                    <w:t>年销售汽油量大于8000t的加油站。臭氧浓度超标城市年销售汽油量大于5000t的加油站。省级生态环境主管部门确定的其他需要安装在线监测系统的加油站。</w:t>
                  </w:r>
                </w:p>
                <w:p>
                  <w:pPr>
                    <w:rPr>
                      <w:color w:val="000000"/>
                      <w:szCs w:val="21"/>
                    </w:rPr>
                  </w:pPr>
                  <w:r>
                    <w:rPr>
                      <w:rFonts w:eastAsia="Times New Roman"/>
                      <w:szCs w:val="21"/>
                      <w:lang w:val="zh-CN"/>
                    </w:rPr>
                    <w:t>应定期对线监控系统进行校准，并和检测报告进行比对。</w:t>
                  </w:r>
                </w:p>
              </w:tc>
              <w:tc>
                <w:tcPr>
                  <w:tcW w:w="1972" w:type="dxa"/>
                  <w:vAlign w:val="center"/>
                </w:tcPr>
                <w:p>
                  <w:pPr>
                    <w:pStyle w:val="15"/>
                    <w:spacing w:after="0"/>
                    <w:ind w:left="0" w:leftChars="0" w:firstLine="0"/>
                    <w:jc w:val="center"/>
                    <w:rPr>
                      <w:color w:val="000000"/>
                      <w:sz w:val="21"/>
                      <w:szCs w:val="21"/>
                    </w:rPr>
                  </w:pPr>
                  <w:r>
                    <w:rPr>
                      <w:rFonts w:hint="eastAsia"/>
                      <w:color w:val="000000"/>
                      <w:sz w:val="21"/>
                      <w:szCs w:val="21"/>
                    </w:rPr>
                    <w:t>本项目位于宿州市属于臭氧浓度超标城市，预计年加油量为480</w:t>
                  </w:r>
                  <w:r>
                    <w:rPr>
                      <w:rFonts w:eastAsia="Times New Roman"/>
                      <w:szCs w:val="21"/>
                      <w:lang w:val="zh-CN"/>
                    </w:rPr>
                    <w:t>t</w:t>
                  </w:r>
                  <w:r>
                    <w:rPr>
                      <w:rFonts w:hint="eastAsia"/>
                      <w:color w:val="000000"/>
                      <w:sz w:val="21"/>
                      <w:szCs w:val="21"/>
                    </w:rPr>
                    <w:t>，不需要安装在线监控系统范围内。如生态环境主管部门确定需要安装，企业立即执行</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17"/>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台账</w:t>
                  </w:r>
                </w:p>
              </w:tc>
              <w:tc>
                <w:tcPr>
                  <w:tcW w:w="2815" w:type="dxa"/>
                  <w:vAlign w:val="center"/>
                </w:tcPr>
                <w:p>
                  <w:pPr>
                    <w:rPr>
                      <w:color w:val="000000"/>
                      <w:szCs w:val="21"/>
                    </w:rPr>
                  </w:pPr>
                  <w:r>
                    <w:rPr>
                      <w:rFonts w:hint="eastAsia"/>
                      <w:color w:val="000000"/>
                      <w:szCs w:val="21"/>
                    </w:rPr>
                    <w:t>运行后按照《</w:t>
                  </w:r>
                  <w:r>
                    <w:rPr>
                      <w:rFonts w:hint="eastAsia" w:ascii="宋体" w:hAnsi="宋体" w:cs="宋体"/>
                      <w:color w:val="333333"/>
                      <w:szCs w:val="21"/>
                    </w:rPr>
                    <w:t>油品储运销挥发性有机物治理实用手册</w:t>
                  </w:r>
                  <w:r>
                    <w:rPr>
                      <w:rFonts w:hint="eastAsia"/>
                      <w:color w:val="000000"/>
                      <w:szCs w:val="21"/>
                    </w:rPr>
                    <w:t>》要求，建立台账</w:t>
                  </w:r>
                </w:p>
              </w:tc>
              <w:tc>
                <w:tcPr>
                  <w:tcW w:w="1972" w:type="dxa"/>
                  <w:vAlign w:val="center"/>
                </w:tcPr>
                <w:p>
                  <w:pPr>
                    <w:pStyle w:val="15"/>
                    <w:spacing w:after="0"/>
                    <w:ind w:left="0" w:leftChars="0" w:firstLine="0"/>
                    <w:jc w:val="center"/>
                    <w:rPr>
                      <w:color w:val="000000"/>
                      <w:sz w:val="21"/>
                      <w:szCs w:val="21"/>
                    </w:rPr>
                  </w:pPr>
                  <w:r>
                    <w:rPr>
                      <w:rFonts w:hint="eastAsia"/>
                      <w:color w:val="000000"/>
                      <w:sz w:val="21"/>
                      <w:szCs w:val="21"/>
                    </w:rPr>
                    <w:t>运行后按照手册要求建立台账</w:t>
                  </w:r>
                </w:p>
              </w:tc>
              <w:tc>
                <w:tcPr>
                  <w:tcW w:w="735" w:type="dxa"/>
                  <w:vAlign w:val="center"/>
                </w:tcPr>
                <w:p>
                  <w:pPr>
                    <w:pStyle w:val="15"/>
                    <w:spacing w:after="0"/>
                    <w:ind w:left="0" w:leftChars="0" w:firstLine="0"/>
                    <w:jc w:val="center"/>
                    <w:rPr>
                      <w:color w:val="000000"/>
                      <w:sz w:val="21"/>
                      <w:szCs w:val="21"/>
                    </w:rPr>
                  </w:pPr>
                  <w:r>
                    <w:rPr>
                      <w:rFonts w:hint="eastAsia"/>
                      <w:color w:val="000000"/>
                      <w:sz w:val="21"/>
                      <w:szCs w:val="21"/>
                    </w:rPr>
                    <w:t>符合</w:t>
                  </w:r>
                </w:p>
              </w:tc>
            </w:tr>
          </w:tbl>
          <w:p>
            <w:pPr>
              <w:pStyle w:val="25"/>
              <w:spacing w:line="360" w:lineRule="auto"/>
              <w:ind w:firstLine="482" w:firstLineChars="200"/>
              <w:rPr>
                <w:rFonts w:ascii="Times New Roman" w:cs="Times New Roman"/>
                <w:b/>
                <w:bCs/>
              </w:rPr>
            </w:pPr>
            <w:r>
              <w:rPr>
                <w:rFonts w:hint="eastAsia" w:ascii="Times New Roman" w:cs="Times New Roman"/>
                <w:b/>
                <w:bCs/>
              </w:rPr>
              <w:t>4</w:t>
            </w:r>
            <w:r>
              <w:rPr>
                <w:rFonts w:ascii="Times New Roman" w:cs="Times New Roman"/>
                <w:b/>
                <w:bCs/>
              </w:rPr>
              <w:t xml:space="preserve">、《挥发性有机物无组织排放控制标准》（GB 37822-2019）中相关无组织排放管控要求的相符性分析 </w:t>
            </w:r>
          </w:p>
          <w:p>
            <w:pPr>
              <w:autoSpaceDE w:val="0"/>
              <w:autoSpaceDN w:val="0"/>
              <w:adjustRightInd w:val="0"/>
              <w:snapToGrid w:val="0"/>
              <w:spacing w:line="360" w:lineRule="auto"/>
              <w:ind w:firstLine="480" w:firstLineChars="200"/>
              <w:jc w:val="center"/>
              <w:rPr>
                <w:color w:val="000000"/>
                <w:sz w:val="24"/>
              </w:rPr>
            </w:pPr>
            <w:r>
              <w:rPr>
                <w:color w:val="000000"/>
                <w:sz w:val="24"/>
              </w:rPr>
              <w:t>本项目VOC</w:t>
            </w:r>
            <w:r>
              <w:rPr>
                <w:color w:val="000000"/>
                <w:sz w:val="24"/>
                <w:vertAlign w:val="subscript"/>
              </w:rPr>
              <w:t>S</w:t>
            </w:r>
            <w:r>
              <w:rPr>
                <w:color w:val="000000"/>
                <w:sz w:val="24"/>
              </w:rPr>
              <w:t>物料管控与《挥发性有机物无组织排放控制标准》（GB37822-2019）中相关无组织排放管控要求相符性分析见表1-</w:t>
            </w:r>
            <w:r>
              <w:rPr>
                <w:rFonts w:hint="eastAsia"/>
                <w:color w:val="000000"/>
                <w:sz w:val="24"/>
              </w:rPr>
              <w:t>10</w:t>
            </w:r>
            <w:r>
              <w:rPr>
                <w:color w:val="000000"/>
                <w:sz w:val="24"/>
              </w:rPr>
              <w:t>，从表中可知，本项目符合标准要求。</w:t>
            </w:r>
          </w:p>
          <w:p>
            <w:pPr>
              <w:pStyle w:val="25"/>
              <w:jc w:val="center"/>
              <w:rPr>
                <w:rFonts w:ascii="Times New Roman" w:cs="Times New Roman"/>
                <w:b/>
                <w:bCs/>
              </w:rPr>
            </w:pPr>
            <w:r>
              <w:rPr>
                <w:rFonts w:ascii="Times New Roman" w:cs="Times New Roman"/>
                <w:b/>
                <w:bCs/>
              </w:rPr>
              <w:t>表1-</w:t>
            </w:r>
            <w:r>
              <w:rPr>
                <w:rFonts w:hint="eastAsia" w:ascii="Times New Roman" w:cs="Times New Roman"/>
                <w:b/>
                <w:bCs/>
              </w:rPr>
              <w:t xml:space="preserve">7  </w:t>
            </w:r>
            <w:r>
              <w:rPr>
                <w:rFonts w:ascii="Times New Roman" w:cs="Times New Roman"/>
                <w:b/>
                <w:bCs/>
              </w:rPr>
              <w:t>本项目与《挥发性有机物无组织排放控制标准》（GB37822-2019）相符性分析</w:t>
            </w:r>
          </w:p>
          <w:tbl>
            <w:tblPr>
              <w:tblStyle w:val="23"/>
              <w:tblW w:w="6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411"/>
              <w:gridCol w:w="155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8" w:type="dxa"/>
                  <w:gridSpan w:val="2"/>
                  <w:vAlign w:val="center"/>
                </w:tcPr>
                <w:p>
                  <w:pPr>
                    <w:jc w:val="center"/>
                    <w:rPr>
                      <w:b/>
                      <w:bCs/>
                      <w:color w:val="000000"/>
                      <w:szCs w:val="21"/>
                    </w:rPr>
                  </w:pPr>
                  <w:r>
                    <w:rPr>
                      <w:b/>
                      <w:bCs/>
                      <w:color w:val="000000"/>
                      <w:szCs w:val="21"/>
                    </w:rPr>
                    <w:t>《挥发性有机物无组织排放控制标准》</w:t>
                  </w:r>
                </w:p>
              </w:tc>
              <w:tc>
                <w:tcPr>
                  <w:tcW w:w="1550" w:type="dxa"/>
                  <w:vAlign w:val="center"/>
                </w:tcPr>
                <w:p>
                  <w:pPr>
                    <w:jc w:val="center"/>
                    <w:rPr>
                      <w:b/>
                      <w:bCs/>
                      <w:color w:val="000000"/>
                      <w:szCs w:val="21"/>
                    </w:rPr>
                  </w:pPr>
                  <w:r>
                    <w:rPr>
                      <w:b/>
                      <w:bCs/>
                      <w:color w:val="000000"/>
                      <w:szCs w:val="21"/>
                    </w:rPr>
                    <w:t>本项目</w:t>
                  </w:r>
                </w:p>
              </w:tc>
              <w:tc>
                <w:tcPr>
                  <w:tcW w:w="799" w:type="dxa"/>
                  <w:vAlign w:val="center"/>
                </w:tcPr>
                <w:p>
                  <w:pPr>
                    <w:jc w:val="center"/>
                    <w:rPr>
                      <w:b/>
                      <w:bCs/>
                      <w:color w:val="000000"/>
                      <w:szCs w:val="21"/>
                    </w:rPr>
                  </w:pPr>
                  <w:r>
                    <w:rPr>
                      <w:b/>
                      <w:bCs/>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restart"/>
                  <w:vAlign w:val="center"/>
                </w:tcPr>
                <w:p>
                  <w:pPr>
                    <w:jc w:val="center"/>
                    <w:rPr>
                      <w:color w:val="000000"/>
                      <w:szCs w:val="21"/>
                    </w:rPr>
                  </w:pPr>
                  <w:r>
                    <w:rPr>
                      <w:color w:val="000000"/>
                      <w:szCs w:val="21"/>
                    </w:rPr>
                    <w:t>运输过程</w:t>
                  </w:r>
                </w:p>
              </w:tc>
              <w:tc>
                <w:tcPr>
                  <w:tcW w:w="3411" w:type="dxa"/>
                  <w:vAlign w:val="center"/>
                </w:tcPr>
                <w:p>
                  <w:pPr>
                    <w:jc w:val="center"/>
                    <w:rPr>
                      <w:color w:val="000000"/>
                      <w:szCs w:val="21"/>
                    </w:rPr>
                  </w:pPr>
                  <w:r>
                    <w:rPr>
                      <w:color w:val="000000"/>
                      <w:szCs w:val="21"/>
                    </w:rPr>
                    <w:t>VOCS物料应储存于密闭的容器、包装袋、储罐、储库、料仓中。</w:t>
                  </w:r>
                </w:p>
              </w:tc>
              <w:tc>
                <w:tcPr>
                  <w:tcW w:w="1550" w:type="dxa"/>
                  <w:vAlign w:val="center"/>
                </w:tcPr>
                <w:p>
                  <w:pPr>
                    <w:jc w:val="center"/>
                    <w:rPr>
                      <w:color w:val="000000"/>
                      <w:szCs w:val="21"/>
                    </w:rPr>
                  </w:pPr>
                  <w:r>
                    <w:rPr>
                      <w:color w:val="000000"/>
                      <w:szCs w:val="21"/>
                    </w:rPr>
                    <w:t>本项目汽油、柴油储存于密闭的油罐内</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vAlign w:val="center"/>
                </w:tcPr>
                <w:p>
                  <w:pPr>
                    <w:jc w:val="center"/>
                    <w:rPr>
                      <w:color w:val="000000"/>
                      <w:szCs w:val="21"/>
                    </w:rPr>
                  </w:pPr>
                </w:p>
              </w:tc>
              <w:tc>
                <w:tcPr>
                  <w:tcW w:w="3411" w:type="dxa"/>
                  <w:vAlign w:val="center"/>
                </w:tcPr>
                <w:p>
                  <w:pPr>
                    <w:jc w:val="center"/>
                    <w:rPr>
                      <w:color w:val="000000"/>
                      <w:szCs w:val="21"/>
                    </w:rPr>
                  </w:pPr>
                  <w:r>
                    <w:rPr>
                      <w:color w:val="000000"/>
                      <w:szCs w:val="21"/>
                    </w:rPr>
                    <w:t>盛装VOCs物料的容器或包装应存放于室内，或存放于设置有雨棚、遮阳和防渗设施的专用场地。盛装VOCs的容器或包装袋在非取用状态时应加盖、封口、保持密闭</w:t>
                  </w:r>
                </w:p>
              </w:tc>
              <w:tc>
                <w:tcPr>
                  <w:tcW w:w="1550" w:type="dxa"/>
                  <w:vAlign w:val="center"/>
                </w:tcPr>
                <w:p>
                  <w:pPr>
                    <w:jc w:val="center"/>
                    <w:rPr>
                      <w:color w:val="000000"/>
                      <w:szCs w:val="21"/>
                    </w:rPr>
                  </w:pPr>
                  <w:r>
                    <w:rPr>
                      <w:color w:val="000000"/>
                      <w:szCs w:val="21"/>
                    </w:rPr>
                    <w:t>本项目采用</w:t>
                  </w:r>
                  <w:r>
                    <w:rPr>
                      <w:rFonts w:hint="eastAsia"/>
                      <w:kern w:val="0"/>
                      <w:szCs w:val="21"/>
                    </w:rPr>
                    <w:t>撬装加</w:t>
                  </w:r>
                  <w:r>
                    <w:rPr>
                      <w:rFonts w:hint="eastAsia"/>
                      <w:color w:val="000000"/>
                      <w:szCs w:val="21"/>
                    </w:rPr>
                    <w:t>油装置，</w:t>
                  </w:r>
                  <w:r>
                    <w:rPr>
                      <w:color w:val="000000"/>
                      <w:szCs w:val="21"/>
                    </w:rPr>
                    <w:t>外部有集装箱保护</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vAlign w:val="center"/>
                </w:tcPr>
                <w:p>
                  <w:pPr>
                    <w:jc w:val="center"/>
                    <w:rPr>
                      <w:color w:val="000000"/>
                      <w:szCs w:val="21"/>
                    </w:rPr>
                  </w:pPr>
                </w:p>
              </w:tc>
              <w:tc>
                <w:tcPr>
                  <w:tcW w:w="3411" w:type="dxa"/>
                  <w:vAlign w:val="center"/>
                </w:tcPr>
                <w:p>
                  <w:pPr>
                    <w:jc w:val="center"/>
                    <w:rPr>
                      <w:color w:val="000000"/>
                      <w:szCs w:val="21"/>
                    </w:rPr>
                  </w:pPr>
                  <w:r>
                    <w:rPr>
                      <w:color w:val="000000"/>
                      <w:szCs w:val="21"/>
                    </w:rPr>
                    <w:t>VOCs物料储罐应密封良好，其中挥发性有机液体应符合5.2条规定</w:t>
                  </w:r>
                </w:p>
              </w:tc>
              <w:tc>
                <w:tcPr>
                  <w:tcW w:w="1550" w:type="dxa"/>
                  <w:vAlign w:val="center"/>
                </w:tcPr>
                <w:p>
                  <w:pPr>
                    <w:jc w:val="center"/>
                    <w:rPr>
                      <w:color w:val="000000"/>
                      <w:szCs w:val="21"/>
                    </w:rPr>
                  </w:pPr>
                  <w:r>
                    <w:rPr>
                      <w:color w:val="000000"/>
                      <w:szCs w:val="21"/>
                    </w:rPr>
                    <w:t>项目汽油、柴油使用油罐车进行运输，油罐车是密闭的；采用</w:t>
                  </w:r>
                  <w:r>
                    <w:rPr>
                      <w:rFonts w:hint="eastAsia"/>
                      <w:kern w:val="0"/>
                      <w:szCs w:val="21"/>
                    </w:rPr>
                    <w:t>撬装加</w:t>
                  </w:r>
                  <w:r>
                    <w:rPr>
                      <w:rFonts w:hint="eastAsia"/>
                      <w:color w:val="000000"/>
                      <w:szCs w:val="21"/>
                    </w:rPr>
                    <w:t>油装置</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vAlign w:val="center"/>
                </w:tcPr>
                <w:p>
                  <w:pPr>
                    <w:jc w:val="center"/>
                    <w:rPr>
                      <w:color w:val="000000"/>
                      <w:szCs w:val="21"/>
                    </w:rPr>
                  </w:pPr>
                </w:p>
              </w:tc>
              <w:tc>
                <w:tcPr>
                  <w:tcW w:w="3411" w:type="dxa"/>
                  <w:vAlign w:val="center"/>
                </w:tcPr>
                <w:p>
                  <w:pPr>
                    <w:jc w:val="center"/>
                    <w:rPr>
                      <w:color w:val="000000"/>
                      <w:szCs w:val="21"/>
                    </w:rPr>
                  </w:pPr>
                  <w:r>
                    <w:rPr>
                      <w:color w:val="000000"/>
                      <w:szCs w:val="21"/>
                    </w:rPr>
                    <w:t>VOCs物料储库、料仓应满足3.6条对密封空间的要求</w:t>
                  </w:r>
                </w:p>
              </w:tc>
              <w:tc>
                <w:tcPr>
                  <w:tcW w:w="1550" w:type="dxa"/>
                  <w:vAlign w:val="center"/>
                </w:tcPr>
                <w:p>
                  <w:pPr>
                    <w:jc w:val="center"/>
                    <w:rPr>
                      <w:color w:val="000000"/>
                      <w:szCs w:val="21"/>
                    </w:rPr>
                  </w:pPr>
                  <w:r>
                    <w:rPr>
                      <w:color w:val="000000"/>
                      <w:szCs w:val="21"/>
                    </w:rPr>
                    <w:t>本项目油罐车是密闭的，采用</w:t>
                  </w:r>
                  <w:r>
                    <w:rPr>
                      <w:rFonts w:hint="eastAsia"/>
                      <w:kern w:val="0"/>
                      <w:szCs w:val="21"/>
                    </w:rPr>
                    <w:t>撬装加</w:t>
                  </w:r>
                  <w:r>
                    <w:rPr>
                      <w:rFonts w:hint="eastAsia"/>
                      <w:color w:val="000000"/>
                      <w:szCs w:val="21"/>
                    </w:rPr>
                    <w:t>油装置</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restart"/>
                  <w:vAlign w:val="center"/>
                </w:tcPr>
                <w:p>
                  <w:pPr>
                    <w:jc w:val="center"/>
                    <w:rPr>
                      <w:color w:val="000000"/>
                      <w:szCs w:val="21"/>
                    </w:rPr>
                  </w:pPr>
                  <w:r>
                    <w:rPr>
                      <w:color w:val="000000"/>
                      <w:szCs w:val="21"/>
                    </w:rPr>
                    <w:t>装载过程</w:t>
                  </w:r>
                </w:p>
              </w:tc>
              <w:tc>
                <w:tcPr>
                  <w:tcW w:w="3411" w:type="dxa"/>
                  <w:vAlign w:val="center"/>
                </w:tcPr>
                <w:p>
                  <w:pPr>
                    <w:jc w:val="center"/>
                    <w:rPr>
                      <w:color w:val="000000"/>
                      <w:szCs w:val="21"/>
                    </w:rPr>
                  </w:pPr>
                  <w:r>
                    <w:rPr>
                      <w:color w:val="000000"/>
                      <w:szCs w:val="21"/>
                    </w:rPr>
                    <w:t>液态VOCs物料应采用密封管道运输。采用非管道输送方式转移液态VOCs物料时，应采用密闭容器、罐车</w:t>
                  </w:r>
                </w:p>
              </w:tc>
              <w:tc>
                <w:tcPr>
                  <w:tcW w:w="1550" w:type="dxa"/>
                  <w:vAlign w:val="center"/>
                </w:tcPr>
                <w:p>
                  <w:pPr>
                    <w:jc w:val="center"/>
                    <w:rPr>
                      <w:color w:val="000000"/>
                      <w:szCs w:val="21"/>
                    </w:rPr>
                  </w:pPr>
                  <w:r>
                    <w:rPr>
                      <w:color w:val="000000"/>
                      <w:szCs w:val="21"/>
                    </w:rPr>
                    <w:t>本项目汽油、柴油加油时采用自封式加油枪及密闭卸油等方式</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vAlign w:val="center"/>
                </w:tcPr>
                <w:p>
                  <w:pPr>
                    <w:jc w:val="center"/>
                    <w:rPr>
                      <w:color w:val="000000"/>
                      <w:szCs w:val="21"/>
                    </w:rPr>
                  </w:pPr>
                </w:p>
              </w:tc>
              <w:tc>
                <w:tcPr>
                  <w:tcW w:w="3411" w:type="dxa"/>
                  <w:vAlign w:val="center"/>
                </w:tcPr>
                <w:p>
                  <w:pPr>
                    <w:jc w:val="center"/>
                    <w:rPr>
                      <w:color w:val="000000"/>
                      <w:szCs w:val="21"/>
                    </w:rPr>
                  </w:pPr>
                  <w:r>
                    <w:rPr>
                      <w:color w:val="000000"/>
                      <w:szCs w:val="21"/>
                    </w:rPr>
                    <w:t>对挥发性有机液体进行装载时，应符合6.2条规定</w:t>
                  </w:r>
                </w:p>
              </w:tc>
              <w:tc>
                <w:tcPr>
                  <w:tcW w:w="1550" w:type="dxa"/>
                  <w:vAlign w:val="center"/>
                </w:tcPr>
                <w:p>
                  <w:pPr>
                    <w:jc w:val="center"/>
                    <w:rPr>
                      <w:color w:val="000000"/>
                      <w:szCs w:val="21"/>
                    </w:rPr>
                  </w:pPr>
                  <w:r>
                    <w:rPr>
                      <w:color w:val="000000"/>
                      <w:szCs w:val="21"/>
                    </w:rPr>
                    <w:t>本项目汽油、柴油采用油罐车进行装载</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center"/>
                </w:tcPr>
                <w:p>
                  <w:pPr>
                    <w:jc w:val="center"/>
                    <w:rPr>
                      <w:color w:val="000000"/>
                      <w:szCs w:val="21"/>
                    </w:rPr>
                  </w:pPr>
                  <w:r>
                    <w:rPr>
                      <w:color w:val="000000"/>
                      <w:szCs w:val="21"/>
                    </w:rPr>
                    <w:t>含VOCs产品的使用过程</w:t>
                  </w:r>
                </w:p>
              </w:tc>
              <w:tc>
                <w:tcPr>
                  <w:tcW w:w="3411" w:type="dxa"/>
                  <w:vAlign w:val="center"/>
                </w:tcPr>
                <w:p>
                  <w:pPr>
                    <w:jc w:val="center"/>
                    <w:rPr>
                      <w:color w:val="000000"/>
                      <w:szCs w:val="21"/>
                    </w:rPr>
                  </w:pPr>
                  <w:r>
                    <w:rPr>
                      <w:color w:val="000000"/>
                      <w:szCs w:val="21"/>
                    </w:rPr>
                    <w:t>VOCs质量占比大于等于10%的含VOCs产品，其使用过程应采用密闭设备或在密闭空间内操作，废气应排至VOCs废气收集处理系统；无法密闭的，应采取局部气体收集措施，废气应排至VOCs废气收集处理措施。含VOCs产品的使用过程包括但不限于以下作业：a）调配（混合、搅拌等）；b）涂装（喷涂、浸涂、淋涂、辊涂、刷涂、涂布等）；c）印刷（平板、凸版、凹版、孔板等）；d）粘结（涂胶、热压、复合、贴合等）；e）印染（染色、印花、定型等）；f）干燥（烘干、风干、晾干等）；g）清洗（浸洗、喷洗、淋洗、冲洗、擦洗等）</w:t>
                  </w:r>
                </w:p>
              </w:tc>
              <w:tc>
                <w:tcPr>
                  <w:tcW w:w="1550" w:type="dxa"/>
                  <w:vAlign w:val="center"/>
                </w:tcPr>
                <w:p>
                  <w:pPr>
                    <w:jc w:val="center"/>
                    <w:rPr>
                      <w:color w:val="000000"/>
                      <w:szCs w:val="21"/>
                    </w:rPr>
                  </w:pPr>
                  <w:r>
                    <w:rPr>
                      <w:color w:val="000000"/>
                      <w:szCs w:val="21"/>
                    </w:rPr>
                    <w:t>本项目废气经油气回收系统处理后排放</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center"/>
                </w:tcPr>
                <w:p>
                  <w:pPr>
                    <w:jc w:val="center"/>
                    <w:rPr>
                      <w:color w:val="000000"/>
                      <w:szCs w:val="21"/>
                    </w:rPr>
                  </w:pPr>
                  <w:r>
                    <w:rPr>
                      <w:color w:val="000000"/>
                      <w:szCs w:val="21"/>
                    </w:rPr>
                    <w:t>废气收集系统要求</w:t>
                  </w:r>
                </w:p>
              </w:tc>
              <w:tc>
                <w:tcPr>
                  <w:tcW w:w="3411" w:type="dxa"/>
                  <w:vAlign w:val="center"/>
                </w:tcPr>
                <w:p>
                  <w:pPr>
                    <w:jc w:val="center"/>
                    <w:rPr>
                      <w:color w:val="000000"/>
                      <w:szCs w:val="21"/>
                    </w:rPr>
                  </w:pPr>
                  <w:r>
                    <w:rPr>
                      <w:color w:val="000000"/>
                      <w:szCs w:val="21"/>
                    </w:rPr>
                    <w:t>企业应考虑生产工艺、操作方式、废气性质、处理方法等因素，对VOCs废气进行分类收集。废气收集系统排风罩（集气罩）的设置应符合GB/T16758的规定。采用外部排风罩的，应按</w:t>
                  </w:r>
                </w:p>
                <w:p>
                  <w:pPr>
                    <w:jc w:val="center"/>
                    <w:rPr>
                      <w:color w:val="000000"/>
                      <w:szCs w:val="21"/>
                    </w:rPr>
                  </w:pPr>
                  <w:r>
                    <w:rPr>
                      <w:color w:val="000000"/>
                      <w:szCs w:val="21"/>
                    </w:rPr>
                    <w:t>GB/T16758、AQ/T4274-2016规定的方法测量控制风速，测量点应选取在距排风罩开口面最远处的VOCs无组织排放位置，控制风速不应低于0.3m/s（行业相关规范有具体规定的，按相关规定执行）。废气收集系统的输送管道应密闭。废气收集系统应在负压下进行，若处于正压状态，应对输送管道组件的密封点进行泄露检测，泄露检测值不应超过500pumo/mol，亦不应有感官可察觉泄露。</w:t>
                  </w:r>
                </w:p>
              </w:tc>
              <w:tc>
                <w:tcPr>
                  <w:tcW w:w="1550" w:type="dxa"/>
                  <w:vAlign w:val="center"/>
                </w:tcPr>
                <w:p>
                  <w:pPr>
                    <w:jc w:val="center"/>
                    <w:rPr>
                      <w:color w:val="000000"/>
                      <w:szCs w:val="21"/>
                    </w:rPr>
                  </w:pPr>
                  <w:r>
                    <w:rPr>
                      <w:color w:val="000000"/>
                      <w:szCs w:val="21"/>
                    </w:rPr>
                    <w:t>本项目废气收集输送管道密闭，收集系统均为负压下运行</w:t>
                  </w:r>
                </w:p>
              </w:tc>
              <w:tc>
                <w:tcPr>
                  <w:tcW w:w="799" w:type="dxa"/>
                  <w:vAlign w:val="center"/>
                </w:tcPr>
                <w:p>
                  <w:pPr>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center"/>
                </w:tcPr>
                <w:p>
                  <w:pPr>
                    <w:jc w:val="center"/>
                    <w:rPr>
                      <w:color w:val="000000"/>
                      <w:szCs w:val="21"/>
                    </w:rPr>
                  </w:pPr>
                  <w:r>
                    <w:rPr>
                      <w:color w:val="000000"/>
                      <w:szCs w:val="21"/>
                    </w:rPr>
                    <w:t>废气排放控制要求</w:t>
                  </w:r>
                </w:p>
              </w:tc>
              <w:tc>
                <w:tcPr>
                  <w:tcW w:w="3411" w:type="dxa"/>
                  <w:vAlign w:val="center"/>
                </w:tcPr>
                <w:p>
                  <w:pPr>
                    <w:jc w:val="center"/>
                    <w:rPr>
                      <w:color w:val="000000"/>
                      <w:szCs w:val="21"/>
                    </w:rPr>
                  </w:pPr>
                  <w:r>
                    <w:rPr>
                      <w:color w:val="000000"/>
                      <w:szCs w:val="21"/>
                    </w:rPr>
                    <w:t>收集的废气中NMHC初始排放速率≥3kg/h时，应配置VOCs处理设施，处理效率不应低于80%；对于重点地区，收集的废气中NMHC初始排放速率≥2kg/h时，应配置VOCs处理设施，处理效率不应低于80%；采用的原辅材料符合国家有关低VOCs含量产品规定的除外</w:t>
                  </w:r>
                </w:p>
              </w:tc>
              <w:tc>
                <w:tcPr>
                  <w:tcW w:w="1550" w:type="dxa"/>
                  <w:vAlign w:val="center"/>
                </w:tcPr>
                <w:p>
                  <w:pPr>
                    <w:jc w:val="center"/>
                    <w:rPr>
                      <w:color w:val="000000"/>
                      <w:szCs w:val="21"/>
                    </w:rPr>
                  </w:pPr>
                  <w:r>
                    <w:rPr>
                      <w:color w:val="000000"/>
                      <w:szCs w:val="21"/>
                    </w:rPr>
                    <w:t>本项目采用了油气回收系统，</w:t>
                  </w:r>
                  <w:r>
                    <w:rPr>
                      <w:rFonts w:hint="eastAsia"/>
                      <w:color w:val="000000"/>
                      <w:szCs w:val="21"/>
                    </w:rPr>
                    <w:t>油气回收效率确保可达90%以上（其中卸油回收率为9</w:t>
                  </w:r>
                  <w:r>
                    <w:rPr>
                      <w:color w:val="000000"/>
                      <w:szCs w:val="21"/>
                    </w:rPr>
                    <w:t>5</w:t>
                  </w:r>
                  <w:r>
                    <w:rPr>
                      <w:rFonts w:hint="eastAsia"/>
                      <w:color w:val="000000"/>
                      <w:szCs w:val="21"/>
                    </w:rPr>
                    <w:t>%，加油回收率为9</w:t>
                  </w:r>
                  <w:r>
                    <w:rPr>
                      <w:color w:val="000000"/>
                      <w:szCs w:val="21"/>
                    </w:rPr>
                    <w:t>3</w:t>
                  </w:r>
                  <w:r>
                    <w:rPr>
                      <w:rFonts w:hint="eastAsia"/>
                      <w:color w:val="000000"/>
                      <w:szCs w:val="21"/>
                    </w:rPr>
                    <w:t>%）</w:t>
                  </w:r>
                </w:p>
              </w:tc>
              <w:tc>
                <w:tcPr>
                  <w:tcW w:w="799" w:type="dxa"/>
                  <w:vAlign w:val="center"/>
                </w:tcPr>
                <w:p>
                  <w:pPr>
                    <w:jc w:val="center"/>
                    <w:rPr>
                      <w:color w:val="000000"/>
                      <w:szCs w:val="21"/>
                    </w:rPr>
                  </w:pPr>
                  <w:r>
                    <w:rPr>
                      <w:color w:val="000000"/>
                      <w:szCs w:val="21"/>
                    </w:rPr>
                    <w:t>符合</w:t>
                  </w:r>
                </w:p>
              </w:tc>
            </w:tr>
          </w:tbl>
          <w:p>
            <w:pPr>
              <w:rPr>
                <w:color w:val="000000"/>
              </w:rPr>
            </w:pPr>
          </w:p>
          <w:p>
            <w:pPr>
              <w:rPr>
                <w:color w:val="000000"/>
              </w:rPr>
            </w:pPr>
          </w:p>
          <w:p>
            <w:pPr>
              <w:rPr>
                <w:color w:val="000000"/>
              </w:rPr>
            </w:pPr>
          </w:p>
          <w:p>
            <w:pPr>
              <w:pStyle w:val="25"/>
            </w:pPr>
          </w:p>
          <w:p>
            <w:pPr>
              <w:pStyle w:val="25"/>
            </w:pPr>
          </w:p>
          <w:p>
            <w:pPr>
              <w:pStyle w:val="25"/>
            </w:pPr>
          </w:p>
          <w:p>
            <w:pPr>
              <w:pStyle w:val="25"/>
            </w:pPr>
          </w:p>
          <w:p>
            <w:pPr>
              <w:rPr>
                <w:color w:val="000000"/>
              </w:rPr>
            </w:pPr>
          </w:p>
          <w:p>
            <w:pPr>
              <w:rPr>
                <w:color w:val="000000"/>
              </w:rPr>
            </w:pPr>
          </w:p>
          <w:p>
            <w:pPr>
              <w:rPr>
                <w:color w:val="000000"/>
              </w:rPr>
            </w:pPr>
          </w:p>
          <w:p>
            <w:pPr>
              <w:rPr>
                <w:color w:val="000000"/>
              </w:rPr>
            </w:pPr>
          </w:p>
        </w:tc>
      </w:tr>
    </w:tbl>
    <w:p>
      <w:pPr>
        <w:spacing w:line="360" w:lineRule="auto"/>
        <w:outlineLvl w:val="0"/>
        <w:rPr>
          <w:color w:val="000000"/>
          <w:sz w:val="30"/>
        </w:rPr>
        <w:sectPr>
          <w:footerReference r:id="rId6" w:type="default"/>
          <w:pgSz w:w="11906" w:h="16838"/>
          <w:pgMar w:top="1701" w:right="1531" w:bottom="1701" w:left="1531" w:header="851" w:footer="1077" w:gutter="0"/>
          <w:pgNumType w:start="1"/>
          <w:cols w:space="720" w:num="1"/>
          <w:docGrid w:linePitch="312" w:charSpace="0"/>
        </w:sectPr>
      </w:pPr>
    </w:p>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sz w:val="30"/>
          <w:szCs w:val="30"/>
        </w:rPr>
        <w:t>二、建设项目工程分析</w:t>
      </w:r>
    </w:p>
    <w:tbl>
      <w:tblPr>
        <w:tblStyle w:val="23"/>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Cs w:val="24"/>
              </w:rPr>
            </w:pPr>
            <w:r>
              <w:rPr>
                <w:rFonts w:ascii="Times New Roman" w:hAnsi="Times New Roman"/>
                <w:color w:val="000000"/>
                <w:szCs w:val="24"/>
              </w:rPr>
              <w:t>建设内容</w:t>
            </w:r>
          </w:p>
        </w:tc>
        <w:tc>
          <w:tcPr>
            <w:tcW w:w="8161" w:type="dxa"/>
          </w:tcPr>
          <w:p>
            <w:pPr>
              <w:autoSpaceDE w:val="0"/>
              <w:autoSpaceDN w:val="0"/>
              <w:adjustRightInd w:val="0"/>
              <w:spacing w:line="360" w:lineRule="auto"/>
              <w:rPr>
                <w:b/>
                <w:bCs/>
                <w:kern w:val="0"/>
                <w:sz w:val="24"/>
              </w:rPr>
            </w:pPr>
            <w:r>
              <w:rPr>
                <w:rFonts w:ascii="宋体" w:hAnsi="宋体" w:cs="宋体"/>
                <w:sz w:val="24"/>
              </w:rPr>
              <w:t>一</w:t>
            </w:r>
            <w:r>
              <w:rPr>
                <w:b/>
                <w:bCs/>
                <w:kern w:val="0"/>
                <w:sz w:val="24"/>
              </w:rPr>
              <w:t>、项目建设内容</w:t>
            </w:r>
          </w:p>
          <w:p>
            <w:pPr>
              <w:adjustRightInd w:val="0"/>
              <w:snapToGrid w:val="0"/>
              <w:spacing w:line="360" w:lineRule="auto"/>
              <w:ind w:firstLine="480" w:firstLineChars="200"/>
              <w:jc w:val="left"/>
              <w:rPr>
                <w:kern w:val="0"/>
                <w:sz w:val="24"/>
              </w:rPr>
            </w:pPr>
            <w:r>
              <w:rPr>
                <w:rFonts w:hint="eastAsia"/>
                <w:kern w:val="0"/>
                <w:sz w:val="24"/>
              </w:rPr>
              <w:t>泗县吉顺汽车驾驶员培训学校在安徽省宿州市泗县泗城镇新型工业园区吉顺驾校内投资建设泗县吉顺驾校内部自备撬装加油装置，项目拟投资200万元，计划购置阻隔防爆橇装式加油装置，阻隔防爆橇装式加油装置是一种集加油机、阻隔防爆双层储油罐、阻隔防爆油气回收和自动灭火器于一体的地面加油装置，外形像一个大集装箱，可进行吊装移动，具有目前所有固定加油站的所有功能，项目占地面积200m</w:t>
            </w:r>
            <w:r>
              <w:rPr>
                <w:rFonts w:hint="eastAsia"/>
                <w:kern w:val="0"/>
                <w:sz w:val="24"/>
                <w:vertAlign w:val="superscript"/>
              </w:rPr>
              <w:t>2</w:t>
            </w:r>
            <w:r>
              <w:rPr>
                <w:rFonts w:hint="eastAsia"/>
                <w:kern w:val="0"/>
                <w:sz w:val="24"/>
              </w:rPr>
              <w:t>，建成后可达到</w:t>
            </w:r>
            <w:r>
              <w:rPr>
                <w:rFonts w:ascii="宋体" w:hAnsi="宋体" w:cs="宋体"/>
                <w:sz w:val="24"/>
              </w:rPr>
              <w:t>年加油量</w:t>
            </w:r>
            <w:r>
              <w:rPr>
                <w:rFonts w:hint="eastAsia"/>
                <w:bCs/>
                <w:color w:val="000000"/>
                <w:sz w:val="24"/>
              </w:rPr>
              <w:t>48</w:t>
            </w:r>
            <w:r>
              <w:rPr>
                <w:bCs/>
                <w:color w:val="000000"/>
                <w:sz w:val="24"/>
              </w:rPr>
              <w:t>0t/a</w:t>
            </w:r>
            <w:r>
              <w:rPr>
                <w:rFonts w:ascii="宋体" w:hAnsi="宋体" w:cs="宋体"/>
                <w:sz w:val="24"/>
              </w:rPr>
              <w:t>的能力</w:t>
            </w:r>
            <w:r>
              <w:rPr>
                <w:rFonts w:hint="eastAsia"/>
                <w:kern w:val="0"/>
                <w:sz w:val="24"/>
              </w:rPr>
              <w:t>。项目具体组成如下：</w:t>
            </w:r>
          </w:p>
          <w:p>
            <w:pPr>
              <w:spacing w:line="360" w:lineRule="auto"/>
              <w:jc w:val="center"/>
              <w:rPr>
                <w:b/>
                <w:bCs/>
                <w:color w:val="000000"/>
                <w:sz w:val="24"/>
              </w:rPr>
            </w:pPr>
            <w:r>
              <w:rPr>
                <w:b/>
                <w:bCs/>
                <w:color w:val="000000"/>
                <w:sz w:val="24"/>
              </w:rPr>
              <w:t>表2-1  项目主要建设内容一览表</w:t>
            </w:r>
          </w:p>
          <w:tbl>
            <w:tblPr>
              <w:tblStyle w:val="23"/>
              <w:tblW w:w="7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92"/>
              <w:gridCol w:w="432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bCs/>
                      <w:color w:val="000000"/>
                      <w:kern w:val="0"/>
                      <w:szCs w:val="21"/>
                    </w:rPr>
                  </w:pPr>
                  <w:r>
                    <w:rPr>
                      <w:b/>
                      <w:bCs/>
                      <w:color w:val="000000"/>
                      <w:kern w:val="0"/>
                      <w:szCs w:val="21"/>
                    </w:rPr>
                    <w:t>类别</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b/>
                      <w:bCs/>
                      <w:color w:val="000000"/>
                      <w:kern w:val="0"/>
                      <w:szCs w:val="21"/>
                    </w:rPr>
                  </w:pPr>
                  <w:r>
                    <w:rPr>
                      <w:b/>
                      <w:bCs/>
                      <w:color w:val="000000"/>
                      <w:kern w:val="0"/>
                      <w:szCs w:val="21"/>
                    </w:rPr>
                    <w:t>单项工程名称</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b/>
                      <w:bCs/>
                      <w:color w:val="000000"/>
                      <w:kern w:val="0"/>
                      <w:szCs w:val="21"/>
                    </w:rPr>
                  </w:pPr>
                  <w:r>
                    <w:rPr>
                      <w:b/>
                      <w:bCs/>
                      <w:color w:val="000000"/>
                      <w:kern w:val="0"/>
                      <w:szCs w:val="21"/>
                    </w:rPr>
                    <w:t>工程内容及规模</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b/>
                      <w:bCs/>
                      <w:color w:val="000000"/>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6" w:type="dxa"/>
                  <w:tcBorders>
                    <w:top w:val="single" w:color="auto" w:sz="4" w:space="0"/>
                    <w:left w:val="single" w:color="auto" w:sz="4" w:space="0"/>
                    <w:right w:val="single" w:color="auto" w:sz="4" w:space="0"/>
                  </w:tcBorders>
                  <w:vAlign w:val="center"/>
                </w:tcPr>
                <w:p>
                  <w:pPr>
                    <w:jc w:val="center"/>
                    <w:rPr>
                      <w:color w:val="000000"/>
                      <w:kern w:val="0"/>
                      <w:szCs w:val="21"/>
                    </w:rPr>
                  </w:pPr>
                  <w:r>
                    <w:rPr>
                      <w:color w:val="000000"/>
                      <w:kern w:val="0"/>
                      <w:szCs w:val="21"/>
                    </w:rPr>
                    <w:t>主体工程</w:t>
                  </w:r>
                </w:p>
              </w:tc>
              <w:tc>
                <w:tcPr>
                  <w:tcW w:w="1492" w:type="dxa"/>
                  <w:tcBorders>
                    <w:top w:val="single" w:color="auto" w:sz="4" w:space="0"/>
                    <w:left w:val="single" w:color="auto" w:sz="4" w:space="0"/>
                    <w:right w:val="single" w:color="auto" w:sz="4" w:space="0"/>
                  </w:tcBorders>
                  <w:vAlign w:val="center"/>
                </w:tcPr>
                <w:p>
                  <w:pPr>
                    <w:ind w:right="90" w:rightChars="43"/>
                    <w:jc w:val="center"/>
                    <w:rPr>
                      <w:color w:val="000000"/>
                      <w:szCs w:val="21"/>
                    </w:rPr>
                  </w:pPr>
                  <w:r>
                    <w:rPr>
                      <w:rFonts w:hint="eastAsia"/>
                      <w:color w:val="000000"/>
                      <w:szCs w:val="21"/>
                    </w:rPr>
                    <w:t>撬装加油装置</w:t>
                  </w:r>
                </w:p>
              </w:tc>
              <w:tc>
                <w:tcPr>
                  <w:tcW w:w="4328" w:type="dxa"/>
                  <w:tcBorders>
                    <w:top w:val="single" w:color="auto" w:sz="4" w:space="0"/>
                    <w:left w:val="single" w:color="auto" w:sz="4" w:space="0"/>
                    <w:right w:val="single" w:color="auto" w:sz="4" w:space="0"/>
                  </w:tcBorders>
                  <w:vAlign w:val="center"/>
                </w:tcPr>
                <w:p>
                  <w:pPr>
                    <w:ind w:right="90" w:rightChars="43"/>
                    <w:jc w:val="center"/>
                    <w:rPr>
                      <w:color w:val="000000"/>
                      <w:szCs w:val="21"/>
                    </w:rPr>
                  </w:pPr>
                  <w:r>
                    <w:rPr>
                      <w:rFonts w:hint="eastAsia"/>
                      <w:color w:val="000000"/>
                      <w:szCs w:val="21"/>
                    </w:rPr>
                    <w:t>内罐有效容积为50m³（装填系数95%），为双层卧式钢制油罐，罐内设置隔仓，隔仓容积分别为25m</w:t>
                  </w:r>
                  <w:r>
                    <w:rPr>
                      <w:rFonts w:hint="eastAsia"/>
                      <w:color w:val="000000"/>
                      <w:szCs w:val="21"/>
                      <w:vertAlign w:val="superscript"/>
                    </w:rPr>
                    <w:t>3</w:t>
                  </w:r>
                  <w:r>
                    <w:rPr>
                      <w:rFonts w:ascii="宋体" w:hAnsi="宋体" w:cs="宋体"/>
                      <w:sz w:val="24"/>
                    </w:rPr>
                    <w:t>，</w:t>
                  </w:r>
                  <w:r>
                    <w:rPr>
                      <w:rFonts w:hint="eastAsia"/>
                      <w:color w:val="000000"/>
                      <w:szCs w:val="21"/>
                    </w:rPr>
                    <w:t>两个区分别装92#汽油和0#柴油，内设1台2枪橇装专用加油机，双泵双枪配置，可加92#汽油和0#柴油。</w:t>
                  </w:r>
                </w:p>
              </w:tc>
              <w:tc>
                <w:tcPr>
                  <w:tcW w:w="1303" w:type="dxa"/>
                  <w:tcBorders>
                    <w:top w:val="single" w:color="auto" w:sz="4" w:space="0"/>
                    <w:left w:val="single" w:color="auto" w:sz="4" w:space="0"/>
                    <w:right w:val="single" w:color="auto" w:sz="4" w:space="0"/>
                  </w:tcBorders>
                  <w:vAlign w:val="center"/>
                </w:tcPr>
                <w:p>
                  <w:pPr>
                    <w:ind w:right="90" w:rightChars="43"/>
                    <w:jc w:val="center"/>
                    <w:rPr>
                      <w:color w:val="000000"/>
                      <w:szCs w:val="21"/>
                    </w:rPr>
                  </w:pPr>
                  <w:r>
                    <w:rPr>
                      <w:rFonts w:hint="eastAsia"/>
                      <w:color w:val="000000"/>
                      <w:szCs w:val="21"/>
                    </w:rPr>
                    <w:t>建成后可达到年加油量480t/a的能力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tcBorders>
                    <w:top w:val="single" w:color="auto" w:sz="4" w:space="0"/>
                    <w:left w:val="single" w:color="auto" w:sz="4" w:space="0"/>
                    <w:right w:val="single" w:color="auto" w:sz="4" w:space="0"/>
                  </w:tcBorders>
                  <w:vAlign w:val="center"/>
                </w:tcPr>
                <w:p>
                  <w:pPr>
                    <w:jc w:val="center"/>
                    <w:rPr>
                      <w:color w:val="000000"/>
                      <w:kern w:val="0"/>
                      <w:szCs w:val="21"/>
                    </w:rPr>
                  </w:pPr>
                  <w:r>
                    <w:rPr>
                      <w:color w:val="000000"/>
                      <w:kern w:val="0"/>
                      <w:szCs w:val="21"/>
                    </w:rPr>
                    <w:t>辅助工程</w:t>
                  </w:r>
                </w:p>
              </w:tc>
              <w:tc>
                <w:tcPr>
                  <w:tcW w:w="1492" w:type="dxa"/>
                  <w:tcBorders>
                    <w:top w:val="single" w:color="auto" w:sz="4" w:space="0"/>
                    <w:left w:val="single" w:color="auto" w:sz="4" w:space="0"/>
                    <w:bottom w:val="single" w:color="auto" w:sz="4" w:space="0"/>
                    <w:right w:val="single" w:color="auto" w:sz="4" w:space="0"/>
                  </w:tcBorders>
                  <w:vAlign w:val="center"/>
                </w:tcPr>
                <w:p>
                  <w:pPr>
                    <w:ind w:right="90" w:rightChars="43"/>
                    <w:jc w:val="center"/>
                    <w:rPr>
                      <w:color w:val="000000"/>
                      <w:szCs w:val="21"/>
                    </w:rPr>
                  </w:pPr>
                  <w:r>
                    <w:rPr>
                      <w:rFonts w:hint="eastAsia"/>
                      <w:color w:val="000000"/>
                      <w:szCs w:val="21"/>
                    </w:rPr>
                    <w:t>管理用房</w:t>
                  </w:r>
                </w:p>
              </w:tc>
              <w:tc>
                <w:tcPr>
                  <w:tcW w:w="4328" w:type="dxa"/>
                  <w:tcBorders>
                    <w:top w:val="single" w:color="auto" w:sz="4" w:space="0"/>
                    <w:left w:val="single" w:color="auto" w:sz="4" w:space="0"/>
                    <w:bottom w:val="single" w:color="auto" w:sz="4" w:space="0"/>
                    <w:right w:val="single" w:color="auto" w:sz="4" w:space="0"/>
                  </w:tcBorders>
                  <w:vAlign w:val="center"/>
                </w:tcPr>
                <w:p>
                  <w:pPr>
                    <w:ind w:right="90" w:rightChars="43"/>
                    <w:jc w:val="center"/>
                    <w:rPr>
                      <w:color w:val="000000"/>
                      <w:szCs w:val="21"/>
                    </w:rPr>
                  </w:pPr>
                  <w:r>
                    <w:rPr>
                      <w:rFonts w:hint="eastAsia"/>
                      <w:color w:val="000000"/>
                      <w:szCs w:val="21"/>
                    </w:rPr>
                    <w:t>位于撬装加油装置南侧，用于员工日常办公管理</w:t>
                  </w:r>
                </w:p>
              </w:tc>
              <w:tc>
                <w:tcPr>
                  <w:tcW w:w="1303" w:type="dxa"/>
                  <w:tcBorders>
                    <w:top w:val="single" w:color="auto" w:sz="4" w:space="0"/>
                    <w:left w:val="single" w:color="auto" w:sz="4" w:space="0"/>
                    <w:bottom w:val="single" w:color="auto" w:sz="4" w:space="0"/>
                    <w:right w:val="single" w:color="auto" w:sz="4" w:space="0"/>
                  </w:tcBorders>
                  <w:vAlign w:val="center"/>
                </w:tcPr>
                <w:p>
                  <w:pPr>
                    <w:ind w:right="90" w:rightChars="43"/>
                    <w:jc w:val="center"/>
                    <w:rPr>
                      <w:color w:val="000000"/>
                      <w:szCs w:val="21"/>
                    </w:rPr>
                  </w:pPr>
                  <w:r>
                    <w:rPr>
                      <w:rFonts w:hint="eastAsia"/>
                      <w:color w:val="000000"/>
                      <w:szCs w:val="21"/>
                    </w:rPr>
                    <w:t>依托驾校内原有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restart"/>
                  <w:tcBorders>
                    <w:top w:val="single" w:color="auto" w:sz="4" w:space="0"/>
                    <w:left w:val="single" w:color="auto" w:sz="4" w:space="0"/>
                    <w:right w:val="single" w:color="auto" w:sz="4" w:space="0"/>
                  </w:tcBorders>
                  <w:vAlign w:val="center"/>
                </w:tcPr>
                <w:p>
                  <w:pPr>
                    <w:jc w:val="center"/>
                    <w:rPr>
                      <w:color w:val="000000"/>
                      <w:kern w:val="0"/>
                      <w:szCs w:val="21"/>
                    </w:rPr>
                  </w:pPr>
                  <w:r>
                    <w:rPr>
                      <w:color w:val="000000"/>
                      <w:kern w:val="0"/>
                      <w:szCs w:val="21"/>
                    </w:rPr>
                    <w:t>公用工程</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供水</w:t>
                  </w:r>
                </w:p>
              </w:tc>
              <w:tc>
                <w:tcPr>
                  <w:tcW w:w="4328" w:type="dxa"/>
                  <w:tcBorders>
                    <w:top w:val="single" w:color="auto" w:sz="4" w:space="0"/>
                    <w:left w:val="single" w:color="auto" w:sz="4" w:space="0"/>
                    <w:bottom w:val="single" w:color="auto" w:sz="4" w:space="0"/>
                    <w:right w:val="single" w:color="auto" w:sz="4" w:space="0"/>
                  </w:tcBorders>
                  <w:vAlign w:val="center"/>
                </w:tcPr>
                <w:p>
                  <w:pPr>
                    <w:tabs>
                      <w:tab w:val="left" w:pos="6120"/>
                    </w:tabs>
                    <w:jc w:val="center"/>
                    <w:rPr>
                      <w:color w:val="000000"/>
                      <w:kern w:val="0"/>
                      <w:szCs w:val="21"/>
                    </w:rPr>
                  </w:pPr>
                  <w:r>
                    <w:rPr>
                      <w:color w:val="000000"/>
                      <w:kern w:val="0"/>
                      <w:szCs w:val="21"/>
                    </w:rPr>
                    <w:t>市政供水管网供水</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供电</w:t>
                  </w:r>
                </w:p>
              </w:tc>
              <w:tc>
                <w:tcPr>
                  <w:tcW w:w="4328" w:type="dxa"/>
                  <w:tcBorders>
                    <w:top w:val="single" w:color="auto" w:sz="4" w:space="0"/>
                    <w:left w:val="single" w:color="auto" w:sz="4" w:space="0"/>
                    <w:bottom w:val="single" w:color="auto" w:sz="4" w:space="0"/>
                    <w:right w:val="single" w:color="auto" w:sz="4" w:space="0"/>
                  </w:tcBorders>
                  <w:vAlign w:val="center"/>
                </w:tcPr>
                <w:p>
                  <w:pPr>
                    <w:tabs>
                      <w:tab w:val="left" w:pos="6120"/>
                    </w:tabs>
                    <w:jc w:val="center"/>
                    <w:rPr>
                      <w:color w:val="000000"/>
                      <w:kern w:val="0"/>
                      <w:szCs w:val="21"/>
                    </w:rPr>
                  </w:pPr>
                  <w:r>
                    <w:rPr>
                      <w:color w:val="000000"/>
                      <w:kern w:val="0"/>
                      <w:szCs w:val="21"/>
                    </w:rPr>
                    <w:t>市政</w:t>
                  </w:r>
                  <w:r>
                    <w:rPr>
                      <w:color w:val="000000"/>
                      <w:szCs w:val="21"/>
                    </w:rPr>
                    <w:t>电网供电</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lang w:bidi="ar"/>
                    </w:rPr>
                    <w:t>排水</w:t>
                  </w:r>
                </w:p>
              </w:tc>
              <w:tc>
                <w:tcPr>
                  <w:tcW w:w="4328" w:type="dxa"/>
                  <w:tcBorders>
                    <w:top w:val="single" w:color="auto" w:sz="4" w:space="0"/>
                    <w:left w:val="single" w:color="auto" w:sz="4" w:space="0"/>
                    <w:bottom w:val="single" w:color="auto" w:sz="4" w:space="0"/>
                    <w:right w:val="single" w:color="auto" w:sz="4" w:space="0"/>
                  </w:tcBorders>
                  <w:vAlign w:val="center"/>
                </w:tcPr>
                <w:p>
                  <w:pPr>
                    <w:tabs>
                      <w:tab w:val="left" w:pos="6120"/>
                    </w:tabs>
                    <w:jc w:val="center"/>
                    <w:rPr>
                      <w:color w:val="000000"/>
                      <w:kern w:val="0"/>
                      <w:szCs w:val="21"/>
                    </w:rPr>
                  </w:pPr>
                  <w:r>
                    <w:rPr>
                      <w:szCs w:val="21"/>
                    </w:rPr>
                    <w:t>项目区采用雨污分流。雨水进入雨水收集管网后进入市政雨水管网；生活污水</w:t>
                  </w:r>
                  <w:r>
                    <w:rPr>
                      <w:bCs/>
                      <w:color w:val="000000"/>
                      <w:szCs w:val="21"/>
                    </w:rPr>
                    <w:t>经</w:t>
                  </w:r>
                  <w:r>
                    <w:rPr>
                      <w:rFonts w:hint="eastAsia"/>
                      <w:szCs w:val="21"/>
                    </w:rPr>
                    <w:t>化粪池</w:t>
                  </w:r>
                  <w:r>
                    <w:rPr>
                      <w:szCs w:val="21"/>
                    </w:rPr>
                    <w:t>处理后</w:t>
                  </w:r>
                  <w:r>
                    <w:rPr>
                      <w:bCs/>
                      <w:color w:val="000000"/>
                      <w:szCs w:val="21"/>
                    </w:rPr>
                    <w:t>接入市政污水管网</w:t>
                  </w:r>
                  <w:r>
                    <w:rPr>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restart"/>
                  <w:tcBorders>
                    <w:top w:val="single" w:color="auto" w:sz="4" w:space="0"/>
                    <w:left w:val="single" w:color="auto" w:sz="4" w:space="0"/>
                    <w:right w:val="single" w:color="auto" w:sz="4" w:space="0"/>
                  </w:tcBorders>
                  <w:vAlign w:val="center"/>
                </w:tcPr>
                <w:p>
                  <w:pPr>
                    <w:jc w:val="center"/>
                    <w:rPr>
                      <w:color w:val="000000"/>
                      <w:kern w:val="0"/>
                      <w:szCs w:val="21"/>
                    </w:rPr>
                  </w:pPr>
                  <w:r>
                    <w:rPr>
                      <w:color w:val="000000"/>
                      <w:kern w:val="0"/>
                      <w:szCs w:val="21"/>
                    </w:rPr>
                    <w:t>环保工程</w:t>
                  </w:r>
                </w:p>
              </w:tc>
              <w:tc>
                <w:tcPr>
                  <w:tcW w:w="1492" w:type="dxa"/>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废水</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szCs w:val="21"/>
                    </w:rPr>
                    <w:t>生活污水</w:t>
                  </w:r>
                  <w:r>
                    <w:rPr>
                      <w:bCs/>
                      <w:color w:val="000000"/>
                      <w:szCs w:val="21"/>
                    </w:rPr>
                    <w:t>经</w:t>
                  </w:r>
                  <w:r>
                    <w:rPr>
                      <w:rFonts w:hint="eastAsia"/>
                      <w:szCs w:val="21"/>
                    </w:rPr>
                    <w:t>化粪池</w:t>
                  </w:r>
                  <w:r>
                    <w:rPr>
                      <w:szCs w:val="21"/>
                    </w:rPr>
                    <w:t>处理后排入市政污水管网，进入泗县工业污水处理厂进一步处理</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废气</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采用自封式加油枪及密闭卸油方式等，并配有加油及卸油油气回收装置</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地下水</w:t>
                  </w:r>
                </w:p>
              </w:tc>
              <w:tc>
                <w:tcPr>
                  <w:tcW w:w="4328" w:type="dxa"/>
                  <w:tcBorders>
                    <w:top w:val="single" w:color="auto" w:sz="4" w:space="0"/>
                    <w:left w:val="single" w:color="auto" w:sz="4" w:space="0"/>
                    <w:right w:val="single" w:color="auto" w:sz="4" w:space="0"/>
                  </w:tcBorders>
                </w:tcPr>
                <w:p>
                  <w:pPr>
                    <w:jc w:val="center"/>
                    <w:rPr>
                      <w:color w:val="000000"/>
                      <w:kern w:val="0"/>
                      <w:szCs w:val="21"/>
                    </w:rPr>
                  </w:pPr>
                  <w:r>
                    <w:rPr>
                      <w:rFonts w:hint="eastAsia"/>
                      <w:color w:val="000000"/>
                      <w:szCs w:val="21"/>
                    </w:rPr>
                    <w:t>撬装加油装置</w:t>
                  </w:r>
                  <w:r>
                    <w:rPr>
                      <w:color w:val="000000"/>
                    </w:rPr>
                    <w:t>区采用抗渗混凝土（0.2m）+环氧树脂漆（1.5mm）进行重点防渗，防渗系数为10</w:t>
                  </w:r>
                  <w:r>
                    <w:rPr>
                      <w:color w:val="000000"/>
                      <w:vertAlign w:val="superscript"/>
                    </w:rPr>
                    <w:t>-7</w:t>
                  </w:r>
                  <w:r>
                    <w:rPr>
                      <w:color w:val="000000"/>
                    </w:rPr>
                    <w:t>cm/s</w:t>
                  </w:r>
                </w:p>
              </w:tc>
              <w:tc>
                <w:tcPr>
                  <w:tcW w:w="1303" w:type="dxa"/>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vMerge w:val="continue"/>
                  <w:tcBorders>
                    <w:left w:val="single" w:color="auto" w:sz="4" w:space="0"/>
                    <w:right w:val="single" w:color="auto" w:sz="4" w:space="0"/>
                  </w:tcBorders>
                  <w:vAlign w:val="center"/>
                </w:tcPr>
                <w:p>
                  <w:pPr>
                    <w:jc w:val="center"/>
                    <w:rPr>
                      <w:color w:val="000000"/>
                      <w:szCs w:val="21"/>
                    </w:rPr>
                  </w:pPr>
                </w:p>
              </w:tc>
              <w:tc>
                <w:tcPr>
                  <w:tcW w:w="4328" w:type="dxa"/>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rPr>
                    <w:t>站内设地下水监测井，定期开展地下水监测</w:t>
                  </w:r>
                </w:p>
              </w:tc>
              <w:tc>
                <w:tcPr>
                  <w:tcW w:w="1303" w:type="dxa"/>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kern w:val="0"/>
                      <w:szCs w:val="21"/>
                    </w:rPr>
                    <w:t>噪声</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选用低噪声设备、墙体隔声、距离衰减等防治措施。</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kern w:val="0"/>
                      <w:szCs w:val="21"/>
                    </w:rPr>
                    <w:t>固体废弃物</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szCs w:val="21"/>
                    </w:rPr>
                    <w:t>生活垃圾及日常产生的废含油抹布委托环卫部门处理；含油手套、抹布，洗罐油水混合物、清罐污泥等委托有资质单位进行处理</w:t>
                  </w:r>
                  <w:r>
                    <w:rPr>
                      <w:rFonts w:hint="eastAsia"/>
                      <w:color w:val="000000"/>
                      <w:szCs w:val="21"/>
                    </w:rPr>
                    <w:t>，厂区不设危废暂存间，由清洗单位一并带走</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6" w:type="dxa"/>
                  <w:vMerge w:val="continue"/>
                  <w:tcBorders>
                    <w:left w:val="single" w:color="auto" w:sz="4" w:space="0"/>
                    <w:bottom w:val="single" w:color="auto" w:sz="4" w:space="0"/>
                    <w:right w:val="single" w:color="auto" w:sz="4" w:space="0"/>
                  </w:tcBorders>
                  <w:vAlign w:val="center"/>
                </w:tcPr>
                <w:p>
                  <w:pPr>
                    <w:jc w:val="center"/>
                    <w:rPr>
                      <w:color w:val="000000"/>
                      <w:kern w:val="0"/>
                      <w:szCs w:val="21"/>
                    </w:rPr>
                  </w:pPr>
                </w:p>
              </w:tc>
              <w:tc>
                <w:tcPr>
                  <w:tcW w:w="1492" w:type="dxa"/>
                  <w:tcBorders>
                    <w:top w:val="single" w:color="auto" w:sz="4" w:space="0"/>
                    <w:left w:val="single" w:color="auto" w:sz="4" w:space="0"/>
                    <w:right w:val="single" w:color="auto" w:sz="4" w:space="0"/>
                  </w:tcBorders>
                  <w:vAlign w:val="center"/>
                </w:tcPr>
                <w:p>
                  <w:pPr>
                    <w:jc w:val="center"/>
                    <w:rPr>
                      <w:color w:val="000000"/>
                      <w:kern w:val="0"/>
                      <w:szCs w:val="21"/>
                    </w:rPr>
                  </w:pPr>
                  <w:r>
                    <w:rPr>
                      <w:color w:val="000000"/>
                      <w:kern w:val="0"/>
                      <w:szCs w:val="21"/>
                    </w:rPr>
                    <w:t>风险</w:t>
                  </w:r>
                </w:p>
              </w:tc>
              <w:tc>
                <w:tcPr>
                  <w:tcW w:w="432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制定突发环境事件风险应急预案，配备应急物资、定期演练等</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w:t>
                  </w:r>
                </w:p>
              </w:tc>
            </w:tr>
          </w:tbl>
          <w:p>
            <w:pPr>
              <w:spacing w:before="120" w:beforeLines="50" w:line="360" w:lineRule="auto"/>
              <w:jc w:val="left"/>
              <w:rPr>
                <w:b/>
                <w:color w:val="000000"/>
                <w:sz w:val="24"/>
              </w:rPr>
            </w:pPr>
            <w:r>
              <w:rPr>
                <w:rFonts w:ascii="宋体" w:hAnsi="宋体" w:cs="宋体"/>
                <w:sz w:val="24"/>
              </w:rPr>
              <w:t>二</w:t>
            </w:r>
            <w:r>
              <w:rPr>
                <w:rFonts w:hint="eastAsia" w:ascii="宋体" w:hAnsi="宋体" w:cs="宋体"/>
                <w:sz w:val="24"/>
              </w:rPr>
              <w:t>、</w:t>
            </w:r>
            <w:r>
              <w:rPr>
                <w:b/>
                <w:color w:val="000000"/>
                <w:sz w:val="24"/>
              </w:rPr>
              <w:t>产品方案</w:t>
            </w:r>
          </w:p>
          <w:p>
            <w:pPr>
              <w:spacing w:line="360" w:lineRule="auto"/>
              <w:ind w:firstLine="480" w:firstLineChars="200"/>
              <w:contextualSpacing/>
              <w:rPr>
                <w:bCs/>
                <w:color w:val="000000"/>
                <w:sz w:val="24"/>
              </w:rPr>
            </w:pPr>
            <w:r>
              <w:rPr>
                <w:color w:val="000000"/>
                <w:sz w:val="24"/>
              </w:rPr>
              <w:t>据建设方提供该站点</w:t>
            </w:r>
            <w:r>
              <w:rPr>
                <w:bCs/>
                <w:color w:val="000000"/>
                <w:sz w:val="24"/>
              </w:rPr>
              <w:t>可实现</w:t>
            </w:r>
            <w:r>
              <w:rPr>
                <w:rFonts w:ascii="宋体" w:hAnsi="宋体" w:cs="宋体"/>
                <w:sz w:val="24"/>
              </w:rPr>
              <w:t>年</w:t>
            </w:r>
            <w:r>
              <w:rPr>
                <w:bCs/>
                <w:color w:val="000000"/>
                <w:sz w:val="24"/>
              </w:rPr>
              <w:t>加油量为</w:t>
            </w:r>
            <w:r>
              <w:rPr>
                <w:rFonts w:hint="eastAsia"/>
                <w:bCs/>
                <w:color w:val="000000"/>
                <w:sz w:val="24"/>
              </w:rPr>
              <w:t>48</w:t>
            </w:r>
            <w:r>
              <w:rPr>
                <w:bCs/>
                <w:color w:val="000000"/>
                <w:sz w:val="24"/>
              </w:rPr>
              <w:t>0t/a，其中汽油300t/a，柴油</w:t>
            </w:r>
            <w:r>
              <w:rPr>
                <w:rFonts w:hint="eastAsia"/>
                <w:bCs/>
                <w:color w:val="000000"/>
                <w:sz w:val="24"/>
              </w:rPr>
              <w:t>18</w:t>
            </w:r>
            <w:r>
              <w:rPr>
                <w:bCs/>
                <w:color w:val="000000"/>
                <w:sz w:val="24"/>
              </w:rPr>
              <w:t>0t/a。主要产品包括92#汽油和0#柴油。产品方案详见表2-2。</w:t>
            </w:r>
          </w:p>
          <w:p>
            <w:pPr>
              <w:spacing w:before="120" w:beforeLines="50" w:line="360" w:lineRule="auto"/>
              <w:ind w:firstLine="482" w:firstLineChars="200"/>
              <w:jc w:val="center"/>
              <w:rPr>
                <w:b/>
                <w:color w:val="000000"/>
                <w:sz w:val="24"/>
              </w:rPr>
            </w:pPr>
            <w:r>
              <w:rPr>
                <w:b/>
                <w:color w:val="000000"/>
                <w:sz w:val="24"/>
              </w:rPr>
              <w:t>表2-2  销售品种及产品方案一览表</w:t>
            </w:r>
          </w:p>
          <w:tbl>
            <w:tblPr>
              <w:tblStyle w:val="2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34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73" w:type="dxa"/>
                  <w:vAlign w:val="center"/>
                </w:tcPr>
                <w:p>
                  <w:pPr>
                    <w:contextualSpacing/>
                    <w:jc w:val="center"/>
                    <w:rPr>
                      <w:b/>
                      <w:color w:val="000000"/>
                    </w:rPr>
                  </w:pPr>
                  <w:r>
                    <w:rPr>
                      <w:b/>
                      <w:color w:val="000000"/>
                    </w:rPr>
                    <w:t>序号</w:t>
                  </w:r>
                </w:p>
              </w:tc>
              <w:tc>
                <w:tcPr>
                  <w:tcW w:w="3342" w:type="dxa"/>
                  <w:vAlign w:val="center"/>
                </w:tcPr>
                <w:p>
                  <w:pPr>
                    <w:contextualSpacing/>
                    <w:jc w:val="center"/>
                    <w:rPr>
                      <w:b/>
                      <w:color w:val="000000"/>
                    </w:rPr>
                  </w:pPr>
                  <w:r>
                    <w:rPr>
                      <w:b/>
                      <w:color w:val="000000"/>
                    </w:rPr>
                    <w:t>产品型号</w:t>
                  </w:r>
                </w:p>
              </w:tc>
              <w:tc>
                <w:tcPr>
                  <w:tcW w:w="2636" w:type="dxa"/>
                  <w:vAlign w:val="center"/>
                </w:tcPr>
                <w:p>
                  <w:pPr>
                    <w:contextualSpacing/>
                    <w:jc w:val="center"/>
                    <w:rPr>
                      <w:b/>
                      <w:color w:val="000000"/>
                    </w:rPr>
                  </w:pPr>
                  <w:r>
                    <w:rPr>
                      <w:b/>
                      <w:color w:val="000000"/>
                    </w:rPr>
                    <w:t>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873" w:type="dxa"/>
                  <w:vAlign w:val="center"/>
                </w:tcPr>
                <w:p>
                  <w:pPr>
                    <w:contextualSpacing/>
                    <w:jc w:val="center"/>
                    <w:rPr>
                      <w:bCs/>
                      <w:color w:val="000000"/>
                    </w:rPr>
                  </w:pPr>
                  <w:r>
                    <w:rPr>
                      <w:rFonts w:hint="eastAsia"/>
                      <w:bCs/>
                      <w:color w:val="000000"/>
                    </w:rPr>
                    <w:t>1</w:t>
                  </w:r>
                </w:p>
              </w:tc>
              <w:tc>
                <w:tcPr>
                  <w:tcW w:w="3342" w:type="dxa"/>
                  <w:vAlign w:val="center"/>
                </w:tcPr>
                <w:p>
                  <w:pPr>
                    <w:contextualSpacing/>
                    <w:jc w:val="center"/>
                    <w:rPr>
                      <w:bCs/>
                      <w:color w:val="000000"/>
                    </w:rPr>
                  </w:pPr>
                  <w:r>
                    <w:rPr>
                      <w:bCs/>
                      <w:color w:val="000000"/>
                    </w:rPr>
                    <w:t>92#汽油</w:t>
                  </w:r>
                </w:p>
              </w:tc>
              <w:tc>
                <w:tcPr>
                  <w:tcW w:w="2636" w:type="dxa"/>
                  <w:vAlign w:val="center"/>
                </w:tcPr>
                <w:p>
                  <w:pPr>
                    <w:contextualSpacing/>
                    <w:jc w:val="center"/>
                    <w:rPr>
                      <w:bCs/>
                      <w:color w:val="000000"/>
                    </w:rPr>
                  </w:pPr>
                  <w:r>
                    <w:rPr>
                      <w:bCs/>
                      <w:color w:val="000000"/>
                    </w:rPr>
                    <w:t>300t/a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873" w:type="dxa"/>
                  <w:vAlign w:val="center"/>
                </w:tcPr>
                <w:p>
                  <w:pPr>
                    <w:contextualSpacing/>
                    <w:jc w:val="center"/>
                    <w:rPr>
                      <w:bCs/>
                      <w:color w:val="000000"/>
                    </w:rPr>
                  </w:pPr>
                  <w:r>
                    <w:rPr>
                      <w:rFonts w:hint="eastAsia"/>
                      <w:bCs/>
                      <w:color w:val="000000"/>
                    </w:rPr>
                    <w:t>2</w:t>
                  </w:r>
                </w:p>
              </w:tc>
              <w:tc>
                <w:tcPr>
                  <w:tcW w:w="3342" w:type="dxa"/>
                  <w:vAlign w:val="center"/>
                </w:tcPr>
                <w:p>
                  <w:pPr>
                    <w:contextualSpacing/>
                    <w:jc w:val="center"/>
                    <w:rPr>
                      <w:bCs/>
                      <w:color w:val="000000"/>
                    </w:rPr>
                  </w:pPr>
                  <w:r>
                    <w:rPr>
                      <w:bCs/>
                      <w:color w:val="000000"/>
                    </w:rPr>
                    <w:t>0#柴油</w:t>
                  </w:r>
                </w:p>
              </w:tc>
              <w:tc>
                <w:tcPr>
                  <w:tcW w:w="2636" w:type="dxa"/>
                  <w:vAlign w:val="center"/>
                </w:tcPr>
                <w:p>
                  <w:pPr>
                    <w:contextualSpacing/>
                    <w:jc w:val="center"/>
                    <w:rPr>
                      <w:bCs/>
                      <w:color w:val="000000"/>
                    </w:rPr>
                  </w:pPr>
                  <w:r>
                    <w:rPr>
                      <w:rFonts w:hint="eastAsia"/>
                      <w:bCs/>
                      <w:color w:val="000000"/>
                    </w:rPr>
                    <w:t>18</w:t>
                  </w:r>
                  <w:r>
                    <w:rPr>
                      <w:bCs/>
                      <w:color w:val="000000"/>
                    </w:rPr>
                    <w:t>0t/a</w:t>
                  </w:r>
                </w:p>
              </w:tc>
            </w:tr>
          </w:tbl>
          <w:p>
            <w:pPr>
              <w:pStyle w:val="25"/>
              <w:spacing w:line="360" w:lineRule="auto"/>
              <w:ind w:firstLine="480" w:firstLineChars="200"/>
              <w:rPr>
                <w:rFonts w:ascii="Times New Roman" w:cs="Times New Roman"/>
                <w:szCs w:val="21"/>
              </w:rPr>
            </w:pPr>
            <w:r>
              <w:rPr>
                <w:rFonts w:ascii="Times New Roman" w:cs="Times New Roman"/>
                <w:kern w:val="2"/>
              </w:rPr>
              <w:t>汽油主要组分为C4~C12烃类混合物，柴油主要组分为C15~C18的烷烃类混合物，因此，销售过程中产生的主要污染物以非甲烷总烃作为项目特征污染物。</w:t>
            </w:r>
          </w:p>
          <w:p>
            <w:pPr>
              <w:jc w:val="left"/>
              <w:rPr>
                <w:b/>
                <w:bCs/>
                <w:color w:val="000000"/>
                <w:sz w:val="24"/>
              </w:rPr>
            </w:pPr>
            <w:r>
              <w:rPr>
                <w:rFonts w:ascii="宋体" w:hAnsi="宋体" w:cs="宋体"/>
                <w:sz w:val="24"/>
              </w:rPr>
              <w:t>三</w:t>
            </w:r>
            <w:r>
              <w:rPr>
                <w:b/>
                <w:bCs/>
                <w:color w:val="000000"/>
                <w:sz w:val="24"/>
              </w:rPr>
              <w:t>、主要设备</w:t>
            </w:r>
          </w:p>
          <w:p>
            <w:pPr>
              <w:jc w:val="center"/>
              <w:rPr>
                <w:b/>
                <w:bCs/>
                <w:color w:val="000000"/>
                <w:sz w:val="24"/>
              </w:rPr>
            </w:pPr>
            <w:r>
              <w:rPr>
                <w:b/>
                <w:bCs/>
                <w:color w:val="000000"/>
                <w:sz w:val="24"/>
              </w:rPr>
              <w:t>表2-3  生产设施一览表</w:t>
            </w:r>
          </w:p>
          <w:tbl>
            <w:tblPr>
              <w:tblStyle w:val="23"/>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45"/>
              <w:gridCol w:w="1816"/>
              <w:gridCol w:w="77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6" w:type="dxa"/>
                  <w:vAlign w:val="center"/>
                </w:tcPr>
                <w:p>
                  <w:pPr>
                    <w:jc w:val="center"/>
                    <w:rPr>
                      <w:b/>
                      <w:bCs/>
                      <w:color w:val="000000"/>
                      <w:szCs w:val="21"/>
                    </w:rPr>
                  </w:pPr>
                  <w:r>
                    <w:rPr>
                      <w:b/>
                      <w:bCs/>
                      <w:color w:val="000000"/>
                      <w:szCs w:val="21"/>
                    </w:rPr>
                    <w:t>序号</w:t>
                  </w:r>
                </w:p>
              </w:tc>
              <w:tc>
                <w:tcPr>
                  <w:tcW w:w="2245" w:type="dxa"/>
                  <w:vAlign w:val="center"/>
                </w:tcPr>
                <w:p>
                  <w:pPr>
                    <w:jc w:val="center"/>
                    <w:rPr>
                      <w:b/>
                      <w:bCs/>
                      <w:color w:val="000000"/>
                      <w:szCs w:val="21"/>
                    </w:rPr>
                  </w:pPr>
                  <w:r>
                    <w:rPr>
                      <w:b/>
                      <w:bCs/>
                      <w:color w:val="000000"/>
                      <w:szCs w:val="21"/>
                    </w:rPr>
                    <w:t>名称</w:t>
                  </w:r>
                </w:p>
              </w:tc>
              <w:tc>
                <w:tcPr>
                  <w:tcW w:w="1816" w:type="dxa"/>
                  <w:vAlign w:val="center"/>
                </w:tcPr>
                <w:p>
                  <w:pPr>
                    <w:jc w:val="center"/>
                    <w:rPr>
                      <w:b/>
                      <w:bCs/>
                      <w:color w:val="000000"/>
                      <w:szCs w:val="21"/>
                    </w:rPr>
                  </w:pPr>
                  <w:r>
                    <w:rPr>
                      <w:b/>
                      <w:bCs/>
                      <w:color w:val="000000"/>
                      <w:szCs w:val="21"/>
                    </w:rPr>
                    <w:t>规格型号</w:t>
                  </w:r>
                </w:p>
              </w:tc>
              <w:tc>
                <w:tcPr>
                  <w:tcW w:w="770" w:type="dxa"/>
                  <w:vAlign w:val="center"/>
                </w:tcPr>
                <w:p>
                  <w:pPr>
                    <w:jc w:val="center"/>
                    <w:rPr>
                      <w:b/>
                      <w:bCs/>
                      <w:color w:val="000000"/>
                      <w:szCs w:val="21"/>
                      <w:lang w:val="zh-CN"/>
                    </w:rPr>
                  </w:pPr>
                  <w:r>
                    <w:rPr>
                      <w:b/>
                      <w:bCs/>
                      <w:color w:val="000000"/>
                      <w:szCs w:val="21"/>
                    </w:rPr>
                    <w:t>数量</w:t>
                  </w:r>
                </w:p>
              </w:tc>
              <w:tc>
                <w:tcPr>
                  <w:tcW w:w="2060" w:type="dxa"/>
                  <w:vAlign w:val="center"/>
                </w:tcPr>
                <w:p>
                  <w:pPr>
                    <w:jc w:val="center"/>
                    <w:rPr>
                      <w:b/>
                      <w:bCs/>
                      <w:color w:val="000000"/>
                      <w:szCs w:val="21"/>
                    </w:rPr>
                  </w:pPr>
                  <w:r>
                    <w:rPr>
                      <w:b/>
                      <w:bCs/>
                      <w:color w:val="000000"/>
                      <w:szCs w:val="21"/>
                    </w:rPr>
                    <w:t>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jc w:val="center"/>
                    <w:rPr>
                      <w:color w:val="000000"/>
                      <w:szCs w:val="21"/>
                    </w:rPr>
                  </w:pPr>
                  <w:r>
                    <w:rPr>
                      <w:color w:val="000000"/>
                      <w:szCs w:val="21"/>
                    </w:rPr>
                    <w:t>1</w:t>
                  </w:r>
                </w:p>
              </w:tc>
              <w:tc>
                <w:tcPr>
                  <w:tcW w:w="2245" w:type="dxa"/>
                  <w:vAlign w:val="center"/>
                </w:tcPr>
                <w:p>
                  <w:pPr>
                    <w:pStyle w:val="25"/>
                    <w:jc w:val="center"/>
                    <w:rPr>
                      <w:rFonts w:ascii="Times New Roman" w:cs="Times New Roman"/>
                      <w:kern w:val="2"/>
                      <w:sz w:val="21"/>
                      <w:szCs w:val="21"/>
                    </w:rPr>
                  </w:pPr>
                  <w:r>
                    <w:rPr>
                      <w:rFonts w:hint="eastAsia" w:ascii="Times New Roman" w:cs="Times New Roman"/>
                      <w:kern w:val="2"/>
                      <w:sz w:val="21"/>
                      <w:szCs w:val="21"/>
                    </w:rPr>
                    <w:t>ZS阻隔防爆储罐</w:t>
                  </w:r>
                </w:p>
              </w:tc>
              <w:tc>
                <w:tcPr>
                  <w:tcW w:w="1816" w:type="dxa"/>
                  <w:vAlign w:val="center"/>
                </w:tcPr>
                <w:p>
                  <w:pPr>
                    <w:pStyle w:val="25"/>
                    <w:jc w:val="center"/>
                    <w:rPr>
                      <w:rFonts w:ascii="Times New Roman" w:cs="Times New Roman"/>
                      <w:kern w:val="2"/>
                      <w:sz w:val="21"/>
                      <w:szCs w:val="21"/>
                      <w:lang w:val="zh-CN"/>
                    </w:rPr>
                  </w:pPr>
                  <w:r>
                    <w:rPr>
                      <w:rFonts w:hint="eastAsia" w:ascii="Times New Roman" w:cs="Times New Roman"/>
                      <w:kern w:val="2"/>
                      <w:sz w:val="21"/>
                      <w:szCs w:val="21"/>
                    </w:rPr>
                    <w:t>50m³（装填系数95%）</w:t>
                  </w:r>
                </w:p>
              </w:tc>
              <w:tc>
                <w:tcPr>
                  <w:tcW w:w="770" w:type="dxa"/>
                  <w:vAlign w:val="center"/>
                </w:tcPr>
                <w:p>
                  <w:pPr>
                    <w:spacing w:line="360" w:lineRule="auto"/>
                    <w:jc w:val="center"/>
                    <w:rPr>
                      <w:color w:val="000000"/>
                      <w:szCs w:val="21"/>
                      <w:lang w:val="zh-CN"/>
                    </w:rPr>
                  </w:pPr>
                  <w:r>
                    <w:rPr>
                      <w:rFonts w:hint="eastAsia"/>
                      <w:color w:val="000000"/>
                      <w:szCs w:val="21"/>
                    </w:rPr>
                    <w:t>1</w:t>
                  </w:r>
                </w:p>
              </w:tc>
              <w:tc>
                <w:tcPr>
                  <w:tcW w:w="2060" w:type="dxa"/>
                  <w:vAlign w:val="center"/>
                </w:tcPr>
                <w:p>
                  <w:pPr>
                    <w:spacing w:line="360" w:lineRule="auto"/>
                    <w:jc w:val="center"/>
                    <w:rPr>
                      <w:color w:val="000000"/>
                      <w:szCs w:val="21"/>
                      <w:lang w:val="zh-CN"/>
                    </w:rPr>
                  </w:pPr>
                  <w:r>
                    <w:rPr>
                      <w:color w:val="000000"/>
                      <w:szCs w:val="21"/>
                    </w:rPr>
                    <w:t>台/双层防渗漏储罐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jc w:val="center"/>
                    <w:rPr>
                      <w:color w:val="000000"/>
                      <w:szCs w:val="21"/>
                    </w:rPr>
                  </w:pPr>
                  <w:r>
                    <w:rPr>
                      <w:color w:val="000000"/>
                      <w:szCs w:val="21"/>
                    </w:rPr>
                    <w:t>2</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阻隔防爆材料</w:t>
                  </w:r>
                </w:p>
              </w:tc>
              <w:tc>
                <w:tcPr>
                  <w:tcW w:w="1816" w:type="dxa"/>
                  <w:vAlign w:val="center"/>
                </w:tcPr>
                <w:p>
                  <w:pPr>
                    <w:spacing w:line="360" w:lineRule="auto"/>
                    <w:jc w:val="center"/>
                    <w:rPr>
                      <w:color w:val="000000"/>
                      <w:szCs w:val="21"/>
                      <w:lang w:val="zh-CN"/>
                    </w:rPr>
                  </w:pPr>
                  <w:r>
                    <w:rPr>
                      <w:rFonts w:hint="eastAsia"/>
                      <w:color w:val="000000"/>
                      <w:szCs w:val="21"/>
                    </w:rPr>
                    <w:t>标配</w:t>
                  </w:r>
                </w:p>
              </w:tc>
              <w:tc>
                <w:tcPr>
                  <w:tcW w:w="770" w:type="dxa"/>
                  <w:vAlign w:val="center"/>
                </w:tcPr>
                <w:p>
                  <w:pPr>
                    <w:spacing w:line="360" w:lineRule="auto"/>
                    <w:jc w:val="center"/>
                    <w:rPr>
                      <w:color w:val="000000"/>
                      <w:szCs w:val="21"/>
                    </w:rPr>
                  </w:pPr>
                  <w:r>
                    <w:rPr>
                      <w:color w:val="000000"/>
                      <w:szCs w:val="21"/>
                    </w:rPr>
                    <w:t>/</w:t>
                  </w:r>
                </w:p>
              </w:tc>
              <w:tc>
                <w:tcPr>
                  <w:tcW w:w="2060" w:type="dxa"/>
                  <w:vAlign w:val="center"/>
                </w:tcPr>
                <w:p>
                  <w:pPr>
                    <w:spacing w:line="360" w:lineRule="auto"/>
                    <w:jc w:val="center"/>
                    <w:rPr>
                      <w:color w:val="000000"/>
                      <w:szCs w:val="21"/>
                      <w:lang w:val="zh-CN"/>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jc w:val="center"/>
                    <w:rPr>
                      <w:color w:val="000000"/>
                      <w:szCs w:val="21"/>
                    </w:rPr>
                  </w:pPr>
                  <w:r>
                    <w:rPr>
                      <w:color w:val="000000"/>
                      <w:szCs w:val="21"/>
                    </w:rPr>
                    <w:t>3</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夹层填充材料</w:t>
                  </w:r>
                </w:p>
              </w:tc>
              <w:tc>
                <w:tcPr>
                  <w:tcW w:w="1816" w:type="dxa"/>
                  <w:vAlign w:val="center"/>
                </w:tcPr>
                <w:p>
                  <w:pPr>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color w:val="000000"/>
                      <w:szCs w:val="21"/>
                    </w:rPr>
                    <w:t>/</w:t>
                  </w:r>
                </w:p>
              </w:tc>
              <w:tc>
                <w:tcPr>
                  <w:tcW w:w="2060" w:type="dxa"/>
                  <w:vAlign w:val="center"/>
                </w:tcPr>
                <w:p>
                  <w:pPr>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4</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智能管理系统</w:t>
                  </w:r>
                </w:p>
              </w:tc>
              <w:tc>
                <w:tcPr>
                  <w:tcW w:w="1816" w:type="dxa"/>
                  <w:vAlign w:val="center"/>
                </w:tcPr>
                <w:p>
                  <w:pPr>
                    <w:spacing w:line="276" w:lineRule="auto"/>
                    <w:contextualSpacing/>
                    <w:jc w:val="center"/>
                    <w:rPr>
                      <w:color w:val="000000"/>
                      <w:szCs w:val="21"/>
                    </w:rPr>
                  </w:pPr>
                  <w:r>
                    <w:rPr>
                      <w:rFonts w:hint="eastAsia"/>
                      <w:color w:val="000000"/>
                      <w:szCs w:val="21"/>
                    </w:rPr>
                    <w:t>标配</w:t>
                  </w:r>
                </w:p>
              </w:tc>
              <w:tc>
                <w:tcPr>
                  <w:tcW w:w="770" w:type="dxa"/>
                  <w:vAlign w:val="center"/>
                </w:tcPr>
                <w:p>
                  <w:pPr>
                    <w:spacing w:line="276" w:lineRule="auto"/>
                    <w:contextualSpacing/>
                    <w:jc w:val="center"/>
                    <w:rPr>
                      <w:color w:val="000000"/>
                      <w:szCs w:val="21"/>
                    </w:rPr>
                  </w:pPr>
                  <w:r>
                    <w:rPr>
                      <w:rFonts w:hint="eastAsia"/>
                      <w:color w:val="000000"/>
                      <w:szCs w:val="21"/>
                    </w:rPr>
                    <w:t>1</w:t>
                  </w:r>
                </w:p>
              </w:tc>
              <w:tc>
                <w:tcPr>
                  <w:tcW w:w="2060" w:type="dxa"/>
                  <w:vAlign w:val="center"/>
                </w:tcPr>
                <w:p>
                  <w:pPr>
                    <w:spacing w:line="276" w:lineRule="auto"/>
                    <w:contextualSpacing/>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5</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防爆配电系统</w:t>
                  </w:r>
                </w:p>
              </w:tc>
              <w:tc>
                <w:tcPr>
                  <w:tcW w:w="1816" w:type="dxa"/>
                  <w:vAlign w:val="center"/>
                </w:tcPr>
                <w:p>
                  <w:pPr>
                    <w:pStyle w:val="25"/>
                    <w:jc w:val="center"/>
                    <w:rPr>
                      <w:rFonts w:ascii="Times New Roman" w:cs="Times New Roman"/>
                      <w:kern w:val="2"/>
                      <w:sz w:val="21"/>
                      <w:szCs w:val="21"/>
                    </w:rPr>
                  </w:pPr>
                  <w:r>
                    <w:rPr>
                      <w:rFonts w:hint="eastAsia" w:ascii="Times New Roman" w:cs="Times New Roman"/>
                      <w:kern w:val="2"/>
                      <w:sz w:val="21"/>
                      <w:szCs w:val="21"/>
                    </w:rPr>
                    <w:t>默认为380V三相（可选择220V）</w:t>
                  </w:r>
                </w:p>
              </w:tc>
              <w:tc>
                <w:tcPr>
                  <w:tcW w:w="770" w:type="dxa"/>
                  <w:vAlign w:val="center"/>
                </w:tcPr>
                <w:p>
                  <w:pPr>
                    <w:spacing w:line="276" w:lineRule="auto"/>
                    <w:contextualSpacing/>
                    <w:jc w:val="center"/>
                    <w:rPr>
                      <w:color w:val="000000"/>
                      <w:szCs w:val="21"/>
                    </w:rPr>
                  </w:pPr>
                  <w:r>
                    <w:rPr>
                      <w:rFonts w:hint="eastAsia"/>
                      <w:color w:val="000000"/>
                      <w:szCs w:val="21"/>
                    </w:rPr>
                    <w:t>1</w:t>
                  </w:r>
                </w:p>
              </w:tc>
              <w:tc>
                <w:tcPr>
                  <w:tcW w:w="2060" w:type="dxa"/>
                  <w:vAlign w:val="center"/>
                </w:tcPr>
                <w:p>
                  <w:pPr>
                    <w:spacing w:line="276" w:lineRule="auto"/>
                    <w:contextualSpacing/>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6</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油气报警装置</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rFonts w:hint="eastAsia"/>
                      <w:color w:val="000000"/>
                      <w:szCs w:val="21"/>
                    </w:rPr>
                    <w:t>1</w:t>
                  </w:r>
                </w:p>
              </w:tc>
              <w:tc>
                <w:tcPr>
                  <w:tcW w:w="2060" w:type="dxa"/>
                  <w:vAlign w:val="center"/>
                </w:tcPr>
                <w:p>
                  <w:pPr>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7</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防爆声光报警及安全照明系统</w:t>
                  </w:r>
                </w:p>
              </w:tc>
              <w:tc>
                <w:tcPr>
                  <w:tcW w:w="1816" w:type="dxa"/>
                  <w:vAlign w:val="center"/>
                </w:tcPr>
                <w:p>
                  <w:pPr>
                    <w:spacing w:line="262" w:lineRule="exact"/>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rFonts w:hint="eastAsia"/>
                      <w:color w:val="000000"/>
                      <w:szCs w:val="21"/>
                    </w:rPr>
                    <w:t>1</w:t>
                  </w:r>
                </w:p>
              </w:tc>
              <w:tc>
                <w:tcPr>
                  <w:tcW w:w="2060" w:type="dxa"/>
                  <w:vAlign w:val="center"/>
                </w:tcPr>
                <w:p>
                  <w:pPr>
                    <w:jc w:val="center"/>
                    <w:rPr>
                      <w:color w:val="000000"/>
                      <w:szCs w:val="21"/>
                    </w:rPr>
                  </w:pPr>
                  <w:r>
                    <w:rPr>
                      <w:color w:val="000000"/>
                      <w:kern w:val="0"/>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8</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紧急泄压装置</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rFonts w:hint="eastAsia"/>
                      <w:color w:val="000000"/>
                      <w:szCs w:val="21"/>
                    </w:rPr>
                    <w:t>1</w:t>
                  </w:r>
                </w:p>
              </w:tc>
              <w:tc>
                <w:tcPr>
                  <w:tcW w:w="2060" w:type="dxa"/>
                  <w:vAlign w:val="center"/>
                </w:tcPr>
                <w:p>
                  <w:pPr>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color w:val="000000"/>
                      <w:szCs w:val="21"/>
                    </w:rPr>
                    <w:t>9</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紧急切断装置</w:t>
                  </w:r>
                </w:p>
              </w:tc>
              <w:tc>
                <w:tcPr>
                  <w:tcW w:w="1816" w:type="dxa"/>
                  <w:vAlign w:val="center"/>
                </w:tcPr>
                <w:p>
                  <w:pPr>
                    <w:spacing w:line="262" w:lineRule="exact"/>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rFonts w:hint="eastAsia"/>
                      <w:color w:val="000000"/>
                      <w:szCs w:val="21"/>
                    </w:rPr>
                    <w:t>1</w:t>
                  </w:r>
                </w:p>
              </w:tc>
              <w:tc>
                <w:tcPr>
                  <w:tcW w:w="2060" w:type="dxa"/>
                  <w:vAlign w:val="center"/>
                </w:tcPr>
                <w:p>
                  <w:pPr>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10</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防回流装置</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szCs w:val="21"/>
                    </w:rPr>
                  </w:pPr>
                  <w:r>
                    <w:rPr>
                      <w:rFonts w:hint="eastAsia"/>
                      <w:color w:val="000000"/>
                      <w:szCs w:val="21"/>
                    </w:rPr>
                    <w:t>1</w:t>
                  </w:r>
                </w:p>
              </w:tc>
              <w:tc>
                <w:tcPr>
                  <w:tcW w:w="2060" w:type="dxa"/>
                  <w:vAlign w:val="center"/>
                </w:tcPr>
                <w:p>
                  <w:pPr>
                    <w:jc w:val="center"/>
                    <w:rPr>
                      <w:color w:val="00000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11</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悬挂式自动  灭火装置</w:t>
                  </w:r>
                </w:p>
              </w:tc>
              <w:tc>
                <w:tcPr>
                  <w:tcW w:w="1816" w:type="dxa"/>
                  <w:vAlign w:val="center"/>
                </w:tcPr>
                <w:p>
                  <w:pPr>
                    <w:pStyle w:val="25"/>
                    <w:jc w:val="center"/>
                    <w:rPr>
                      <w:rFonts w:ascii="Times New Roman" w:cs="Times New Roman"/>
                      <w:kern w:val="2"/>
                      <w:sz w:val="21"/>
                      <w:szCs w:val="21"/>
                    </w:rPr>
                  </w:pPr>
                  <w:r>
                    <w:rPr>
                      <w:rFonts w:hint="eastAsia" w:ascii="Times New Roman" w:cs="Times New Roman"/>
                      <w:kern w:val="2"/>
                      <w:sz w:val="21"/>
                      <w:szCs w:val="21"/>
                    </w:rPr>
                    <w:t>技术性能符合GA78-94标准</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12</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防爆呼吸阀  装置</w:t>
                  </w:r>
                </w:p>
              </w:tc>
              <w:tc>
                <w:tcPr>
                  <w:tcW w:w="1816" w:type="dxa"/>
                  <w:vAlign w:val="center"/>
                </w:tcPr>
                <w:p>
                  <w:pPr>
                    <w:pStyle w:val="57"/>
                    <w:spacing w:line="265" w:lineRule="exact"/>
                    <w:jc w:val="center"/>
                    <w:rPr>
                      <w:color w:val="000000"/>
                      <w:sz w:val="21"/>
                      <w:szCs w:val="21"/>
                      <w:lang w:eastAsia="zh-CN"/>
                    </w:rPr>
                  </w:pPr>
                  <w:r>
                    <w:rPr>
                      <w:color w:val="000000"/>
                      <w:szCs w:val="21"/>
                    </w:rPr>
                    <w:t>套</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13</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防雷接地静电接地系统</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14</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防漏检测视镜</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15</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卸油管道泵及卸油管路系统</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16</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卸油过滤装置</w:t>
                  </w:r>
                </w:p>
              </w:tc>
              <w:tc>
                <w:tcPr>
                  <w:tcW w:w="1816" w:type="dxa"/>
                  <w:vAlign w:val="center"/>
                </w:tcPr>
                <w:p>
                  <w:pPr>
                    <w:spacing w:line="265" w:lineRule="exact"/>
                    <w:jc w:val="center"/>
                    <w:rPr>
                      <w:color w:val="000000"/>
                      <w:szCs w:val="21"/>
                    </w:rPr>
                  </w:pPr>
                  <w:r>
                    <w:rPr>
                      <w:rFonts w:hint="eastAsia"/>
                      <w:color w:val="000000"/>
                      <w:szCs w:val="21"/>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17</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油气回收系统</w:t>
                  </w:r>
                </w:p>
              </w:tc>
              <w:tc>
                <w:tcPr>
                  <w:tcW w:w="1816" w:type="dxa"/>
                  <w:vAlign w:val="center"/>
                </w:tcPr>
                <w:p>
                  <w:pPr>
                    <w:pStyle w:val="57"/>
                    <w:spacing w:line="265" w:lineRule="exact"/>
                    <w:jc w:val="center"/>
                    <w:rPr>
                      <w:color w:val="000000"/>
                      <w:sz w:val="21"/>
                      <w:szCs w:val="21"/>
                      <w:lang w:eastAsia="zh-CN"/>
                    </w:rPr>
                  </w:pPr>
                  <w:r>
                    <w:rPr>
                      <w:rFonts w:hint="eastAsia"/>
                      <w:color w:val="000000"/>
                      <w:kern w:val="2"/>
                      <w:sz w:val="21"/>
                      <w:szCs w:val="21"/>
                      <w:lang w:eastAsia="zh-CN"/>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18</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加油机</w:t>
                  </w:r>
                </w:p>
              </w:tc>
              <w:tc>
                <w:tcPr>
                  <w:tcW w:w="1816" w:type="dxa"/>
                  <w:vAlign w:val="center"/>
                </w:tcPr>
                <w:p>
                  <w:pPr>
                    <w:pStyle w:val="25"/>
                    <w:jc w:val="center"/>
                    <w:rPr>
                      <w:rFonts w:ascii="Times New Roman" w:cs="Times New Roman"/>
                      <w:kern w:val="2"/>
                      <w:sz w:val="21"/>
                      <w:szCs w:val="21"/>
                    </w:rPr>
                  </w:pPr>
                  <w:r>
                    <w:rPr>
                      <w:rFonts w:hint="eastAsia" w:ascii="Times New Roman" w:cs="Times New Roman"/>
                      <w:kern w:val="2"/>
                      <w:sz w:val="21"/>
                      <w:szCs w:val="21"/>
                    </w:rPr>
                    <w:t>380V/220V防爆型电机、带拉断阀</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rFonts w:hint="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19</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IC卡系统</w:t>
                  </w:r>
                </w:p>
              </w:tc>
              <w:tc>
                <w:tcPr>
                  <w:tcW w:w="1816" w:type="dxa"/>
                  <w:vAlign w:val="center"/>
                </w:tcPr>
                <w:p>
                  <w:pPr>
                    <w:pStyle w:val="57"/>
                    <w:spacing w:line="265" w:lineRule="exact"/>
                    <w:jc w:val="center"/>
                    <w:rPr>
                      <w:color w:val="000000"/>
                      <w:sz w:val="21"/>
                      <w:szCs w:val="21"/>
                      <w:lang w:eastAsia="zh-CN"/>
                    </w:rPr>
                  </w:pPr>
                  <w:r>
                    <w:rPr>
                      <w:color w:val="000000"/>
                      <w:sz w:val="21"/>
                      <w:szCs w:val="21"/>
                      <w:lang w:eastAsia="zh-CN"/>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20</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橇装智能液位管理系统</w:t>
                  </w:r>
                </w:p>
              </w:tc>
              <w:tc>
                <w:tcPr>
                  <w:tcW w:w="1816" w:type="dxa"/>
                  <w:vAlign w:val="center"/>
                </w:tcPr>
                <w:p>
                  <w:pPr>
                    <w:pStyle w:val="57"/>
                    <w:spacing w:line="265" w:lineRule="exact"/>
                    <w:jc w:val="center"/>
                    <w:rPr>
                      <w:color w:val="000000"/>
                      <w:sz w:val="21"/>
                      <w:szCs w:val="21"/>
                      <w:lang w:eastAsia="zh-CN"/>
                    </w:rPr>
                  </w:pPr>
                  <w:r>
                    <w:rPr>
                      <w:color w:val="000000"/>
                      <w:sz w:val="21"/>
                      <w:szCs w:val="21"/>
                      <w:lang w:eastAsia="zh-CN"/>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21</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人工计量装置</w:t>
                  </w:r>
                </w:p>
              </w:tc>
              <w:tc>
                <w:tcPr>
                  <w:tcW w:w="1816" w:type="dxa"/>
                  <w:vAlign w:val="center"/>
                </w:tcPr>
                <w:p>
                  <w:pPr>
                    <w:pStyle w:val="57"/>
                    <w:spacing w:line="265" w:lineRule="exact"/>
                    <w:jc w:val="center"/>
                    <w:rPr>
                      <w:color w:val="000000"/>
                      <w:sz w:val="21"/>
                      <w:szCs w:val="21"/>
                      <w:lang w:eastAsia="zh-CN"/>
                    </w:rPr>
                  </w:pPr>
                  <w:r>
                    <w:rPr>
                      <w:color w:val="000000"/>
                      <w:sz w:val="21"/>
                      <w:szCs w:val="21"/>
                      <w:lang w:eastAsia="zh-CN"/>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22</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清洗和排污  系统</w:t>
                  </w:r>
                </w:p>
              </w:tc>
              <w:tc>
                <w:tcPr>
                  <w:tcW w:w="1816" w:type="dxa"/>
                  <w:vAlign w:val="center"/>
                </w:tcPr>
                <w:p>
                  <w:pPr>
                    <w:pStyle w:val="57"/>
                    <w:spacing w:line="265" w:lineRule="exact"/>
                    <w:jc w:val="center"/>
                    <w:rPr>
                      <w:color w:val="000000"/>
                      <w:sz w:val="21"/>
                      <w:szCs w:val="21"/>
                      <w:lang w:eastAsia="zh-CN"/>
                    </w:rPr>
                  </w:pP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23</w:t>
                  </w:r>
                </w:p>
              </w:tc>
              <w:tc>
                <w:tcPr>
                  <w:tcW w:w="2245" w:type="dxa"/>
                  <w:vAlign w:val="center"/>
                </w:tcPr>
                <w:p>
                  <w:pPr>
                    <w:pStyle w:val="25"/>
                    <w:jc w:val="center"/>
                    <w:rPr>
                      <w:rFonts w:ascii="Times New Roman" w:cs="Times New Roman"/>
                      <w:kern w:val="2"/>
                      <w:sz w:val="21"/>
                      <w:szCs w:val="21"/>
                    </w:rPr>
                  </w:pPr>
                  <w:r>
                    <w:rPr>
                      <w:rFonts w:ascii="Times New Roman" w:cs="Times New Roman"/>
                      <w:kern w:val="2"/>
                      <w:sz w:val="21"/>
                      <w:szCs w:val="21"/>
                    </w:rPr>
                    <w:t>聚氨脂防护  漆面</w:t>
                  </w:r>
                </w:p>
              </w:tc>
              <w:tc>
                <w:tcPr>
                  <w:tcW w:w="1816" w:type="dxa"/>
                  <w:vAlign w:val="center"/>
                </w:tcPr>
                <w:p>
                  <w:pPr>
                    <w:pStyle w:val="57"/>
                    <w:spacing w:line="265" w:lineRule="exact"/>
                    <w:jc w:val="center"/>
                    <w:rPr>
                      <w:color w:val="000000"/>
                      <w:sz w:val="21"/>
                      <w:szCs w:val="21"/>
                      <w:lang w:eastAsia="zh-CN"/>
                    </w:rPr>
                  </w:pPr>
                  <w:r>
                    <w:rPr>
                      <w:rFonts w:hint="eastAsia"/>
                      <w:color w:val="000000"/>
                      <w:kern w:val="2"/>
                      <w:sz w:val="21"/>
                      <w:szCs w:val="21"/>
                      <w:lang w:eastAsia="zh-CN"/>
                    </w:rPr>
                    <w:t>标配</w:t>
                  </w:r>
                </w:p>
              </w:tc>
              <w:tc>
                <w:tcPr>
                  <w:tcW w:w="770" w:type="dxa"/>
                  <w:vAlign w:val="center"/>
                </w:tcPr>
                <w:p>
                  <w:pPr>
                    <w:jc w:val="center"/>
                    <w:rPr>
                      <w:color w:val="000000"/>
                      <w:kern w:val="0"/>
                      <w:szCs w:val="21"/>
                    </w:rPr>
                  </w:pPr>
                  <w:r>
                    <w:rPr>
                      <w:color w:val="000000"/>
                      <w:szCs w:val="21"/>
                    </w:rPr>
                    <w:t>/</w:t>
                  </w:r>
                </w:p>
              </w:tc>
              <w:tc>
                <w:tcPr>
                  <w:tcW w:w="2060" w:type="dxa"/>
                  <w:vAlign w:val="center"/>
                </w:tcPr>
                <w:p>
                  <w:pPr>
                    <w:jc w:val="center"/>
                    <w:rPr>
                      <w:color w:val="000000"/>
                      <w:kern w:val="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24</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罐内构件装置</w:t>
                  </w:r>
                </w:p>
              </w:tc>
              <w:tc>
                <w:tcPr>
                  <w:tcW w:w="1816" w:type="dxa"/>
                  <w:vAlign w:val="center"/>
                </w:tcPr>
                <w:p>
                  <w:pPr>
                    <w:spacing w:line="265" w:lineRule="exact"/>
                    <w:jc w:val="center"/>
                    <w:rPr>
                      <w:color w:val="000000"/>
                      <w:szCs w:val="21"/>
                    </w:rPr>
                  </w:pPr>
                  <w:r>
                    <w:rPr>
                      <w:color w:val="000000"/>
                      <w:szCs w:val="21"/>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25</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装置底座</w:t>
                  </w:r>
                </w:p>
              </w:tc>
              <w:tc>
                <w:tcPr>
                  <w:tcW w:w="1816" w:type="dxa"/>
                  <w:vAlign w:val="center"/>
                </w:tcPr>
                <w:p>
                  <w:pPr>
                    <w:spacing w:line="265" w:lineRule="exact"/>
                    <w:jc w:val="center"/>
                    <w:rPr>
                      <w:color w:val="000000"/>
                      <w:szCs w:val="21"/>
                    </w:rPr>
                  </w:pPr>
                  <w:r>
                    <w:rPr>
                      <w:color w:val="000000"/>
                      <w:szCs w:val="21"/>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26</w:t>
                  </w:r>
                </w:p>
              </w:tc>
              <w:tc>
                <w:tcPr>
                  <w:tcW w:w="2245" w:type="dxa"/>
                </w:tcPr>
                <w:p>
                  <w:pPr>
                    <w:pStyle w:val="25"/>
                    <w:jc w:val="center"/>
                    <w:rPr>
                      <w:rFonts w:ascii="Times New Roman" w:cs="Times New Roman"/>
                      <w:kern w:val="2"/>
                      <w:sz w:val="21"/>
                      <w:szCs w:val="21"/>
                    </w:rPr>
                  </w:pPr>
                  <w:r>
                    <w:rPr>
                      <w:rFonts w:ascii="Times New Roman" w:cs="Times New Roman"/>
                      <w:kern w:val="2"/>
                      <w:sz w:val="21"/>
                      <w:szCs w:val="21"/>
                    </w:rPr>
                    <w:t>卷帘门</w:t>
                  </w:r>
                </w:p>
              </w:tc>
              <w:tc>
                <w:tcPr>
                  <w:tcW w:w="1816" w:type="dxa"/>
                  <w:vAlign w:val="center"/>
                </w:tcPr>
                <w:p>
                  <w:pPr>
                    <w:spacing w:line="265" w:lineRule="exact"/>
                    <w:jc w:val="center"/>
                    <w:rPr>
                      <w:color w:val="000000"/>
                      <w:szCs w:val="21"/>
                    </w:rPr>
                  </w:pPr>
                  <w:r>
                    <w:rPr>
                      <w:color w:val="000000"/>
                      <w:szCs w:val="21"/>
                    </w:rPr>
                    <w:t>/</w:t>
                  </w:r>
                </w:p>
              </w:tc>
              <w:tc>
                <w:tcPr>
                  <w:tcW w:w="770" w:type="dxa"/>
                  <w:vAlign w:val="center"/>
                </w:tcPr>
                <w:p>
                  <w:pPr>
                    <w:jc w:val="center"/>
                    <w:rPr>
                      <w:color w:val="000000"/>
                      <w:kern w:val="0"/>
                      <w:szCs w:val="21"/>
                    </w:rPr>
                  </w:pPr>
                  <w:r>
                    <w:rPr>
                      <w:rFonts w:hint="eastAsia"/>
                      <w:color w:val="000000"/>
                      <w:szCs w:val="21"/>
                    </w:rPr>
                    <w:t>2</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27</w:t>
                  </w:r>
                </w:p>
              </w:tc>
              <w:tc>
                <w:tcPr>
                  <w:tcW w:w="2245" w:type="dxa"/>
                </w:tcPr>
                <w:p>
                  <w:pPr>
                    <w:pStyle w:val="25"/>
                    <w:jc w:val="center"/>
                    <w:rPr>
                      <w:rFonts w:ascii="Times New Roman" w:cs="Times New Roman"/>
                      <w:kern w:val="2"/>
                      <w:sz w:val="21"/>
                      <w:szCs w:val="21"/>
                    </w:rPr>
                  </w:pPr>
                  <w:r>
                    <w:rPr>
                      <w:rFonts w:hint="eastAsia" w:ascii="Times New Roman" w:cs="Times New Roman"/>
                      <w:kern w:val="2"/>
                      <w:sz w:val="21"/>
                      <w:szCs w:val="21"/>
                    </w:rPr>
                    <w:t>设备外形</w:t>
                  </w:r>
                </w:p>
              </w:tc>
              <w:tc>
                <w:tcPr>
                  <w:tcW w:w="1816" w:type="dxa"/>
                  <w:vAlign w:val="center"/>
                </w:tcPr>
                <w:p>
                  <w:pPr>
                    <w:spacing w:line="265" w:lineRule="exact"/>
                    <w:jc w:val="center"/>
                    <w:rPr>
                      <w:color w:val="000000"/>
                      <w:szCs w:val="21"/>
                    </w:rPr>
                  </w:pPr>
                  <w:r>
                    <w:rPr>
                      <w:color w:val="000000"/>
                      <w:szCs w:val="21"/>
                    </w:rPr>
                    <w:t>/</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6" w:type="dxa"/>
                  <w:vAlign w:val="center"/>
                </w:tcPr>
                <w:p>
                  <w:pPr>
                    <w:spacing w:line="276" w:lineRule="auto"/>
                    <w:contextualSpacing/>
                    <w:jc w:val="center"/>
                    <w:rPr>
                      <w:color w:val="000000"/>
                      <w:szCs w:val="21"/>
                    </w:rPr>
                  </w:pPr>
                  <w:r>
                    <w:rPr>
                      <w:rFonts w:hint="eastAsia"/>
                      <w:color w:val="000000"/>
                      <w:szCs w:val="21"/>
                    </w:rPr>
                    <w:t>28</w:t>
                  </w:r>
                </w:p>
              </w:tc>
              <w:tc>
                <w:tcPr>
                  <w:tcW w:w="2245" w:type="dxa"/>
                </w:tcPr>
                <w:p>
                  <w:pPr>
                    <w:pStyle w:val="25"/>
                    <w:jc w:val="center"/>
                    <w:rPr>
                      <w:rFonts w:ascii="Times New Roman" w:cs="Times New Roman"/>
                      <w:kern w:val="2"/>
                      <w:sz w:val="21"/>
                      <w:szCs w:val="21"/>
                    </w:rPr>
                  </w:pPr>
                  <w:r>
                    <w:rPr>
                      <w:rFonts w:hint="eastAsia" w:ascii="Times New Roman" w:cs="Times New Roman"/>
                      <w:kern w:val="2"/>
                      <w:sz w:val="21"/>
                      <w:szCs w:val="21"/>
                    </w:rPr>
                    <w:t>安全防护装置</w:t>
                  </w:r>
                </w:p>
              </w:tc>
              <w:tc>
                <w:tcPr>
                  <w:tcW w:w="1816" w:type="dxa"/>
                  <w:vAlign w:val="center"/>
                </w:tcPr>
                <w:p>
                  <w:pPr>
                    <w:pStyle w:val="57"/>
                    <w:spacing w:line="265" w:lineRule="exact"/>
                    <w:jc w:val="center"/>
                    <w:rPr>
                      <w:color w:val="000000"/>
                      <w:sz w:val="21"/>
                      <w:szCs w:val="21"/>
                      <w:lang w:eastAsia="zh-CN"/>
                    </w:rPr>
                  </w:pPr>
                  <w:r>
                    <w:rPr>
                      <w:rFonts w:hint="eastAsia"/>
                      <w:color w:val="000000"/>
                      <w:kern w:val="2"/>
                      <w:sz w:val="21"/>
                      <w:szCs w:val="21"/>
                      <w:lang w:eastAsia="zh-CN"/>
                    </w:rPr>
                    <w:t>标配</w:t>
                  </w:r>
                </w:p>
              </w:tc>
              <w:tc>
                <w:tcPr>
                  <w:tcW w:w="770" w:type="dxa"/>
                  <w:vAlign w:val="center"/>
                </w:tcPr>
                <w:p>
                  <w:pPr>
                    <w:jc w:val="center"/>
                    <w:rPr>
                      <w:color w:val="000000"/>
                      <w:kern w:val="0"/>
                      <w:szCs w:val="21"/>
                    </w:rPr>
                  </w:pPr>
                  <w:r>
                    <w:rPr>
                      <w:rFonts w:hint="eastAsia"/>
                      <w:color w:val="000000"/>
                      <w:szCs w:val="21"/>
                    </w:rPr>
                    <w:t>1</w:t>
                  </w:r>
                </w:p>
              </w:tc>
              <w:tc>
                <w:tcPr>
                  <w:tcW w:w="2060" w:type="dxa"/>
                  <w:vAlign w:val="center"/>
                </w:tcPr>
                <w:p>
                  <w:pPr>
                    <w:jc w:val="center"/>
                    <w:rPr>
                      <w:color w:val="000000"/>
                      <w:kern w:val="0"/>
                      <w:szCs w:val="21"/>
                    </w:rPr>
                  </w:pPr>
                  <w:r>
                    <w:rPr>
                      <w:color w:val="000000"/>
                      <w:szCs w:val="21"/>
                    </w:rPr>
                    <w:t>套</w:t>
                  </w:r>
                </w:p>
              </w:tc>
            </w:tr>
          </w:tbl>
          <w:p>
            <w:pPr>
              <w:ind w:firstLine="1687" w:firstLineChars="700"/>
              <w:rPr>
                <w:b/>
                <w:color w:val="000000"/>
                <w:sz w:val="24"/>
              </w:rPr>
            </w:pPr>
            <w:r>
              <w:rPr>
                <w:b/>
                <w:bCs/>
                <w:color w:val="000000"/>
                <w:sz w:val="24"/>
              </w:rPr>
              <w:t xml:space="preserve">表2-4  </w:t>
            </w:r>
            <w:r>
              <w:rPr>
                <w:rFonts w:hint="eastAsia"/>
                <w:b/>
                <w:bCs/>
                <w:kern w:val="0"/>
                <w:sz w:val="24"/>
              </w:rPr>
              <w:t>撬装加油装置</w:t>
            </w:r>
            <w:r>
              <w:rPr>
                <w:b/>
                <w:bCs/>
                <w:color w:val="000000"/>
                <w:sz w:val="24"/>
              </w:rPr>
              <w:t>生产设施</w:t>
            </w:r>
            <w:r>
              <w:rPr>
                <w:rFonts w:hint="eastAsia"/>
                <w:b/>
                <w:bCs/>
                <w:color w:val="000000"/>
                <w:sz w:val="24"/>
              </w:rPr>
              <w:t>参数</w:t>
            </w:r>
            <w:r>
              <w:rPr>
                <w:b/>
                <w:bCs/>
                <w:color w:val="000000"/>
                <w:sz w:val="24"/>
              </w:rPr>
              <w:t>一览表</w:t>
            </w:r>
          </w:p>
          <w:tbl>
            <w:tblPr>
              <w:tblStyle w:val="23"/>
              <w:tblW w:w="793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47"/>
              <w:gridCol w:w="900"/>
              <w:gridCol w:w="1332"/>
              <w:gridCol w:w="1842"/>
              <w:gridCol w:w="2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2" w:hRule="atLeast"/>
              </w:trPr>
              <w:tc>
                <w:tcPr>
                  <w:tcW w:w="1747" w:type="dxa"/>
                  <w:vAlign w:val="center"/>
                </w:tcPr>
                <w:p>
                  <w:pPr>
                    <w:pStyle w:val="57"/>
                    <w:kinsoku w:val="0"/>
                    <w:overflowPunct w:val="0"/>
                    <w:jc w:val="center"/>
                    <w:rPr>
                      <w:b/>
                      <w:color w:val="000000"/>
                      <w:sz w:val="21"/>
                      <w:szCs w:val="21"/>
                      <w:lang w:eastAsia="zh-CN"/>
                    </w:rPr>
                  </w:pPr>
                  <w:r>
                    <w:rPr>
                      <w:b/>
                      <w:color w:val="000000"/>
                      <w:sz w:val="21"/>
                      <w:szCs w:val="21"/>
                      <w:lang w:eastAsia="zh-CN"/>
                    </w:rPr>
                    <w:t>主体工程</w:t>
                  </w:r>
                </w:p>
              </w:tc>
              <w:tc>
                <w:tcPr>
                  <w:tcW w:w="2232" w:type="dxa"/>
                  <w:gridSpan w:val="2"/>
                  <w:vAlign w:val="center"/>
                </w:tcPr>
                <w:p>
                  <w:pPr>
                    <w:pStyle w:val="57"/>
                    <w:kinsoku w:val="0"/>
                    <w:overflowPunct w:val="0"/>
                    <w:jc w:val="center"/>
                    <w:rPr>
                      <w:b/>
                      <w:color w:val="000000"/>
                      <w:sz w:val="21"/>
                      <w:szCs w:val="21"/>
                      <w:lang w:eastAsia="zh-CN"/>
                    </w:rPr>
                  </w:pPr>
                  <w:r>
                    <w:rPr>
                      <w:b/>
                      <w:color w:val="000000"/>
                      <w:sz w:val="21"/>
                      <w:szCs w:val="21"/>
                      <w:lang w:eastAsia="zh-CN"/>
                    </w:rPr>
                    <w:t>生产设施</w:t>
                  </w:r>
                </w:p>
              </w:tc>
              <w:tc>
                <w:tcPr>
                  <w:tcW w:w="1842" w:type="dxa"/>
                  <w:vAlign w:val="center"/>
                </w:tcPr>
                <w:p>
                  <w:pPr>
                    <w:pStyle w:val="57"/>
                    <w:kinsoku w:val="0"/>
                    <w:overflowPunct w:val="0"/>
                    <w:jc w:val="center"/>
                    <w:rPr>
                      <w:b/>
                      <w:color w:val="000000"/>
                      <w:sz w:val="21"/>
                      <w:szCs w:val="21"/>
                      <w:lang w:eastAsia="zh-CN"/>
                    </w:rPr>
                  </w:pPr>
                  <w:r>
                    <w:rPr>
                      <w:b/>
                      <w:color w:val="000000"/>
                      <w:sz w:val="21"/>
                      <w:szCs w:val="21"/>
                      <w:lang w:eastAsia="zh-CN"/>
                    </w:rPr>
                    <w:t>设施参数</w:t>
                  </w:r>
                </w:p>
              </w:tc>
              <w:tc>
                <w:tcPr>
                  <w:tcW w:w="2117" w:type="dxa"/>
                  <w:vAlign w:val="center"/>
                </w:tcPr>
                <w:p>
                  <w:pPr>
                    <w:pStyle w:val="57"/>
                    <w:kinsoku w:val="0"/>
                    <w:overflowPunct w:val="0"/>
                    <w:jc w:val="center"/>
                    <w:rPr>
                      <w:b/>
                      <w:color w:val="000000"/>
                      <w:sz w:val="21"/>
                      <w:szCs w:val="21"/>
                      <w:lang w:eastAsia="zh-CN"/>
                    </w:rPr>
                  </w:pPr>
                  <w:r>
                    <w:rPr>
                      <w:b/>
                      <w:color w:val="000000"/>
                      <w:sz w:val="21"/>
                      <w:szCs w:val="21"/>
                      <w:lang w:eastAsia="zh-CN"/>
                    </w:rPr>
                    <w:t>计量单位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trPr>
              <w:tc>
                <w:tcPr>
                  <w:tcW w:w="1747" w:type="dxa"/>
                  <w:vMerge w:val="restart"/>
                  <w:vAlign w:val="center"/>
                </w:tcPr>
                <w:p>
                  <w:pPr>
                    <w:pStyle w:val="9"/>
                    <w:kinsoku w:val="0"/>
                    <w:overflowPunct w:val="0"/>
                    <w:jc w:val="center"/>
                    <w:rPr>
                      <w:color w:val="000000"/>
                      <w:sz w:val="21"/>
                      <w:szCs w:val="21"/>
                    </w:rPr>
                  </w:pPr>
                  <w:r>
                    <w:rPr>
                      <w:rFonts w:hint="eastAsia"/>
                      <w:color w:val="000000"/>
                      <w:sz w:val="21"/>
                      <w:szCs w:val="21"/>
                    </w:rPr>
                    <w:t>撬装加油装置</w:t>
                  </w:r>
                </w:p>
              </w:tc>
              <w:tc>
                <w:tcPr>
                  <w:tcW w:w="2232" w:type="dxa"/>
                  <w:gridSpan w:val="2"/>
                  <w:vMerge w:val="restart"/>
                  <w:vAlign w:val="center"/>
                </w:tcPr>
                <w:p>
                  <w:pPr>
                    <w:pStyle w:val="57"/>
                    <w:kinsoku w:val="0"/>
                    <w:overflowPunct w:val="0"/>
                    <w:jc w:val="center"/>
                    <w:rPr>
                      <w:color w:val="000000"/>
                      <w:sz w:val="21"/>
                      <w:szCs w:val="21"/>
                      <w:lang w:eastAsia="zh-CN"/>
                    </w:rPr>
                  </w:pPr>
                  <w:r>
                    <w:rPr>
                      <w:color w:val="000000"/>
                      <w:sz w:val="21"/>
                      <w:szCs w:val="21"/>
                      <w:lang w:eastAsia="zh-CN"/>
                    </w:rPr>
                    <w:t>储罐</w:t>
                  </w: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数量</w:t>
                  </w:r>
                </w:p>
              </w:tc>
              <w:tc>
                <w:tcPr>
                  <w:tcW w:w="2117" w:type="dxa"/>
                  <w:vAlign w:val="center"/>
                </w:tcPr>
                <w:p>
                  <w:pPr>
                    <w:pStyle w:val="57"/>
                    <w:kinsoku w:val="0"/>
                    <w:overflowPunct w:val="0"/>
                    <w:jc w:val="center"/>
                    <w:rPr>
                      <w:color w:val="000000"/>
                      <w:sz w:val="21"/>
                      <w:szCs w:val="21"/>
                      <w:lang w:eastAsia="zh-CN"/>
                    </w:rPr>
                  </w:pPr>
                  <w:r>
                    <w:rPr>
                      <w:rFonts w:hint="eastAsia"/>
                      <w:color w:val="000000"/>
                      <w:sz w:val="21"/>
                      <w:szCs w:val="21"/>
                      <w:lang w:eastAsia="zh-CN"/>
                    </w:rPr>
                    <w:t>1</w:t>
                  </w:r>
                  <w:r>
                    <w:rPr>
                      <w:color w:val="000000"/>
                      <w:sz w:val="21"/>
                      <w:szCs w:val="21"/>
                      <w:lang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trPr>
              <w:tc>
                <w:tcPr>
                  <w:tcW w:w="1747" w:type="dxa"/>
                  <w:vMerge w:val="continue"/>
                  <w:vAlign w:val="center"/>
                </w:tcPr>
                <w:p>
                  <w:pPr>
                    <w:pStyle w:val="9"/>
                    <w:kinsoku w:val="0"/>
                    <w:overflowPunct w:val="0"/>
                    <w:jc w:val="center"/>
                    <w:rPr>
                      <w:color w:val="000000"/>
                      <w:sz w:val="21"/>
                      <w:szCs w:val="21"/>
                    </w:rPr>
                  </w:pPr>
                </w:p>
              </w:tc>
              <w:tc>
                <w:tcPr>
                  <w:tcW w:w="2232" w:type="dxa"/>
                  <w:gridSpan w:val="2"/>
                  <w:vMerge w:val="continue"/>
                  <w:vAlign w:val="center"/>
                </w:tcPr>
                <w:p>
                  <w:pPr>
                    <w:pStyle w:val="9"/>
                    <w:kinsoku w:val="0"/>
                    <w:overflowPunct w:val="0"/>
                    <w:jc w:val="center"/>
                    <w:rPr>
                      <w:color w:val="000000"/>
                      <w:sz w:val="21"/>
                      <w:szCs w:val="21"/>
                    </w:rPr>
                  </w:pP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公称容积</w:t>
                  </w:r>
                </w:p>
              </w:tc>
              <w:tc>
                <w:tcPr>
                  <w:tcW w:w="2117" w:type="dxa"/>
                  <w:vAlign w:val="center"/>
                </w:tcPr>
                <w:p>
                  <w:pPr>
                    <w:pStyle w:val="57"/>
                    <w:kinsoku w:val="0"/>
                    <w:overflowPunct w:val="0"/>
                    <w:jc w:val="center"/>
                    <w:rPr>
                      <w:color w:val="000000"/>
                      <w:sz w:val="21"/>
                      <w:szCs w:val="21"/>
                      <w:lang w:eastAsia="zh-CN"/>
                    </w:rPr>
                  </w:pPr>
                  <w:r>
                    <w:rPr>
                      <w:rFonts w:hint="eastAsia"/>
                      <w:color w:val="000000"/>
                      <w:sz w:val="21"/>
                      <w:szCs w:val="21"/>
                      <w:lang w:eastAsia="zh-CN"/>
                    </w:rPr>
                    <w:t>50</w:t>
                  </w:r>
                  <w:r>
                    <w:rPr>
                      <w:color w:val="000000"/>
                      <w:sz w:val="21"/>
                      <w:szCs w:val="21"/>
                      <w:lang w:eastAsia="zh-CN"/>
                    </w:rPr>
                    <w:t>立方米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38" w:hRule="atLeast"/>
              </w:trPr>
              <w:tc>
                <w:tcPr>
                  <w:tcW w:w="1747" w:type="dxa"/>
                  <w:vMerge w:val="continue"/>
                  <w:vAlign w:val="center"/>
                </w:tcPr>
                <w:p>
                  <w:pPr>
                    <w:pStyle w:val="9"/>
                    <w:kinsoku w:val="0"/>
                    <w:overflowPunct w:val="0"/>
                    <w:jc w:val="center"/>
                    <w:rPr>
                      <w:color w:val="000000"/>
                      <w:sz w:val="21"/>
                      <w:szCs w:val="21"/>
                    </w:rPr>
                  </w:pPr>
                </w:p>
              </w:tc>
              <w:tc>
                <w:tcPr>
                  <w:tcW w:w="2232" w:type="dxa"/>
                  <w:gridSpan w:val="2"/>
                  <w:vMerge w:val="continue"/>
                  <w:vAlign w:val="center"/>
                </w:tcPr>
                <w:p>
                  <w:pPr>
                    <w:pStyle w:val="9"/>
                    <w:kinsoku w:val="0"/>
                    <w:overflowPunct w:val="0"/>
                    <w:jc w:val="center"/>
                    <w:rPr>
                      <w:color w:val="000000"/>
                      <w:sz w:val="21"/>
                      <w:szCs w:val="21"/>
                    </w:rPr>
                  </w:pP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储存物料</w:t>
                  </w:r>
                </w:p>
              </w:tc>
              <w:tc>
                <w:tcPr>
                  <w:tcW w:w="2117" w:type="dxa"/>
                  <w:vAlign w:val="center"/>
                </w:tcPr>
                <w:p>
                  <w:pPr>
                    <w:pStyle w:val="57"/>
                    <w:kinsoku w:val="0"/>
                    <w:overflowPunct w:val="0"/>
                    <w:jc w:val="center"/>
                    <w:rPr>
                      <w:color w:val="000000"/>
                      <w:sz w:val="21"/>
                      <w:szCs w:val="21"/>
                      <w:lang w:eastAsia="zh-CN"/>
                    </w:rPr>
                  </w:pPr>
                  <w:r>
                    <w:rPr>
                      <w:color w:val="000000"/>
                      <w:sz w:val="21"/>
                      <w:szCs w:val="21"/>
                      <w:lang w:eastAsia="zh-CN"/>
                    </w:rPr>
                    <w:t>汽油、柴油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trPr>
              <w:tc>
                <w:tcPr>
                  <w:tcW w:w="1747" w:type="dxa"/>
                  <w:vMerge w:val="continue"/>
                  <w:vAlign w:val="center"/>
                </w:tcPr>
                <w:p>
                  <w:pPr>
                    <w:pStyle w:val="9"/>
                    <w:kinsoku w:val="0"/>
                    <w:overflowPunct w:val="0"/>
                    <w:jc w:val="center"/>
                    <w:rPr>
                      <w:color w:val="000000"/>
                      <w:sz w:val="21"/>
                      <w:szCs w:val="21"/>
                    </w:rPr>
                  </w:pPr>
                </w:p>
              </w:tc>
              <w:tc>
                <w:tcPr>
                  <w:tcW w:w="2232" w:type="dxa"/>
                  <w:gridSpan w:val="2"/>
                  <w:vMerge w:val="continue"/>
                  <w:vAlign w:val="center"/>
                </w:tcPr>
                <w:p>
                  <w:pPr>
                    <w:pStyle w:val="9"/>
                    <w:kinsoku w:val="0"/>
                    <w:overflowPunct w:val="0"/>
                    <w:jc w:val="center"/>
                    <w:rPr>
                      <w:color w:val="000000"/>
                      <w:sz w:val="21"/>
                      <w:szCs w:val="21"/>
                    </w:rPr>
                  </w:pP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罐型</w:t>
                  </w:r>
                </w:p>
              </w:tc>
              <w:tc>
                <w:tcPr>
                  <w:tcW w:w="2117" w:type="dxa"/>
                  <w:vAlign w:val="center"/>
                </w:tcPr>
                <w:p>
                  <w:pPr>
                    <w:pStyle w:val="57"/>
                    <w:kinsoku w:val="0"/>
                    <w:overflowPunct w:val="0"/>
                    <w:jc w:val="center"/>
                    <w:rPr>
                      <w:color w:val="000000"/>
                      <w:sz w:val="21"/>
                      <w:szCs w:val="21"/>
                      <w:lang w:eastAsia="zh-CN"/>
                    </w:rPr>
                  </w:pPr>
                  <w:r>
                    <w:rPr>
                      <w:color w:val="000000"/>
                      <w:sz w:val="21"/>
                      <w:szCs w:val="21"/>
                      <w:lang w:eastAsia="zh-CN"/>
                    </w:rPr>
                    <w:t>双层罐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5" w:hRule="atLeast"/>
              </w:trPr>
              <w:tc>
                <w:tcPr>
                  <w:tcW w:w="1747" w:type="dxa"/>
                  <w:vMerge w:val="continue"/>
                  <w:vAlign w:val="center"/>
                </w:tcPr>
                <w:p>
                  <w:pPr>
                    <w:pStyle w:val="9"/>
                    <w:kinsoku w:val="0"/>
                    <w:overflowPunct w:val="0"/>
                    <w:jc w:val="center"/>
                    <w:rPr>
                      <w:color w:val="000000"/>
                      <w:sz w:val="21"/>
                      <w:szCs w:val="21"/>
                    </w:rPr>
                  </w:pPr>
                </w:p>
              </w:tc>
              <w:tc>
                <w:tcPr>
                  <w:tcW w:w="900" w:type="dxa"/>
                  <w:vMerge w:val="restart"/>
                  <w:vAlign w:val="center"/>
                </w:tcPr>
                <w:p>
                  <w:pPr>
                    <w:pStyle w:val="57"/>
                    <w:kinsoku w:val="0"/>
                    <w:overflowPunct w:val="0"/>
                    <w:jc w:val="center"/>
                    <w:rPr>
                      <w:color w:val="000000"/>
                      <w:sz w:val="21"/>
                      <w:szCs w:val="21"/>
                      <w:lang w:eastAsia="zh-CN"/>
                    </w:rPr>
                  </w:pPr>
                  <w:r>
                    <w:rPr>
                      <w:color w:val="000000"/>
                      <w:sz w:val="21"/>
                      <w:szCs w:val="21"/>
                      <w:lang w:eastAsia="zh-CN"/>
                    </w:rPr>
                    <w:t>汽油</w:t>
                  </w:r>
                  <w:r>
                    <w:rPr>
                      <w:rFonts w:hint="eastAsia"/>
                      <w:color w:val="000000"/>
                      <w:sz w:val="21"/>
                      <w:szCs w:val="21"/>
                      <w:lang w:eastAsia="zh-CN"/>
                    </w:rPr>
                    <w:t>、</w:t>
                  </w:r>
                  <w:r>
                    <w:rPr>
                      <w:color w:val="000000"/>
                      <w:sz w:val="21"/>
                      <w:szCs w:val="21"/>
                      <w:lang w:eastAsia="zh-CN"/>
                    </w:rPr>
                    <w:t>柴油</w:t>
                  </w:r>
                </w:p>
              </w:tc>
              <w:tc>
                <w:tcPr>
                  <w:tcW w:w="1332" w:type="dxa"/>
                  <w:vMerge w:val="restart"/>
                  <w:vAlign w:val="center"/>
                </w:tcPr>
                <w:p>
                  <w:pPr>
                    <w:pStyle w:val="57"/>
                    <w:kinsoku w:val="0"/>
                    <w:overflowPunct w:val="0"/>
                    <w:jc w:val="center"/>
                    <w:rPr>
                      <w:color w:val="000000"/>
                      <w:sz w:val="21"/>
                      <w:szCs w:val="21"/>
                      <w:lang w:eastAsia="zh-CN"/>
                    </w:rPr>
                  </w:pPr>
                  <w:r>
                    <w:rPr>
                      <w:color w:val="000000"/>
                      <w:sz w:val="21"/>
                      <w:szCs w:val="21"/>
                      <w:lang w:eastAsia="zh-CN"/>
                    </w:rPr>
                    <w:t>加油机</w:t>
                  </w: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数量</w:t>
                  </w:r>
                </w:p>
              </w:tc>
              <w:tc>
                <w:tcPr>
                  <w:tcW w:w="2117" w:type="dxa"/>
                  <w:vAlign w:val="center"/>
                </w:tcPr>
                <w:p>
                  <w:pPr>
                    <w:pStyle w:val="57"/>
                    <w:kinsoku w:val="0"/>
                    <w:overflowPunct w:val="0"/>
                    <w:jc w:val="center"/>
                    <w:rPr>
                      <w:color w:val="000000"/>
                      <w:sz w:val="21"/>
                      <w:szCs w:val="21"/>
                      <w:lang w:eastAsia="zh-CN"/>
                    </w:rPr>
                  </w:pPr>
                  <w:r>
                    <w:rPr>
                      <w:rFonts w:hint="eastAsia"/>
                      <w:color w:val="000000"/>
                      <w:sz w:val="21"/>
                      <w:szCs w:val="21"/>
                      <w:lang w:eastAsia="zh-CN"/>
                    </w:rPr>
                    <w:t>1</w:t>
                  </w:r>
                  <w:r>
                    <w:rPr>
                      <w:color w:val="000000"/>
                      <w:sz w:val="21"/>
                      <w:szCs w:val="21"/>
                      <w:lang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7" w:hRule="atLeast"/>
              </w:trPr>
              <w:tc>
                <w:tcPr>
                  <w:tcW w:w="1747" w:type="dxa"/>
                  <w:vMerge w:val="continue"/>
                  <w:vAlign w:val="center"/>
                </w:tcPr>
                <w:p>
                  <w:pPr>
                    <w:pStyle w:val="9"/>
                    <w:kinsoku w:val="0"/>
                    <w:overflowPunct w:val="0"/>
                    <w:jc w:val="center"/>
                    <w:rPr>
                      <w:color w:val="000000"/>
                      <w:sz w:val="21"/>
                      <w:szCs w:val="21"/>
                    </w:rPr>
                  </w:pPr>
                </w:p>
              </w:tc>
              <w:tc>
                <w:tcPr>
                  <w:tcW w:w="900" w:type="dxa"/>
                  <w:vMerge w:val="continue"/>
                  <w:vAlign w:val="center"/>
                </w:tcPr>
                <w:p>
                  <w:pPr>
                    <w:pStyle w:val="57"/>
                    <w:kinsoku w:val="0"/>
                    <w:overflowPunct w:val="0"/>
                    <w:jc w:val="center"/>
                    <w:rPr>
                      <w:color w:val="000000"/>
                      <w:sz w:val="21"/>
                      <w:szCs w:val="21"/>
                      <w:lang w:eastAsia="zh-CN"/>
                    </w:rPr>
                  </w:pPr>
                </w:p>
              </w:tc>
              <w:tc>
                <w:tcPr>
                  <w:tcW w:w="1332" w:type="dxa"/>
                  <w:vAlign w:val="center"/>
                </w:tcPr>
                <w:p>
                  <w:pPr>
                    <w:pStyle w:val="57"/>
                    <w:kinsoku w:val="0"/>
                    <w:overflowPunct w:val="0"/>
                    <w:jc w:val="center"/>
                    <w:rPr>
                      <w:color w:val="000000"/>
                      <w:sz w:val="21"/>
                      <w:szCs w:val="21"/>
                      <w:lang w:eastAsia="zh-CN"/>
                    </w:rPr>
                  </w:pPr>
                  <w:r>
                    <w:rPr>
                      <w:color w:val="000000"/>
                      <w:sz w:val="21"/>
                      <w:szCs w:val="21"/>
                      <w:lang w:eastAsia="zh-CN"/>
                    </w:rPr>
                    <w:t>加油枪</w:t>
                  </w:r>
                </w:p>
              </w:tc>
              <w:tc>
                <w:tcPr>
                  <w:tcW w:w="1842" w:type="dxa"/>
                  <w:vAlign w:val="center"/>
                </w:tcPr>
                <w:p>
                  <w:pPr>
                    <w:pStyle w:val="57"/>
                    <w:kinsoku w:val="0"/>
                    <w:overflowPunct w:val="0"/>
                    <w:jc w:val="center"/>
                    <w:rPr>
                      <w:color w:val="000000"/>
                      <w:sz w:val="21"/>
                      <w:szCs w:val="21"/>
                      <w:lang w:eastAsia="zh-CN"/>
                    </w:rPr>
                  </w:pPr>
                  <w:r>
                    <w:rPr>
                      <w:color w:val="000000"/>
                      <w:sz w:val="21"/>
                      <w:szCs w:val="21"/>
                      <w:lang w:eastAsia="zh-CN"/>
                    </w:rPr>
                    <w:t>数量</w:t>
                  </w:r>
                </w:p>
              </w:tc>
              <w:tc>
                <w:tcPr>
                  <w:tcW w:w="2117" w:type="dxa"/>
                  <w:vAlign w:val="center"/>
                </w:tcPr>
                <w:p>
                  <w:pPr>
                    <w:pStyle w:val="57"/>
                    <w:kinsoku w:val="0"/>
                    <w:overflowPunct w:val="0"/>
                    <w:jc w:val="center"/>
                    <w:rPr>
                      <w:color w:val="000000"/>
                      <w:sz w:val="21"/>
                      <w:szCs w:val="21"/>
                      <w:lang w:eastAsia="zh-CN"/>
                    </w:rPr>
                  </w:pPr>
                  <w:r>
                    <w:rPr>
                      <w:rFonts w:hint="eastAsia"/>
                      <w:color w:val="000000"/>
                      <w:sz w:val="21"/>
                      <w:szCs w:val="21"/>
                      <w:lang w:eastAsia="zh-CN"/>
                    </w:rPr>
                    <w:t>2</w:t>
                  </w:r>
                  <w:r>
                    <w:rPr>
                      <w:color w:val="000000"/>
                      <w:sz w:val="21"/>
                      <w:szCs w:val="21"/>
                      <w:lang w:eastAsia="zh-CN"/>
                    </w:rPr>
                    <w:t>个</w:t>
                  </w:r>
                </w:p>
              </w:tc>
            </w:tr>
          </w:tbl>
          <w:p>
            <w:pPr>
              <w:autoSpaceDE w:val="0"/>
              <w:autoSpaceDN w:val="0"/>
              <w:adjustRightInd w:val="0"/>
              <w:spacing w:before="1" w:line="360" w:lineRule="auto"/>
              <w:ind w:right="286"/>
              <w:rPr>
                <w:rFonts w:ascii="宋体" w:hAnsi="宋体" w:cs="宋体"/>
                <w:b/>
                <w:bCs/>
                <w:sz w:val="24"/>
              </w:rPr>
            </w:pPr>
            <w:r>
              <w:rPr>
                <w:rFonts w:hint="eastAsia"/>
                <w:b/>
                <w:bCs/>
                <w:color w:val="000000"/>
                <w:sz w:val="24"/>
              </w:rPr>
              <w:drawing>
                <wp:inline distT="0" distB="0" distL="114300" distR="114300">
                  <wp:extent cx="5040630" cy="2652395"/>
                  <wp:effectExtent l="0" t="0" r="7620" b="5080"/>
                  <wp:docPr id="16" name="图片 16" descr="4288981853139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2889818531391031"/>
                          <pic:cNvPicPr>
                            <a:picLocks noChangeAspect="1"/>
                          </pic:cNvPicPr>
                        </pic:nvPicPr>
                        <pic:blipFill>
                          <a:blip r:embed="rId10"/>
                          <a:stretch>
                            <a:fillRect/>
                          </a:stretch>
                        </pic:blipFill>
                        <pic:spPr>
                          <a:xfrm>
                            <a:off x="0" y="0"/>
                            <a:ext cx="5040630" cy="2652395"/>
                          </a:xfrm>
                          <a:prstGeom prst="rect">
                            <a:avLst/>
                          </a:prstGeom>
                        </pic:spPr>
                      </pic:pic>
                    </a:graphicData>
                  </a:graphic>
                </wp:inline>
              </w:drawing>
            </w:r>
          </w:p>
          <w:p>
            <w:pPr>
              <w:ind w:firstLine="3132" w:firstLineChars="1300"/>
              <w:rPr>
                <w:b/>
                <w:color w:val="000000"/>
                <w:sz w:val="24"/>
              </w:rPr>
            </w:pPr>
            <w:r>
              <w:rPr>
                <w:b/>
                <w:color w:val="000000"/>
                <w:sz w:val="24"/>
              </w:rPr>
              <w:t xml:space="preserve">图2-1  </w:t>
            </w:r>
            <w:r>
              <w:rPr>
                <w:rFonts w:hint="eastAsia"/>
                <w:b/>
                <w:kern w:val="0"/>
                <w:sz w:val="24"/>
              </w:rPr>
              <w:t>撬装加油装置图</w:t>
            </w:r>
          </w:p>
          <w:p>
            <w:pPr>
              <w:autoSpaceDE w:val="0"/>
              <w:autoSpaceDN w:val="0"/>
              <w:adjustRightInd w:val="0"/>
              <w:spacing w:before="1" w:line="360" w:lineRule="auto"/>
              <w:ind w:right="286"/>
              <w:rPr>
                <w:b/>
                <w:color w:val="000000"/>
                <w:kern w:val="0"/>
                <w:sz w:val="24"/>
              </w:rPr>
            </w:pPr>
            <w:r>
              <w:rPr>
                <w:rFonts w:ascii="宋体" w:hAnsi="宋体" w:cs="宋体"/>
                <w:b/>
                <w:bCs/>
                <w:sz w:val="24"/>
              </w:rPr>
              <w:t>四</w:t>
            </w:r>
            <w:r>
              <w:rPr>
                <w:b/>
                <w:color w:val="000000"/>
                <w:kern w:val="0"/>
                <w:sz w:val="24"/>
              </w:rPr>
              <w:t>、</w:t>
            </w:r>
            <w:r>
              <w:rPr>
                <w:b/>
                <w:kern w:val="0"/>
                <w:sz w:val="24"/>
              </w:rPr>
              <w:t>项目用水情况</w:t>
            </w:r>
          </w:p>
          <w:p>
            <w:pPr>
              <w:spacing w:line="360" w:lineRule="auto"/>
              <w:ind w:firstLine="480"/>
              <w:rPr>
                <w:sz w:val="24"/>
              </w:rPr>
            </w:pPr>
            <w:r>
              <w:rPr>
                <w:rFonts w:hint="eastAsia"/>
                <w:sz w:val="24"/>
              </w:rPr>
              <w:t>1、</w:t>
            </w:r>
            <w:r>
              <w:rPr>
                <w:sz w:val="24"/>
              </w:rPr>
              <w:t>本项目运营期用水主要为员工生活用水。</w:t>
            </w:r>
          </w:p>
          <w:p>
            <w:pPr>
              <w:spacing w:line="360" w:lineRule="auto"/>
              <w:ind w:firstLine="480" w:firstLineChars="200"/>
              <w:jc w:val="left"/>
              <w:rPr>
                <w:rFonts w:eastAsiaTheme="minorEastAsia"/>
                <w:sz w:val="24"/>
              </w:rPr>
            </w:pPr>
            <w:r>
              <w:rPr>
                <w:bCs/>
                <w:sz w:val="24"/>
              </w:rPr>
              <w:t>生活用水</w:t>
            </w:r>
            <w:r>
              <w:rPr>
                <w:rFonts w:hint="eastAsia"/>
                <w:bCs/>
                <w:sz w:val="24"/>
              </w:rPr>
              <w:t>：</w:t>
            </w:r>
            <w:r>
              <w:rPr>
                <w:sz w:val="24"/>
              </w:rPr>
              <w:t>本项目劳动定员</w:t>
            </w:r>
            <w:r>
              <w:rPr>
                <w:rFonts w:hint="eastAsia"/>
                <w:sz w:val="24"/>
              </w:rPr>
              <w:t>2</w:t>
            </w:r>
            <w:r>
              <w:rPr>
                <w:sz w:val="24"/>
              </w:rPr>
              <w:t>人，厂区不提供食宿。根据《安徽省行业用水定额》（DB34T679-2019），员工用水定额按60L/人·d计算，生活用水量为</w:t>
            </w:r>
            <w:r>
              <w:rPr>
                <w:rFonts w:hint="eastAsia"/>
                <w:sz w:val="24"/>
              </w:rPr>
              <w:t>36</w:t>
            </w:r>
            <w:r>
              <w:rPr>
                <w:sz w:val="24"/>
              </w:rPr>
              <w:t>t/a，污水产生量按照用水量80%计算，则生活污水产生量为</w:t>
            </w:r>
            <w:r>
              <w:rPr>
                <w:rFonts w:hint="eastAsia"/>
                <w:sz w:val="24"/>
              </w:rPr>
              <w:t>28.8</w:t>
            </w:r>
            <w:r>
              <w:rPr>
                <w:sz w:val="24"/>
              </w:rPr>
              <w:t>t/a；</w:t>
            </w:r>
          </w:p>
          <w:p>
            <w:pPr>
              <w:numPr>
                <w:ilvl w:val="0"/>
                <w:numId w:val="3"/>
              </w:numPr>
              <w:spacing w:line="360" w:lineRule="auto"/>
              <w:ind w:left="420" w:leftChars="200"/>
              <w:outlineLvl w:val="0"/>
              <w:rPr>
                <w:sz w:val="24"/>
              </w:rPr>
            </w:pPr>
            <w:r>
              <w:rPr>
                <w:bCs/>
                <w:color w:val="000000"/>
                <w:sz w:val="24"/>
              </w:rPr>
              <w:t>项目</w:t>
            </w:r>
            <w:r>
              <w:rPr>
                <w:sz w:val="24"/>
              </w:rPr>
              <w:t>用水一览表</w:t>
            </w:r>
          </w:p>
          <w:p>
            <w:pPr>
              <w:spacing w:line="360" w:lineRule="auto"/>
              <w:ind w:firstLine="482" w:firstLineChars="200"/>
              <w:jc w:val="center"/>
              <w:rPr>
                <w:b/>
                <w:color w:val="000000"/>
                <w:sz w:val="24"/>
              </w:rPr>
            </w:pPr>
            <w:r>
              <w:rPr>
                <w:b/>
                <w:color w:val="000000"/>
                <w:sz w:val="24"/>
              </w:rPr>
              <w:t>表</w:t>
            </w:r>
            <w:r>
              <w:rPr>
                <w:rFonts w:hint="eastAsia"/>
                <w:b/>
                <w:color w:val="000000"/>
                <w:sz w:val="24"/>
              </w:rPr>
              <w:t>2</w:t>
            </w:r>
            <w:r>
              <w:rPr>
                <w:b/>
                <w:color w:val="000000"/>
                <w:sz w:val="24"/>
              </w:rPr>
              <w:t>-</w:t>
            </w:r>
            <w:r>
              <w:rPr>
                <w:rFonts w:hint="eastAsia"/>
                <w:b/>
                <w:color w:val="000000"/>
                <w:sz w:val="24"/>
              </w:rPr>
              <w:t>5</w:t>
            </w:r>
            <w:r>
              <w:rPr>
                <w:b/>
                <w:color w:val="000000"/>
                <w:sz w:val="24"/>
              </w:rPr>
              <w:t xml:space="preserve">  项目用水一览表  单位：t/a</w:t>
            </w:r>
          </w:p>
          <w:tbl>
            <w:tblPr>
              <w:tblStyle w:val="23"/>
              <w:tblW w:w="5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303"/>
              <w:gridCol w:w="102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2591" w:type="dxa"/>
                  <w:vAlign w:val="center"/>
                </w:tcPr>
                <w:p>
                  <w:pPr>
                    <w:spacing w:line="240" w:lineRule="atLeast"/>
                    <w:jc w:val="center"/>
                    <w:rPr>
                      <w:b/>
                      <w:szCs w:val="21"/>
                    </w:rPr>
                  </w:pPr>
                  <w:r>
                    <w:rPr>
                      <w:b/>
                      <w:szCs w:val="21"/>
                    </w:rPr>
                    <w:t>用排水环节</w:t>
                  </w:r>
                </w:p>
              </w:tc>
              <w:tc>
                <w:tcPr>
                  <w:tcW w:w="1303" w:type="dxa"/>
                  <w:vAlign w:val="center"/>
                </w:tcPr>
                <w:p>
                  <w:pPr>
                    <w:spacing w:line="240" w:lineRule="atLeast"/>
                    <w:jc w:val="center"/>
                    <w:rPr>
                      <w:b/>
                      <w:szCs w:val="21"/>
                    </w:rPr>
                  </w:pPr>
                  <w:r>
                    <w:rPr>
                      <w:b/>
                      <w:szCs w:val="21"/>
                    </w:rPr>
                    <w:t>用水指标</w:t>
                  </w:r>
                </w:p>
              </w:tc>
              <w:tc>
                <w:tcPr>
                  <w:tcW w:w="1022" w:type="dxa"/>
                  <w:vAlign w:val="center"/>
                </w:tcPr>
                <w:p>
                  <w:pPr>
                    <w:spacing w:line="240" w:lineRule="atLeast"/>
                    <w:jc w:val="center"/>
                    <w:rPr>
                      <w:b/>
                      <w:szCs w:val="21"/>
                    </w:rPr>
                  </w:pPr>
                  <w:r>
                    <w:rPr>
                      <w:b/>
                      <w:szCs w:val="21"/>
                    </w:rPr>
                    <w:t>数量</w:t>
                  </w:r>
                </w:p>
              </w:tc>
              <w:tc>
                <w:tcPr>
                  <w:tcW w:w="1023" w:type="dxa"/>
                  <w:vAlign w:val="center"/>
                </w:tcPr>
                <w:p>
                  <w:pPr>
                    <w:spacing w:line="240" w:lineRule="atLeast"/>
                    <w:jc w:val="center"/>
                    <w:rPr>
                      <w:b/>
                      <w:szCs w:val="21"/>
                    </w:rPr>
                  </w:pPr>
                  <w:r>
                    <w:rPr>
                      <w:b/>
                      <w:szCs w:val="21"/>
                    </w:rPr>
                    <w:t>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Cs w:val="21"/>
                    </w:rPr>
                  </w:pPr>
                  <w:r>
                    <w:rPr>
                      <w:bCs/>
                      <w:szCs w:val="21"/>
                    </w:rPr>
                    <w:t>生活用水</w:t>
                  </w:r>
                </w:p>
              </w:tc>
              <w:tc>
                <w:tcPr>
                  <w:tcW w:w="1303" w:type="dxa"/>
                  <w:vAlign w:val="center"/>
                </w:tcPr>
                <w:p>
                  <w:pPr>
                    <w:spacing w:line="240" w:lineRule="atLeast"/>
                    <w:jc w:val="center"/>
                    <w:rPr>
                      <w:bCs/>
                      <w:szCs w:val="21"/>
                    </w:rPr>
                  </w:pPr>
                  <w:r>
                    <w:rPr>
                      <w:bCs/>
                      <w:szCs w:val="21"/>
                    </w:rPr>
                    <w:t>60L/人</w:t>
                  </w:r>
                </w:p>
              </w:tc>
              <w:tc>
                <w:tcPr>
                  <w:tcW w:w="1022" w:type="dxa"/>
                  <w:vAlign w:val="center"/>
                </w:tcPr>
                <w:p>
                  <w:pPr>
                    <w:spacing w:line="240" w:lineRule="atLeast"/>
                    <w:jc w:val="center"/>
                    <w:rPr>
                      <w:bCs/>
                      <w:szCs w:val="21"/>
                    </w:rPr>
                  </w:pPr>
                  <w:r>
                    <w:rPr>
                      <w:rFonts w:hint="eastAsia"/>
                      <w:bCs/>
                      <w:szCs w:val="21"/>
                    </w:rPr>
                    <w:t>2</w:t>
                  </w:r>
                  <w:r>
                    <w:rPr>
                      <w:bCs/>
                      <w:szCs w:val="21"/>
                    </w:rPr>
                    <w:t>人</w:t>
                  </w:r>
                </w:p>
              </w:tc>
              <w:tc>
                <w:tcPr>
                  <w:tcW w:w="1023" w:type="dxa"/>
                  <w:vAlign w:val="center"/>
                </w:tcPr>
                <w:p>
                  <w:pPr>
                    <w:spacing w:line="240" w:lineRule="atLeast"/>
                    <w:jc w:val="center"/>
                    <w:rPr>
                      <w:bCs/>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916" w:type="dxa"/>
                  <w:gridSpan w:val="3"/>
                  <w:vAlign w:val="center"/>
                </w:tcPr>
                <w:p>
                  <w:pPr>
                    <w:spacing w:line="240" w:lineRule="atLeast"/>
                    <w:jc w:val="center"/>
                    <w:rPr>
                      <w:szCs w:val="21"/>
                    </w:rPr>
                  </w:pPr>
                  <w:r>
                    <w:rPr>
                      <w:rFonts w:hint="eastAsia"/>
                      <w:szCs w:val="21"/>
                    </w:rPr>
                    <w:t>合计</w:t>
                  </w:r>
                </w:p>
              </w:tc>
              <w:tc>
                <w:tcPr>
                  <w:tcW w:w="1023" w:type="dxa"/>
                  <w:vAlign w:val="center"/>
                </w:tcPr>
                <w:p>
                  <w:pPr>
                    <w:spacing w:line="240" w:lineRule="atLeast"/>
                    <w:jc w:val="center"/>
                    <w:rPr>
                      <w:szCs w:val="21"/>
                    </w:rPr>
                  </w:pPr>
                  <w:r>
                    <w:rPr>
                      <w:rFonts w:hint="eastAsia"/>
                      <w:szCs w:val="21"/>
                    </w:rPr>
                    <w:t>36</w:t>
                  </w:r>
                </w:p>
              </w:tc>
            </w:tr>
          </w:tbl>
          <w:p>
            <w:pPr>
              <w:spacing w:line="360" w:lineRule="auto"/>
              <w:ind w:firstLine="480" w:firstLineChars="200"/>
              <w:rPr>
                <w:sz w:val="24"/>
              </w:rPr>
            </w:pPr>
            <w:r>
              <w:rPr>
                <w:rFonts w:hint="eastAsia"/>
                <w:sz w:val="24"/>
              </w:rPr>
              <w:t>3、</w:t>
            </w:r>
            <w:r>
              <w:rPr>
                <w:sz w:val="24"/>
              </w:rPr>
              <w:t>项目水平衡图</w:t>
            </w:r>
          </w:p>
          <w:p>
            <w:pPr>
              <w:spacing w:line="360" w:lineRule="auto"/>
              <w:rPr>
                <w:b/>
                <w:bCs/>
              </w:rPr>
            </w:pPr>
            <w:r>
              <w:rPr>
                <w:rFonts w:hint="eastAsia"/>
                <w:b/>
                <w:bCs/>
              </w:rPr>
              <w:drawing>
                <wp:inline distT="0" distB="0" distL="114300" distR="114300">
                  <wp:extent cx="5057140" cy="1125855"/>
                  <wp:effectExtent l="0" t="0" r="0" b="0"/>
                  <wp:docPr id="4" name="ECB019B1-382A-4266-B25C-5B523AA43C14-1" descr="C:/Users/86136/AppData/Local/Temp/wps.UyotG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86136/AppData/Local/Temp/wps.UyotGNwps"/>
                          <pic:cNvPicPr>
                            <a:picLocks noChangeAspect="1"/>
                          </pic:cNvPicPr>
                        </pic:nvPicPr>
                        <pic:blipFill>
                          <a:blip r:embed="rId11"/>
                          <a:stretch>
                            <a:fillRect/>
                          </a:stretch>
                        </pic:blipFill>
                        <pic:spPr>
                          <a:xfrm>
                            <a:off x="0" y="0"/>
                            <a:ext cx="5057140" cy="1125855"/>
                          </a:xfrm>
                          <a:prstGeom prst="rect">
                            <a:avLst/>
                          </a:prstGeom>
                          <a:noFill/>
                          <a:ln>
                            <a:noFill/>
                          </a:ln>
                        </pic:spPr>
                      </pic:pic>
                    </a:graphicData>
                  </a:graphic>
                </wp:inline>
              </w:drawing>
            </w:r>
          </w:p>
          <w:p>
            <w:pPr>
              <w:autoSpaceDE w:val="0"/>
              <w:autoSpaceDN w:val="0"/>
              <w:adjustRightInd w:val="0"/>
              <w:spacing w:before="1" w:line="360" w:lineRule="auto"/>
              <w:ind w:leftChars="-1" w:right="286" w:hanging="2" w:hangingChars="1"/>
              <w:jc w:val="center"/>
              <w:rPr>
                <w:bCs/>
                <w:color w:val="000000"/>
                <w:kern w:val="0"/>
                <w:sz w:val="24"/>
              </w:rPr>
            </w:pPr>
            <w:r>
              <w:rPr>
                <w:b/>
                <w:color w:val="000000"/>
                <w:sz w:val="24"/>
              </w:rPr>
              <w:t>图2-</w:t>
            </w:r>
            <w:r>
              <w:rPr>
                <w:rFonts w:hint="eastAsia"/>
                <w:b/>
                <w:color w:val="000000"/>
                <w:sz w:val="24"/>
              </w:rPr>
              <w:t>2</w:t>
            </w:r>
            <w:r>
              <w:rPr>
                <w:b/>
                <w:color w:val="000000"/>
                <w:sz w:val="24"/>
              </w:rPr>
              <w:t xml:space="preserve">  项目水平衡图  单位：t/</w:t>
            </w:r>
            <w:r>
              <w:rPr>
                <w:rFonts w:hint="eastAsia"/>
                <w:b/>
                <w:color w:val="000000"/>
                <w:sz w:val="24"/>
              </w:rPr>
              <w:t>a</w:t>
            </w:r>
          </w:p>
          <w:p>
            <w:pPr>
              <w:autoSpaceDE w:val="0"/>
              <w:autoSpaceDN w:val="0"/>
              <w:adjustRightInd w:val="0"/>
              <w:spacing w:before="1" w:line="360" w:lineRule="auto"/>
              <w:ind w:right="286"/>
              <w:rPr>
                <w:b/>
                <w:color w:val="000000"/>
                <w:kern w:val="0"/>
                <w:sz w:val="24"/>
              </w:rPr>
            </w:pPr>
            <w:r>
              <w:rPr>
                <w:rFonts w:ascii="宋体" w:hAnsi="宋体" w:cs="宋体"/>
                <w:b/>
                <w:bCs/>
                <w:sz w:val="24"/>
              </w:rPr>
              <w:t>五</w:t>
            </w:r>
            <w:r>
              <w:rPr>
                <w:b/>
                <w:color w:val="000000"/>
                <w:kern w:val="0"/>
                <w:sz w:val="24"/>
              </w:rPr>
              <w:t>、职工人数及工作制度</w:t>
            </w:r>
          </w:p>
          <w:p>
            <w:pPr>
              <w:spacing w:line="360" w:lineRule="auto"/>
              <w:ind w:firstLine="480" w:firstLineChars="200"/>
              <w:rPr>
                <w:color w:val="000000"/>
                <w:sz w:val="24"/>
              </w:rPr>
            </w:pPr>
            <w:r>
              <w:rPr>
                <w:bCs/>
                <w:color w:val="000000"/>
                <w:sz w:val="24"/>
              </w:rPr>
              <w:t>项目劳动定员</w:t>
            </w:r>
            <w:r>
              <w:rPr>
                <w:rFonts w:hint="eastAsia"/>
                <w:bCs/>
                <w:color w:val="000000"/>
                <w:sz w:val="24"/>
              </w:rPr>
              <w:t>2</w:t>
            </w:r>
            <w:r>
              <w:rPr>
                <w:bCs/>
                <w:color w:val="000000"/>
                <w:sz w:val="24"/>
              </w:rPr>
              <w:t>人，项目年工作时间365天，每天</w:t>
            </w:r>
            <w:r>
              <w:rPr>
                <w:rFonts w:hint="eastAsia"/>
                <w:bCs/>
                <w:color w:val="000000"/>
                <w:sz w:val="24"/>
              </w:rPr>
              <w:t>8</w:t>
            </w:r>
            <w:r>
              <w:rPr>
                <w:bCs/>
                <w:color w:val="000000"/>
                <w:sz w:val="24"/>
              </w:rPr>
              <w:t>小时，</w:t>
            </w:r>
            <w:r>
              <w:rPr>
                <w:rFonts w:hint="eastAsia"/>
                <w:bCs/>
                <w:color w:val="000000"/>
                <w:sz w:val="24"/>
              </w:rPr>
              <w:t>一</w:t>
            </w:r>
            <w:r>
              <w:rPr>
                <w:bCs/>
                <w:color w:val="000000"/>
                <w:sz w:val="24"/>
              </w:rPr>
              <w:t>班制工作</w:t>
            </w:r>
            <w:r>
              <w:rPr>
                <w:color w:val="000000"/>
                <w:sz w:val="24"/>
              </w:rPr>
              <w:t>。</w:t>
            </w:r>
          </w:p>
          <w:p>
            <w:pPr>
              <w:spacing w:line="360" w:lineRule="auto"/>
              <w:rPr>
                <w:b/>
                <w:bCs/>
                <w:color w:val="000000"/>
                <w:sz w:val="24"/>
              </w:rPr>
            </w:pPr>
            <w:r>
              <w:rPr>
                <w:rFonts w:ascii="宋体" w:hAnsi="宋体" w:cs="宋体"/>
                <w:b/>
                <w:bCs/>
                <w:sz w:val="24"/>
              </w:rPr>
              <w:t>六</w:t>
            </w:r>
            <w:r>
              <w:rPr>
                <w:rFonts w:hint="eastAsia" w:ascii="宋体" w:hAnsi="宋体" w:cs="宋体"/>
                <w:b/>
                <w:bCs/>
                <w:sz w:val="24"/>
              </w:rPr>
              <w:t>、</w:t>
            </w:r>
            <w:r>
              <w:rPr>
                <w:b/>
                <w:bCs/>
                <w:color w:val="000000"/>
                <w:sz w:val="24"/>
              </w:rPr>
              <w:t>平面布局</w:t>
            </w:r>
          </w:p>
          <w:p>
            <w:pPr>
              <w:spacing w:line="360" w:lineRule="auto"/>
              <w:ind w:firstLine="480" w:firstLineChars="200"/>
              <w:rPr>
                <w:sz w:val="24"/>
              </w:rPr>
            </w:pPr>
            <w:r>
              <w:rPr>
                <w:sz w:val="24"/>
              </w:rPr>
              <w:t>项目位于</w:t>
            </w:r>
            <w:r>
              <w:rPr>
                <w:kern w:val="0"/>
                <w:sz w:val="24"/>
              </w:rPr>
              <w:t>安徽省宿州市泗县泗城镇新型工业园区吉顺驾校内，</w:t>
            </w:r>
            <w:r>
              <w:rPr>
                <w:sz w:val="24"/>
              </w:rPr>
              <w:t>项目占地面积200m</w:t>
            </w:r>
            <w:r>
              <w:rPr>
                <w:sz w:val="24"/>
                <w:vertAlign w:val="superscript"/>
              </w:rPr>
              <w:t>2</w:t>
            </w:r>
            <w:r>
              <w:rPr>
                <w:sz w:val="24"/>
              </w:rPr>
              <w:t>，总体呈南北布置。撬装加油装置南侧设1台双枪双油品加油机，装置四周拟设防护围堰(围堰高度为300mm，宽</w:t>
            </w:r>
            <w:r>
              <w:rPr>
                <w:rFonts w:hint="eastAsia"/>
                <w:sz w:val="24"/>
                <w:lang w:val="en-US" w:eastAsia="zh-CN"/>
              </w:rPr>
              <w:t>20</w:t>
            </w:r>
            <w:r>
              <w:rPr>
                <w:sz w:val="24"/>
              </w:rPr>
              <w:t>0mm)，围堰外拟设防撞柱。油罐区卸油车辆由加油站南侧道路进入。</w:t>
            </w:r>
          </w:p>
          <w:p>
            <w:pPr>
              <w:spacing w:line="360" w:lineRule="auto"/>
              <w:ind w:firstLine="480" w:firstLineChars="200"/>
              <w:rPr>
                <w:sz w:val="24"/>
              </w:rPr>
            </w:pPr>
            <w:r>
              <w:rPr>
                <w:sz w:val="24"/>
              </w:rPr>
              <w:t>撬装加油站选址应满足《汽车加油加气站设计与施工规范</w:t>
            </w:r>
            <w:r>
              <w:rPr>
                <w:rFonts w:hint="eastAsia"/>
                <w:sz w:val="24"/>
              </w:rPr>
              <w:t>（</w:t>
            </w:r>
            <w:r>
              <w:rPr>
                <w:sz w:val="24"/>
              </w:rPr>
              <w:t>2014 年版</w:t>
            </w:r>
            <w:r>
              <w:rPr>
                <w:rFonts w:hint="eastAsia"/>
                <w:sz w:val="24"/>
              </w:rPr>
              <w:t>）</w:t>
            </w:r>
            <w:r>
              <w:rPr>
                <w:sz w:val="24"/>
              </w:rPr>
              <w:t>》</w:t>
            </w:r>
            <w:r>
              <w:rPr>
                <w:rFonts w:hint="eastAsia"/>
                <w:sz w:val="24"/>
              </w:rPr>
              <w:t>（</w:t>
            </w:r>
            <w:r>
              <w:rPr>
                <w:sz w:val="24"/>
              </w:rPr>
              <w:t>GB50156-2012</w:t>
            </w:r>
            <w:r>
              <w:rPr>
                <w:rFonts w:hint="eastAsia"/>
                <w:sz w:val="24"/>
              </w:rPr>
              <w:t>）</w:t>
            </w:r>
            <w:r>
              <w:rPr>
                <w:sz w:val="24"/>
              </w:rPr>
              <w:t>及《采用撬装式加油装置的汽车加油站技术规范》</w:t>
            </w:r>
            <w:r>
              <w:rPr>
                <w:rFonts w:hint="eastAsia"/>
                <w:sz w:val="24"/>
              </w:rPr>
              <w:t>（</w:t>
            </w:r>
            <w:r>
              <w:rPr>
                <w:sz w:val="24"/>
              </w:rPr>
              <w:t>SH/T3134-2002</w:t>
            </w:r>
            <w:r>
              <w:rPr>
                <w:rFonts w:hint="eastAsia"/>
                <w:sz w:val="24"/>
              </w:rPr>
              <w:t>）</w:t>
            </w:r>
            <w:r>
              <w:rPr>
                <w:sz w:val="24"/>
              </w:rPr>
              <w:t>要求，主要原则见下表。</w:t>
            </w:r>
          </w:p>
          <w:p>
            <w:pPr>
              <w:spacing w:line="360" w:lineRule="auto"/>
              <w:ind w:firstLine="2409" w:firstLineChars="1000"/>
              <w:rPr>
                <w:b/>
                <w:color w:val="000000"/>
                <w:sz w:val="24"/>
              </w:rPr>
            </w:pPr>
            <w:r>
              <w:rPr>
                <w:b/>
                <w:color w:val="000000"/>
                <w:sz w:val="24"/>
              </w:rPr>
              <w:t>表</w:t>
            </w:r>
            <w:r>
              <w:rPr>
                <w:rFonts w:hint="eastAsia"/>
                <w:b/>
                <w:color w:val="000000"/>
                <w:sz w:val="24"/>
              </w:rPr>
              <w:t>2</w:t>
            </w:r>
            <w:r>
              <w:rPr>
                <w:b/>
                <w:color w:val="000000"/>
                <w:sz w:val="24"/>
              </w:rPr>
              <w:t>-</w:t>
            </w:r>
            <w:r>
              <w:rPr>
                <w:rFonts w:hint="eastAsia"/>
                <w:b/>
                <w:color w:val="000000"/>
                <w:sz w:val="24"/>
              </w:rPr>
              <w:t>6</w:t>
            </w:r>
            <w:r>
              <w:rPr>
                <w:b/>
                <w:color w:val="000000"/>
                <w:sz w:val="24"/>
              </w:rPr>
              <w:t xml:space="preserve">  </w:t>
            </w:r>
            <w:r>
              <w:rPr>
                <w:rFonts w:ascii="宋体" w:hAnsi="宋体" w:cs="宋体"/>
                <w:b/>
                <w:sz w:val="24"/>
              </w:rPr>
              <w:t>撬装式加油站选址原则</w:t>
            </w:r>
          </w:p>
          <w:tbl>
            <w:tblPr>
              <w:tblStyle w:val="24"/>
              <w:tblW w:w="7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50"/>
              <w:gridCol w:w="3053"/>
              <w:gridCol w:w="194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1" w:type="dxa"/>
                  <w:vAlign w:val="center"/>
                </w:tcPr>
                <w:p>
                  <w:pPr>
                    <w:jc w:val="center"/>
                    <w:rPr>
                      <w:b/>
                      <w:bCs/>
                      <w:color w:val="000000"/>
                      <w:szCs w:val="21"/>
                    </w:rPr>
                  </w:pPr>
                  <w:r>
                    <w:rPr>
                      <w:rFonts w:ascii="宋体" w:hAnsi="宋体" w:cs="宋体"/>
                      <w:b/>
                      <w:bCs/>
                      <w:szCs w:val="21"/>
                    </w:rPr>
                    <w:t>序号</w:t>
                  </w:r>
                </w:p>
              </w:tc>
              <w:tc>
                <w:tcPr>
                  <w:tcW w:w="1350" w:type="dxa"/>
                  <w:vAlign w:val="center"/>
                </w:tcPr>
                <w:p>
                  <w:pPr>
                    <w:jc w:val="center"/>
                    <w:rPr>
                      <w:b/>
                      <w:bCs/>
                      <w:color w:val="000000"/>
                      <w:szCs w:val="21"/>
                    </w:rPr>
                  </w:pPr>
                  <w:r>
                    <w:rPr>
                      <w:rFonts w:ascii="宋体" w:hAnsi="宋体" w:cs="宋体"/>
                      <w:b/>
                      <w:bCs/>
                      <w:szCs w:val="21"/>
                    </w:rPr>
                    <w:t>规范名称</w:t>
                  </w:r>
                </w:p>
              </w:tc>
              <w:tc>
                <w:tcPr>
                  <w:tcW w:w="3053" w:type="dxa"/>
                  <w:vAlign w:val="center"/>
                </w:tcPr>
                <w:p>
                  <w:pPr>
                    <w:jc w:val="center"/>
                    <w:rPr>
                      <w:b/>
                      <w:bCs/>
                      <w:color w:val="000000"/>
                      <w:szCs w:val="21"/>
                    </w:rPr>
                  </w:pPr>
                  <w:r>
                    <w:rPr>
                      <w:rFonts w:ascii="宋体" w:hAnsi="宋体" w:cs="宋体"/>
                      <w:b/>
                      <w:bCs/>
                      <w:szCs w:val="21"/>
                    </w:rPr>
                    <w:t>规范要求</w:t>
                  </w:r>
                </w:p>
              </w:tc>
              <w:tc>
                <w:tcPr>
                  <w:tcW w:w="1942" w:type="dxa"/>
                  <w:vAlign w:val="center"/>
                </w:tcPr>
                <w:p>
                  <w:pPr>
                    <w:jc w:val="center"/>
                    <w:rPr>
                      <w:b/>
                      <w:bCs/>
                      <w:color w:val="000000"/>
                      <w:szCs w:val="21"/>
                    </w:rPr>
                  </w:pPr>
                  <w:r>
                    <w:rPr>
                      <w:rFonts w:ascii="宋体" w:hAnsi="宋体" w:cs="宋体"/>
                      <w:b/>
                      <w:bCs/>
                      <w:szCs w:val="21"/>
                    </w:rPr>
                    <w:t>本项目</w:t>
                  </w:r>
                </w:p>
              </w:tc>
              <w:tc>
                <w:tcPr>
                  <w:tcW w:w="765" w:type="dxa"/>
                  <w:vAlign w:val="center"/>
                </w:tcPr>
                <w:p>
                  <w:pPr>
                    <w:jc w:val="center"/>
                    <w:rPr>
                      <w:b/>
                      <w:bCs/>
                      <w:color w:val="000000"/>
                      <w:szCs w:val="21"/>
                    </w:rPr>
                  </w:pPr>
                  <w:r>
                    <w:rPr>
                      <w:rFonts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1" w:type="dxa"/>
                  <w:vAlign w:val="center"/>
                </w:tcPr>
                <w:p>
                  <w:pPr>
                    <w:jc w:val="center"/>
                    <w:rPr>
                      <w:bCs/>
                      <w:color w:val="000000"/>
                      <w:szCs w:val="21"/>
                    </w:rPr>
                  </w:pPr>
                  <w:r>
                    <w:rPr>
                      <w:rFonts w:hint="eastAsia"/>
                      <w:bCs/>
                      <w:color w:val="000000"/>
                      <w:szCs w:val="21"/>
                    </w:rPr>
                    <w:t>1</w:t>
                  </w:r>
                </w:p>
              </w:tc>
              <w:tc>
                <w:tcPr>
                  <w:tcW w:w="1350" w:type="dxa"/>
                  <w:vMerge w:val="restart"/>
                  <w:vAlign w:val="center"/>
                </w:tcPr>
                <w:p>
                  <w:pPr>
                    <w:jc w:val="center"/>
                    <w:rPr>
                      <w:bCs/>
                      <w:color w:val="000000"/>
                      <w:szCs w:val="21"/>
                    </w:rPr>
                  </w:pPr>
                  <w:r>
                    <w:rPr>
                      <w:rFonts w:hint="eastAsia"/>
                      <w:bCs/>
                      <w:color w:val="000000"/>
                      <w:szCs w:val="21"/>
                    </w:rPr>
                    <w:t>《采用撬装式加油装置的汽车加油站技术规范》（SH/T3134-2002）</w:t>
                  </w:r>
                </w:p>
              </w:tc>
              <w:tc>
                <w:tcPr>
                  <w:tcW w:w="3053" w:type="dxa"/>
                  <w:vAlign w:val="center"/>
                </w:tcPr>
                <w:p>
                  <w:pPr>
                    <w:jc w:val="center"/>
                    <w:rPr>
                      <w:bCs/>
                      <w:color w:val="000000"/>
                      <w:szCs w:val="21"/>
                    </w:rPr>
                  </w:pPr>
                  <w:r>
                    <w:rPr>
                      <w:rFonts w:hint="eastAsia"/>
                      <w:bCs/>
                      <w:color w:val="000000"/>
                      <w:szCs w:val="21"/>
                    </w:rPr>
                    <w:t>采用撬装式加油装置的加油站，应单独建站</w:t>
                  </w:r>
                </w:p>
              </w:tc>
              <w:tc>
                <w:tcPr>
                  <w:tcW w:w="1942" w:type="dxa"/>
                  <w:vAlign w:val="center"/>
                </w:tcPr>
                <w:p>
                  <w:pPr>
                    <w:jc w:val="center"/>
                    <w:rPr>
                      <w:bCs/>
                      <w:color w:val="000000"/>
                      <w:szCs w:val="21"/>
                    </w:rPr>
                  </w:pPr>
                  <w:r>
                    <w:rPr>
                      <w:rFonts w:hint="eastAsia"/>
                      <w:bCs/>
                      <w:color w:val="000000"/>
                      <w:szCs w:val="21"/>
                    </w:rPr>
                    <w:t>本项目为单独建站</w:t>
                  </w:r>
                </w:p>
              </w:tc>
              <w:tc>
                <w:tcPr>
                  <w:tcW w:w="765" w:type="dxa"/>
                  <w:vAlign w:val="center"/>
                </w:tcPr>
                <w:p>
                  <w:pPr>
                    <w:jc w:val="center"/>
                    <w:rPr>
                      <w:bCs/>
                      <w:color w:val="000000"/>
                      <w:szCs w:val="21"/>
                    </w:rPr>
                  </w:pPr>
                  <w:r>
                    <w:rPr>
                      <w:rFonts w:hint="eastAsia"/>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81" w:type="dxa"/>
                  <w:vAlign w:val="center"/>
                </w:tcPr>
                <w:p>
                  <w:pPr>
                    <w:jc w:val="center"/>
                    <w:rPr>
                      <w:bCs/>
                      <w:color w:val="000000"/>
                      <w:szCs w:val="21"/>
                    </w:rPr>
                  </w:pPr>
                  <w:r>
                    <w:rPr>
                      <w:rFonts w:hint="eastAsia"/>
                      <w:bCs/>
                      <w:color w:val="000000"/>
                      <w:szCs w:val="21"/>
                    </w:rPr>
                    <w:t>2</w:t>
                  </w:r>
                </w:p>
              </w:tc>
              <w:tc>
                <w:tcPr>
                  <w:tcW w:w="1350" w:type="dxa"/>
                  <w:vMerge w:val="continue"/>
                  <w:vAlign w:val="center"/>
                </w:tcPr>
                <w:p>
                  <w:pPr>
                    <w:jc w:val="center"/>
                    <w:rPr>
                      <w:bCs/>
                      <w:color w:val="000000"/>
                      <w:szCs w:val="21"/>
                    </w:rPr>
                  </w:pPr>
                </w:p>
              </w:tc>
              <w:tc>
                <w:tcPr>
                  <w:tcW w:w="3053" w:type="dxa"/>
                  <w:vAlign w:val="center"/>
                </w:tcPr>
                <w:p>
                  <w:pPr>
                    <w:jc w:val="center"/>
                    <w:rPr>
                      <w:bCs/>
                      <w:color w:val="000000"/>
                      <w:szCs w:val="21"/>
                    </w:rPr>
                  </w:pPr>
                  <w:r>
                    <w:rPr>
                      <w:rFonts w:hint="eastAsia"/>
                      <w:bCs/>
                      <w:color w:val="000000"/>
                      <w:szCs w:val="21"/>
                    </w:rPr>
                    <w:t>撬装式加油装置油罐的总容积以及单罐最大容积应小于或等于50m</w:t>
                  </w:r>
                  <w:r>
                    <w:rPr>
                      <w:rFonts w:hint="eastAsia"/>
                      <w:bCs/>
                      <w:color w:val="000000"/>
                      <w:szCs w:val="21"/>
                      <w:vertAlign w:val="superscript"/>
                    </w:rPr>
                    <w:t>3</w:t>
                  </w:r>
                  <w:r>
                    <w:rPr>
                      <w:rFonts w:hint="eastAsia"/>
                      <w:bCs/>
                      <w:color w:val="000000"/>
                      <w:szCs w:val="21"/>
                    </w:rPr>
                    <w:t>，当地面防火油罐单罐容积大于25m</w:t>
                  </w:r>
                  <w:r>
                    <w:rPr>
                      <w:rFonts w:hint="eastAsia"/>
                      <w:bCs/>
                      <w:color w:val="000000"/>
                      <w:szCs w:val="21"/>
                      <w:vertAlign w:val="superscript"/>
                    </w:rPr>
                    <w:t>3</w:t>
                  </w:r>
                  <w:r>
                    <w:rPr>
                      <w:rFonts w:hint="eastAsia"/>
                      <w:bCs/>
                      <w:color w:val="000000"/>
                      <w:szCs w:val="21"/>
                    </w:rPr>
                    <w:t>时，罐内应设置隔仓隔仓的容积应小于或等于25m</w:t>
                  </w:r>
                  <w:r>
                    <w:rPr>
                      <w:rFonts w:hint="eastAsia"/>
                      <w:bCs/>
                      <w:color w:val="000000"/>
                      <w:szCs w:val="21"/>
                      <w:vertAlign w:val="superscript"/>
                    </w:rPr>
                    <w:t>3</w:t>
                  </w:r>
                  <w:r>
                    <w:rPr>
                      <w:rFonts w:hint="eastAsia"/>
                      <w:bCs/>
                      <w:color w:val="000000"/>
                      <w:szCs w:val="21"/>
                    </w:rPr>
                    <w:t>。设在城市建成区内的撬装式加油装置地面防火油罐的总容积以及单罐最大容积应小于或等于20m</w:t>
                  </w:r>
                  <w:r>
                    <w:rPr>
                      <w:rFonts w:hint="eastAsia"/>
                      <w:bCs/>
                      <w:color w:val="000000"/>
                      <w:szCs w:val="21"/>
                      <w:vertAlign w:val="superscript"/>
                    </w:rPr>
                    <w:t>3</w:t>
                  </w:r>
                  <w:r>
                    <w:rPr>
                      <w:rFonts w:hint="eastAsia"/>
                      <w:bCs/>
                      <w:color w:val="000000"/>
                      <w:szCs w:val="21"/>
                    </w:rPr>
                    <w:t>，当地面防火油罐单罐容积大于10m</w:t>
                  </w:r>
                  <w:r>
                    <w:rPr>
                      <w:rFonts w:hint="eastAsia"/>
                      <w:bCs/>
                      <w:color w:val="000000"/>
                      <w:szCs w:val="21"/>
                      <w:vertAlign w:val="superscript"/>
                    </w:rPr>
                    <w:t>3</w:t>
                  </w:r>
                  <w:r>
                    <w:rPr>
                      <w:rFonts w:hint="eastAsia"/>
                      <w:bCs/>
                      <w:color w:val="000000"/>
                      <w:szCs w:val="21"/>
                    </w:rPr>
                    <w:t>时,罐内应设置隔仓隔仓的容积应小于或等于10m</w:t>
                  </w:r>
                  <w:r>
                    <w:rPr>
                      <w:rFonts w:hint="eastAsia"/>
                      <w:bCs/>
                      <w:color w:val="000000"/>
                      <w:szCs w:val="21"/>
                      <w:vertAlign w:val="superscript"/>
                    </w:rPr>
                    <w:t>3</w:t>
                  </w:r>
                </w:p>
              </w:tc>
              <w:tc>
                <w:tcPr>
                  <w:tcW w:w="1942" w:type="dxa"/>
                  <w:vAlign w:val="center"/>
                </w:tcPr>
                <w:p>
                  <w:pPr>
                    <w:jc w:val="center"/>
                    <w:rPr>
                      <w:bCs/>
                      <w:color w:val="000000"/>
                      <w:szCs w:val="21"/>
                    </w:rPr>
                  </w:pPr>
                  <w:r>
                    <w:rPr>
                      <w:rFonts w:hint="eastAsia"/>
                      <w:bCs/>
                      <w:color w:val="000000"/>
                      <w:szCs w:val="21"/>
                    </w:rPr>
                    <w:t>撬装式加油装置，油罐容积为50m</w:t>
                  </w:r>
                  <w:r>
                    <w:rPr>
                      <w:rFonts w:hint="eastAsia"/>
                      <w:bCs/>
                      <w:color w:val="000000"/>
                      <w:szCs w:val="21"/>
                      <w:vertAlign w:val="superscript"/>
                    </w:rPr>
                    <w:t>3</w:t>
                  </w:r>
                  <w:r>
                    <w:rPr>
                      <w:rFonts w:hint="eastAsia"/>
                      <w:bCs/>
                      <w:color w:val="000000"/>
                      <w:szCs w:val="21"/>
                    </w:rPr>
                    <w:t>，罐内设置隔仓，隔仓容积分别为25m</w:t>
                  </w:r>
                  <w:r>
                    <w:rPr>
                      <w:rFonts w:hint="eastAsia"/>
                      <w:bCs/>
                      <w:color w:val="000000"/>
                      <w:szCs w:val="21"/>
                      <w:vertAlign w:val="superscript"/>
                    </w:rPr>
                    <w:t>3</w:t>
                  </w:r>
                </w:p>
              </w:tc>
              <w:tc>
                <w:tcPr>
                  <w:tcW w:w="765" w:type="dxa"/>
                  <w:vAlign w:val="center"/>
                </w:tcPr>
                <w:p>
                  <w:pPr>
                    <w:jc w:val="center"/>
                    <w:rPr>
                      <w:bCs/>
                      <w:color w:val="000000"/>
                      <w:szCs w:val="21"/>
                    </w:rPr>
                  </w:pPr>
                  <w:r>
                    <w:rPr>
                      <w:rFonts w:hint="eastAsia"/>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jc w:val="center"/>
                    <w:rPr>
                      <w:bCs/>
                      <w:color w:val="000000"/>
                      <w:szCs w:val="21"/>
                    </w:rPr>
                  </w:pPr>
                  <w:r>
                    <w:rPr>
                      <w:rFonts w:hint="eastAsia"/>
                      <w:bCs/>
                      <w:color w:val="000000"/>
                      <w:szCs w:val="21"/>
                    </w:rPr>
                    <w:t>3</w:t>
                  </w:r>
                </w:p>
              </w:tc>
              <w:tc>
                <w:tcPr>
                  <w:tcW w:w="1350" w:type="dxa"/>
                  <w:vMerge w:val="continue"/>
                  <w:vAlign w:val="center"/>
                </w:tcPr>
                <w:p>
                  <w:pPr>
                    <w:jc w:val="center"/>
                    <w:rPr>
                      <w:bCs/>
                      <w:color w:val="000000"/>
                      <w:szCs w:val="21"/>
                    </w:rPr>
                  </w:pPr>
                </w:p>
              </w:tc>
              <w:tc>
                <w:tcPr>
                  <w:tcW w:w="3053" w:type="dxa"/>
                  <w:vAlign w:val="center"/>
                </w:tcPr>
                <w:p>
                  <w:pPr>
                    <w:jc w:val="center"/>
                    <w:rPr>
                      <w:bCs/>
                      <w:color w:val="000000"/>
                      <w:szCs w:val="21"/>
                    </w:rPr>
                  </w:pPr>
                  <w:r>
                    <w:rPr>
                      <w:rFonts w:hint="eastAsia"/>
                      <w:bCs/>
                      <w:color w:val="000000"/>
                      <w:szCs w:val="21"/>
                    </w:rPr>
                    <w:t>撬装式加油装置和站外建构的防火距离满足要求</w:t>
                  </w:r>
                </w:p>
              </w:tc>
              <w:tc>
                <w:tcPr>
                  <w:tcW w:w="1942" w:type="dxa"/>
                  <w:vAlign w:val="center"/>
                </w:tcPr>
                <w:p>
                  <w:pPr>
                    <w:jc w:val="center"/>
                    <w:rPr>
                      <w:bCs/>
                      <w:color w:val="000000"/>
                      <w:szCs w:val="21"/>
                    </w:rPr>
                  </w:pPr>
                  <w:r>
                    <w:rPr>
                      <w:rFonts w:hint="eastAsia"/>
                      <w:bCs/>
                      <w:color w:val="000000"/>
                      <w:szCs w:val="21"/>
                    </w:rPr>
                    <w:t>撬装式加油装置和站外建构的防火距离满足要求</w:t>
                  </w:r>
                </w:p>
              </w:tc>
              <w:tc>
                <w:tcPr>
                  <w:tcW w:w="765" w:type="dxa"/>
                  <w:vAlign w:val="center"/>
                </w:tcPr>
                <w:p>
                  <w:pPr>
                    <w:jc w:val="center"/>
                    <w:rPr>
                      <w:bCs/>
                      <w:color w:val="000000"/>
                      <w:szCs w:val="21"/>
                    </w:rPr>
                  </w:pPr>
                  <w:r>
                    <w:rPr>
                      <w:rFonts w:hint="eastAsia"/>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jc w:val="center"/>
                    <w:rPr>
                      <w:bCs/>
                      <w:color w:val="000000"/>
                      <w:szCs w:val="21"/>
                    </w:rPr>
                  </w:pPr>
                  <w:r>
                    <w:rPr>
                      <w:rFonts w:hint="eastAsia"/>
                      <w:bCs/>
                      <w:color w:val="000000"/>
                      <w:szCs w:val="21"/>
                    </w:rPr>
                    <w:t>4</w:t>
                  </w:r>
                </w:p>
              </w:tc>
              <w:tc>
                <w:tcPr>
                  <w:tcW w:w="1350" w:type="dxa"/>
                  <w:vMerge w:val="restart"/>
                  <w:vAlign w:val="center"/>
                </w:tcPr>
                <w:p>
                  <w:pPr>
                    <w:jc w:val="center"/>
                    <w:rPr>
                      <w:bCs/>
                      <w:color w:val="000000"/>
                      <w:szCs w:val="21"/>
                    </w:rPr>
                  </w:pPr>
                  <w:r>
                    <w:rPr>
                      <w:bCs/>
                      <w:color w:val="000000"/>
                      <w:szCs w:val="21"/>
                    </w:rPr>
                    <w:t>汽车加油加气站设计与施工规范</w:t>
                  </w:r>
                  <w:r>
                    <w:rPr>
                      <w:rFonts w:hint="eastAsia"/>
                      <w:bCs/>
                      <w:color w:val="000000"/>
                      <w:szCs w:val="21"/>
                    </w:rPr>
                    <w:t>（</w:t>
                  </w:r>
                  <w:r>
                    <w:rPr>
                      <w:bCs/>
                      <w:color w:val="000000"/>
                      <w:szCs w:val="21"/>
                    </w:rPr>
                    <w:t>2014 年版</w:t>
                  </w:r>
                  <w:r>
                    <w:rPr>
                      <w:rFonts w:hint="eastAsia"/>
                      <w:bCs/>
                      <w:color w:val="000000"/>
                      <w:szCs w:val="21"/>
                    </w:rPr>
                    <w:t>）</w:t>
                  </w:r>
                  <w:r>
                    <w:rPr>
                      <w:bCs/>
                      <w:color w:val="000000"/>
                      <w:szCs w:val="21"/>
                    </w:rPr>
                    <w:t>》</w:t>
                  </w:r>
                  <w:r>
                    <w:rPr>
                      <w:rFonts w:hint="eastAsia"/>
                      <w:bCs/>
                      <w:color w:val="000000"/>
                      <w:szCs w:val="21"/>
                    </w:rPr>
                    <w:t>（</w:t>
                  </w:r>
                  <w:r>
                    <w:rPr>
                      <w:bCs/>
                      <w:color w:val="000000"/>
                      <w:szCs w:val="21"/>
                    </w:rPr>
                    <w:t>GB50156-2012</w:t>
                  </w:r>
                  <w:r>
                    <w:rPr>
                      <w:rFonts w:hint="eastAsia"/>
                      <w:bCs/>
                      <w:color w:val="000000"/>
                      <w:szCs w:val="21"/>
                    </w:rPr>
                    <w:t>）</w:t>
                  </w:r>
                </w:p>
              </w:tc>
              <w:tc>
                <w:tcPr>
                  <w:tcW w:w="3053" w:type="dxa"/>
                  <w:vAlign w:val="center"/>
                </w:tcPr>
                <w:p>
                  <w:pPr>
                    <w:jc w:val="center"/>
                    <w:rPr>
                      <w:bCs/>
                      <w:color w:val="000000"/>
                      <w:szCs w:val="21"/>
                    </w:rPr>
                  </w:pPr>
                  <w:r>
                    <w:rPr>
                      <w:rFonts w:hint="eastAsia"/>
                      <w:bCs/>
                      <w:color w:val="000000"/>
                      <w:szCs w:val="21"/>
                    </w:rPr>
                    <w:t>加油站的站址选择，应符合城乡规划、环境保护和防火安全的要求，并应选在交通便利的地方</w:t>
                  </w:r>
                </w:p>
              </w:tc>
              <w:tc>
                <w:tcPr>
                  <w:tcW w:w="1942" w:type="dxa"/>
                  <w:vAlign w:val="center"/>
                </w:tcPr>
                <w:p>
                  <w:pPr>
                    <w:jc w:val="center"/>
                    <w:rPr>
                      <w:bCs/>
                      <w:color w:val="000000"/>
                      <w:szCs w:val="21"/>
                    </w:rPr>
                  </w:pPr>
                  <w:r>
                    <w:rPr>
                      <w:rFonts w:hint="eastAsia"/>
                      <w:bCs/>
                      <w:color w:val="000000"/>
                      <w:szCs w:val="21"/>
                    </w:rPr>
                    <w:t>本项目位于泗县泗城镇新型工业园区吉顺驾校内，符合城乡规划、环境保护和防火安全的要求</w:t>
                  </w:r>
                </w:p>
              </w:tc>
              <w:tc>
                <w:tcPr>
                  <w:tcW w:w="765" w:type="dxa"/>
                  <w:vAlign w:val="center"/>
                </w:tcPr>
                <w:p>
                  <w:pPr>
                    <w:jc w:val="center"/>
                    <w:rPr>
                      <w:bCs/>
                      <w:color w:val="000000"/>
                      <w:szCs w:val="21"/>
                    </w:rPr>
                  </w:pPr>
                  <w:r>
                    <w:rPr>
                      <w:rFonts w:hint="eastAsia"/>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jc w:val="center"/>
                    <w:rPr>
                      <w:bCs/>
                      <w:color w:val="000000"/>
                      <w:szCs w:val="21"/>
                    </w:rPr>
                  </w:pPr>
                  <w:r>
                    <w:rPr>
                      <w:rFonts w:hint="eastAsia"/>
                      <w:bCs/>
                      <w:color w:val="000000"/>
                      <w:szCs w:val="21"/>
                    </w:rPr>
                    <w:t>5</w:t>
                  </w:r>
                </w:p>
              </w:tc>
              <w:tc>
                <w:tcPr>
                  <w:tcW w:w="1350" w:type="dxa"/>
                  <w:vMerge w:val="continue"/>
                  <w:vAlign w:val="center"/>
                </w:tcPr>
                <w:p>
                  <w:pPr>
                    <w:jc w:val="center"/>
                    <w:rPr>
                      <w:bCs/>
                      <w:color w:val="000000"/>
                      <w:szCs w:val="21"/>
                    </w:rPr>
                  </w:pPr>
                </w:p>
              </w:tc>
              <w:tc>
                <w:tcPr>
                  <w:tcW w:w="3053" w:type="dxa"/>
                  <w:vAlign w:val="center"/>
                </w:tcPr>
                <w:p>
                  <w:pPr>
                    <w:jc w:val="center"/>
                    <w:rPr>
                      <w:bCs/>
                      <w:color w:val="000000"/>
                      <w:szCs w:val="21"/>
                    </w:rPr>
                  </w:pPr>
                  <w:r>
                    <w:rPr>
                      <w:rFonts w:hint="eastAsia"/>
                      <w:bCs/>
                      <w:color w:val="000000"/>
                      <w:szCs w:val="21"/>
                    </w:rPr>
                    <w:t>城市建成区的加油加气站，宜靠近城市道路，但不宜城市干道的交叉路口附近</w:t>
                  </w:r>
                </w:p>
              </w:tc>
              <w:tc>
                <w:tcPr>
                  <w:tcW w:w="1942" w:type="dxa"/>
                  <w:vAlign w:val="center"/>
                </w:tcPr>
                <w:p>
                  <w:pPr>
                    <w:jc w:val="center"/>
                    <w:rPr>
                      <w:bCs/>
                      <w:color w:val="000000"/>
                      <w:szCs w:val="21"/>
                    </w:rPr>
                  </w:pPr>
                  <w:r>
                    <w:rPr>
                      <w:rFonts w:hint="eastAsia"/>
                      <w:bCs/>
                      <w:color w:val="000000"/>
                      <w:szCs w:val="21"/>
                    </w:rPr>
                    <w:t>本项目位于泗县泗城镇新型工业园区吉顺驾校内，不涉及城市干道的交叉路口附近</w:t>
                  </w:r>
                </w:p>
              </w:tc>
              <w:tc>
                <w:tcPr>
                  <w:tcW w:w="765" w:type="dxa"/>
                  <w:vAlign w:val="center"/>
                </w:tcPr>
                <w:p>
                  <w:pPr>
                    <w:jc w:val="center"/>
                    <w:rPr>
                      <w:bCs/>
                      <w:color w:val="000000"/>
                      <w:szCs w:val="21"/>
                    </w:rPr>
                  </w:pPr>
                  <w:r>
                    <w:rPr>
                      <w:rFonts w:hint="eastAsia"/>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jc w:val="center"/>
                    <w:rPr>
                      <w:bCs/>
                      <w:color w:val="000000"/>
                      <w:szCs w:val="21"/>
                    </w:rPr>
                  </w:pPr>
                  <w:r>
                    <w:rPr>
                      <w:rFonts w:hint="eastAsia"/>
                      <w:bCs/>
                      <w:color w:val="000000"/>
                      <w:szCs w:val="21"/>
                    </w:rPr>
                    <w:t>6</w:t>
                  </w:r>
                </w:p>
              </w:tc>
              <w:tc>
                <w:tcPr>
                  <w:tcW w:w="1350" w:type="dxa"/>
                  <w:vMerge w:val="continue"/>
                  <w:vAlign w:val="center"/>
                </w:tcPr>
                <w:p>
                  <w:pPr>
                    <w:jc w:val="center"/>
                    <w:rPr>
                      <w:bCs/>
                      <w:color w:val="000000"/>
                      <w:szCs w:val="21"/>
                    </w:rPr>
                  </w:pPr>
                </w:p>
              </w:tc>
              <w:tc>
                <w:tcPr>
                  <w:tcW w:w="3053" w:type="dxa"/>
                  <w:vAlign w:val="center"/>
                </w:tcPr>
                <w:p>
                  <w:pPr>
                    <w:jc w:val="center"/>
                    <w:rPr>
                      <w:bCs/>
                      <w:color w:val="000000"/>
                      <w:szCs w:val="21"/>
                    </w:rPr>
                  </w:pPr>
                  <w:r>
                    <w:rPr>
                      <w:rFonts w:hint="eastAsia"/>
                      <w:bCs/>
                      <w:color w:val="000000"/>
                      <w:szCs w:val="21"/>
                    </w:rPr>
                    <w:t>架空电力线桥不应跨越加油加气站的加油加气区</w:t>
                  </w:r>
                </w:p>
              </w:tc>
              <w:tc>
                <w:tcPr>
                  <w:tcW w:w="1942" w:type="dxa"/>
                  <w:vAlign w:val="center"/>
                </w:tcPr>
                <w:p>
                  <w:pPr>
                    <w:jc w:val="center"/>
                    <w:rPr>
                      <w:bCs/>
                      <w:color w:val="000000"/>
                      <w:szCs w:val="21"/>
                    </w:rPr>
                  </w:pPr>
                  <w:r>
                    <w:rPr>
                      <w:rFonts w:hint="eastAsia"/>
                      <w:bCs/>
                      <w:color w:val="000000"/>
                      <w:szCs w:val="21"/>
                    </w:rPr>
                    <w:t>本项目无架空电力线桥跨过</w:t>
                  </w:r>
                </w:p>
              </w:tc>
              <w:tc>
                <w:tcPr>
                  <w:tcW w:w="765" w:type="dxa"/>
                  <w:vAlign w:val="center"/>
                </w:tcPr>
                <w:p>
                  <w:pPr>
                    <w:jc w:val="center"/>
                    <w:rPr>
                      <w:bCs/>
                      <w:color w:val="000000"/>
                      <w:szCs w:val="21"/>
                    </w:rPr>
                  </w:pPr>
                  <w:r>
                    <w:rPr>
                      <w:rFonts w:hint="eastAsia"/>
                      <w:bCs/>
                      <w:color w:val="000000"/>
                      <w:szCs w:val="21"/>
                    </w:rPr>
                    <w:t>符合</w:t>
                  </w:r>
                </w:p>
              </w:tc>
            </w:tr>
          </w:tbl>
          <w:p>
            <w:pPr>
              <w:spacing w:line="360" w:lineRule="auto"/>
              <w:ind w:firstLine="480" w:firstLineChars="200"/>
              <w:rPr>
                <w:color w:val="000000"/>
                <w:sz w:val="24"/>
              </w:rPr>
            </w:pPr>
            <w:r>
              <w:rPr>
                <w:rFonts w:ascii="宋体" w:hAnsi="宋体" w:cs="宋体"/>
                <w:sz w:val="24"/>
              </w:rPr>
              <w:t>站内构筑物的间距见表</w:t>
            </w:r>
            <w:r>
              <w:rPr>
                <w:rFonts w:hint="eastAsia"/>
                <w:color w:val="000000"/>
                <w:sz w:val="24"/>
              </w:rPr>
              <w:t>2</w:t>
            </w:r>
            <w:r>
              <w:rPr>
                <w:color w:val="000000"/>
                <w:sz w:val="24"/>
              </w:rPr>
              <w:t>-</w:t>
            </w:r>
            <w:r>
              <w:rPr>
                <w:rFonts w:hint="eastAsia"/>
                <w:color w:val="000000"/>
                <w:sz w:val="24"/>
              </w:rPr>
              <w:t>7</w:t>
            </w:r>
            <w:r>
              <w:rPr>
                <w:rFonts w:ascii="宋体" w:hAnsi="宋体" w:cs="宋体"/>
                <w:sz w:val="24"/>
              </w:rPr>
              <w:t>，周边构筑物间距见表</w:t>
            </w:r>
            <w:r>
              <w:rPr>
                <w:rFonts w:hint="eastAsia"/>
                <w:color w:val="000000"/>
                <w:sz w:val="24"/>
              </w:rPr>
              <w:t>2</w:t>
            </w:r>
            <w:r>
              <w:rPr>
                <w:color w:val="000000"/>
                <w:sz w:val="24"/>
              </w:rPr>
              <w:t>-</w:t>
            </w:r>
            <w:r>
              <w:rPr>
                <w:rFonts w:hint="eastAsia"/>
                <w:color w:val="000000"/>
                <w:sz w:val="24"/>
              </w:rPr>
              <w:t>8。</w:t>
            </w:r>
          </w:p>
          <w:p>
            <w:pPr>
              <w:spacing w:line="360" w:lineRule="auto"/>
              <w:ind w:firstLine="1928" w:firstLineChars="800"/>
              <w:rPr>
                <w:bCs/>
                <w:color w:val="000000"/>
                <w:sz w:val="24"/>
              </w:rPr>
            </w:pPr>
            <w:r>
              <w:rPr>
                <w:b/>
                <w:bCs/>
                <w:sz w:val="24"/>
              </w:rPr>
              <w:t>表</w:t>
            </w:r>
            <w:r>
              <w:rPr>
                <w:rFonts w:hint="eastAsia"/>
                <w:b/>
                <w:color w:val="000000"/>
                <w:sz w:val="24"/>
              </w:rPr>
              <w:t>2</w:t>
            </w:r>
            <w:r>
              <w:rPr>
                <w:b/>
                <w:color w:val="000000"/>
                <w:sz w:val="24"/>
              </w:rPr>
              <w:t>-</w:t>
            </w:r>
            <w:r>
              <w:rPr>
                <w:rFonts w:hint="eastAsia"/>
                <w:b/>
                <w:color w:val="000000"/>
                <w:sz w:val="24"/>
              </w:rPr>
              <w:t>7</w:t>
            </w:r>
            <w:r>
              <w:rPr>
                <w:b/>
                <w:bCs/>
                <w:sz w:val="24"/>
              </w:rPr>
              <w:t xml:space="preserve">  加油站构筑物间距一览表（单位：m）</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95"/>
              <w:gridCol w:w="1076"/>
              <w:gridCol w:w="1129"/>
              <w:gridCol w:w="202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b/>
                      <w:bCs/>
                      <w:color w:val="000000"/>
                      <w:szCs w:val="21"/>
                    </w:rPr>
                  </w:pPr>
                  <w:r>
                    <w:rPr>
                      <w:rFonts w:ascii="宋体" w:hAnsi="宋体" w:cs="宋体"/>
                      <w:b/>
                      <w:bCs/>
                      <w:szCs w:val="21"/>
                    </w:rPr>
                    <w:t>建筑物名称</w:t>
                  </w:r>
                </w:p>
              </w:tc>
              <w:tc>
                <w:tcPr>
                  <w:tcW w:w="1695" w:type="dxa"/>
                  <w:vAlign w:val="center"/>
                </w:tcPr>
                <w:p>
                  <w:pPr>
                    <w:jc w:val="center"/>
                    <w:rPr>
                      <w:b/>
                      <w:bCs/>
                      <w:color w:val="000000"/>
                      <w:szCs w:val="21"/>
                    </w:rPr>
                  </w:pPr>
                  <w:r>
                    <w:rPr>
                      <w:rFonts w:ascii="宋体" w:hAnsi="宋体" w:cs="宋体"/>
                      <w:b/>
                      <w:bCs/>
                      <w:szCs w:val="21"/>
                    </w:rPr>
                    <w:t>周边建筑物</w:t>
                  </w:r>
                  <w:r>
                    <w:rPr>
                      <w:rFonts w:hint="eastAsia" w:ascii="宋体" w:hAnsi="宋体" w:cs="宋体"/>
                      <w:b/>
                      <w:bCs/>
                      <w:szCs w:val="21"/>
                    </w:rPr>
                    <w:t>、</w:t>
                  </w:r>
                  <w:r>
                    <w:rPr>
                      <w:rFonts w:ascii="宋体" w:hAnsi="宋体" w:cs="宋体"/>
                      <w:b/>
                      <w:bCs/>
                      <w:szCs w:val="21"/>
                    </w:rPr>
                    <w:t>设施名称</w:t>
                  </w:r>
                </w:p>
              </w:tc>
              <w:tc>
                <w:tcPr>
                  <w:tcW w:w="1076" w:type="dxa"/>
                  <w:vAlign w:val="center"/>
                </w:tcPr>
                <w:p>
                  <w:pPr>
                    <w:jc w:val="center"/>
                    <w:rPr>
                      <w:b/>
                      <w:bCs/>
                      <w:color w:val="000000"/>
                      <w:szCs w:val="21"/>
                    </w:rPr>
                  </w:pPr>
                  <w:r>
                    <w:rPr>
                      <w:rFonts w:ascii="宋体" w:hAnsi="宋体" w:cs="宋体"/>
                      <w:b/>
                      <w:bCs/>
                      <w:szCs w:val="21"/>
                    </w:rPr>
                    <w:t>实际距离</w:t>
                  </w:r>
                  <w:r>
                    <w:rPr>
                      <w:b/>
                      <w:bCs/>
                      <w:szCs w:val="21"/>
                    </w:rPr>
                    <w:t>（m）</w:t>
                  </w:r>
                </w:p>
              </w:tc>
              <w:tc>
                <w:tcPr>
                  <w:tcW w:w="1129" w:type="dxa"/>
                  <w:vAlign w:val="center"/>
                </w:tcPr>
                <w:p>
                  <w:pPr>
                    <w:jc w:val="center"/>
                    <w:rPr>
                      <w:b/>
                      <w:bCs/>
                      <w:color w:val="000000"/>
                      <w:szCs w:val="21"/>
                    </w:rPr>
                  </w:pPr>
                  <w:r>
                    <w:rPr>
                      <w:rFonts w:ascii="宋体" w:hAnsi="宋体" w:cs="宋体"/>
                      <w:b/>
                      <w:bCs/>
                      <w:szCs w:val="21"/>
                    </w:rPr>
                    <w:t>标准距离</w:t>
                  </w:r>
                  <w:r>
                    <w:rPr>
                      <w:b/>
                      <w:bCs/>
                      <w:szCs w:val="21"/>
                    </w:rPr>
                    <w:t>（m）</w:t>
                  </w:r>
                </w:p>
              </w:tc>
              <w:tc>
                <w:tcPr>
                  <w:tcW w:w="2025" w:type="dxa"/>
                  <w:vAlign w:val="center"/>
                </w:tcPr>
                <w:p>
                  <w:pPr>
                    <w:jc w:val="center"/>
                    <w:rPr>
                      <w:b/>
                      <w:bCs/>
                      <w:color w:val="000000"/>
                      <w:szCs w:val="21"/>
                    </w:rPr>
                  </w:pPr>
                  <w:r>
                    <w:rPr>
                      <w:rFonts w:ascii="宋体" w:hAnsi="宋体" w:cs="宋体"/>
                      <w:b/>
                      <w:bCs/>
                      <w:szCs w:val="21"/>
                    </w:rPr>
                    <w:t>依据</w:t>
                  </w:r>
                </w:p>
              </w:tc>
              <w:tc>
                <w:tcPr>
                  <w:tcW w:w="819" w:type="dxa"/>
                  <w:vAlign w:val="center"/>
                </w:tcPr>
                <w:p>
                  <w:pPr>
                    <w:jc w:val="center"/>
                    <w:rPr>
                      <w:b/>
                      <w:bCs/>
                      <w:color w:val="000000"/>
                      <w:szCs w:val="21"/>
                    </w:rPr>
                  </w:pPr>
                  <w:r>
                    <w:rPr>
                      <w:rFonts w:ascii="宋体" w:hAnsi="宋体" w:cs="宋体"/>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bCs/>
                      <w:color w:val="000000"/>
                      <w:szCs w:val="21"/>
                    </w:rPr>
                  </w:pPr>
                  <w:r>
                    <w:rPr>
                      <w:bCs/>
                      <w:color w:val="000000"/>
                      <w:szCs w:val="21"/>
                    </w:rPr>
                    <w:t>撬装式加油装置</w:t>
                  </w:r>
                </w:p>
              </w:tc>
              <w:tc>
                <w:tcPr>
                  <w:tcW w:w="1695" w:type="dxa"/>
                  <w:vAlign w:val="center"/>
                </w:tcPr>
                <w:p>
                  <w:pPr>
                    <w:jc w:val="center"/>
                    <w:rPr>
                      <w:bCs/>
                      <w:color w:val="000000"/>
                      <w:szCs w:val="21"/>
                    </w:rPr>
                  </w:pPr>
                  <w:r>
                    <w:rPr>
                      <w:szCs w:val="21"/>
                    </w:rPr>
                    <w:t>西侧围墙</w:t>
                  </w:r>
                </w:p>
              </w:tc>
              <w:tc>
                <w:tcPr>
                  <w:tcW w:w="1076" w:type="dxa"/>
                  <w:vAlign w:val="center"/>
                </w:tcPr>
                <w:p>
                  <w:pPr>
                    <w:jc w:val="center"/>
                    <w:rPr>
                      <w:bCs/>
                      <w:color w:val="000000"/>
                      <w:szCs w:val="21"/>
                    </w:rPr>
                  </w:pPr>
                  <w:r>
                    <w:rPr>
                      <w:bCs/>
                      <w:color w:val="000000"/>
                      <w:szCs w:val="21"/>
                    </w:rPr>
                    <w:t>4</w:t>
                  </w:r>
                  <w:r>
                    <w:rPr>
                      <w:rFonts w:hint="eastAsia"/>
                      <w:bCs/>
                      <w:color w:val="000000"/>
                      <w:szCs w:val="21"/>
                    </w:rPr>
                    <w:t>.0</w:t>
                  </w:r>
                </w:p>
              </w:tc>
              <w:tc>
                <w:tcPr>
                  <w:tcW w:w="1129" w:type="dxa"/>
                  <w:vAlign w:val="center"/>
                </w:tcPr>
                <w:p>
                  <w:pPr>
                    <w:jc w:val="center"/>
                    <w:rPr>
                      <w:bCs/>
                      <w:color w:val="000000"/>
                      <w:szCs w:val="21"/>
                    </w:rPr>
                  </w:pPr>
                  <w:r>
                    <w:rPr>
                      <w:bCs/>
                      <w:color w:val="000000"/>
                      <w:szCs w:val="21"/>
                    </w:rPr>
                    <w:t>2.6</w:t>
                  </w:r>
                </w:p>
              </w:tc>
              <w:tc>
                <w:tcPr>
                  <w:tcW w:w="2025" w:type="dxa"/>
                  <w:vAlign w:val="center"/>
                </w:tcPr>
                <w:p>
                  <w:pPr>
                    <w:jc w:val="center"/>
                    <w:rPr>
                      <w:bCs/>
                      <w:color w:val="000000"/>
                      <w:szCs w:val="21"/>
                    </w:rPr>
                  </w:pPr>
                  <w:r>
                    <w:rPr>
                      <w:bCs/>
                      <w:color w:val="000000"/>
                      <w:szCs w:val="21"/>
                    </w:rPr>
                    <w:t>汽车加油加气站设计与施工规范（2014 年版）》（GB50156-2012）</w:t>
                  </w:r>
                </w:p>
              </w:tc>
              <w:tc>
                <w:tcPr>
                  <w:tcW w:w="819" w:type="dxa"/>
                  <w:vAlign w:val="center"/>
                </w:tcPr>
                <w:p>
                  <w:pPr>
                    <w:jc w:val="center"/>
                    <w:rPr>
                      <w:bCs/>
                      <w:color w:val="000000"/>
                      <w:szCs w:val="21"/>
                    </w:rPr>
                  </w:pPr>
                  <w:r>
                    <w:rPr>
                      <w:bCs/>
                      <w:color w:val="000000"/>
                      <w:szCs w:val="21"/>
                    </w:rPr>
                    <w:t>符合</w:t>
                  </w:r>
                </w:p>
              </w:tc>
            </w:tr>
          </w:tbl>
          <w:p>
            <w:pPr>
              <w:spacing w:line="360" w:lineRule="auto"/>
              <w:ind w:firstLine="1928" w:firstLineChars="800"/>
              <w:rPr>
                <w:bCs/>
                <w:color w:val="000000"/>
                <w:sz w:val="24"/>
              </w:rPr>
            </w:pPr>
            <w:r>
              <w:rPr>
                <w:b/>
                <w:bCs/>
                <w:sz w:val="24"/>
              </w:rPr>
              <w:t>表</w:t>
            </w:r>
            <w:r>
              <w:rPr>
                <w:rFonts w:hint="eastAsia"/>
                <w:b/>
                <w:color w:val="000000"/>
                <w:sz w:val="24"/>
              </w:rPr>
              <w:t>2</w:t>
            </w:r>
            <w:r>
              <w:rPr>
                <w:b/>
                <w:color w:val="000000"/>
                <w:sz w:val="24"/>
              </w:rPr>
              <w:t>-</w:t>
            </w:r>
            <w:r>
              <w:rPr>
                <w:rFonts w:hint="eastAsia"/>
                <w:b/>
                <w:color w:val="000000"/>
                <w:sz w:val="24"/>
              </w:rPr>
              <w:t>8</w:t>
            </w:r>
            <w:r>
              <w:rPr>
                <w:b/>
                <w:bCs/>
                <w:sz w:val="24"/>
              </w:rPr>
              <w:t xml:space="preserve">  </w:t>
            </w:r>
            <w:r>
              <w:rPr>
                <w:rFonts w:ascii="宋体" w:hAnsi="宋体" w:cs="宋体"/>
                <w:b/>
                <w:bCs/>
                <w:sz w:val="24"/>
              </w:rPr>
              <w:t>项目周边</w:t>
            </w:r>
            <w:r>
              <w:rPr>
                <w:b/>
                <w:bCs/>
                <w:sz w:val="24"/>
              </w:rPr>
              <w:t>构筑物间距一览表（单位：m）</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33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rFonts w:ascii="宋体" w:hAnsi="宋体" w:cs="宋体"/>
                      <w:b/>
                      <w:bCs/>
                      <w:szCs w:val="21"/>
                    </w:rPr>
                  </w:pPr>
                  <w:r>
                    <w:rPr>
                      <w:rFonts w:ascii="宋体" w:hAnsi="宋体" w:cs="宋体"/>
                      <w:b/>
                      <w:bCs/>
                      <w:szCs w:val="21"/>
                    </w:rPr>
                    <w:t>相对方位</w:t>
                  </w:r>
                </w:p>
              </w:tc>
              <w:tc>
                <w:tcPr>
                  <w:tcW w:w="1324" w:type="dxa"/>
                  <w:vAlign w:val="center"/>
                </w:tcPr>
                <w:p>
                  <w:pPr>
                    <w:jc w:val="center"/>
                    <w:rPr>
                      <w:rFonts w:ascii="宋体" w:hAnsi="宋体" w:cs="宋体"/>
                      <w:b/>
                      <w:bCs/>
                      <w:szCs w:val="21"/>
                    </w:rPr>
                  </w:pPr>
                  <w:r>
                    <w:rPr>
                      <w:rFonts w:ascii="宋体" w:hAnsi="宋体" w:cs="宋体"/>
                      <w:b/>
                      <w:bCs/>
                      <w:szCs w:val="21"/>
                    </w:rPr>
                    <w:t>周边环境名称</w:t>
                  </w:r>
                </w:p>
              </w:tc>
              <w:tc>
                <w:tcPr>
                  <w:tcW w:w="1324" w:type="dxa"/>
                  <w:vAlign w:val="center"/>
                </w:tcPr>
                <w:p>
                  <w:pPr>
                    <w:jc w:val="center"/>
                    <w:rPr>
                      <w:bCs/>
                      <w:color w:val="000000"/>
                      <w:sz w:val="24"/>
                    </w:rPr>
                  </w:pPr>
                  <w:r>
                    <w:rPr>
                      <w:rFonts w:ascii="宋体" w:hAnsi="宋体" w:cs="宋体"/>
                      <w:b/>
                      <w:bCs/>
                      <w:szCs w:val="21"/>
                    </w:rPr>
                    <w:t>实际距离</w:t>
                  </w:r>
                  <w:r>
                    <w:rPr>
                      <w:b/>
                      <w:bCs/>
                      <w:szCs w:val="21"/>
                    </w:rPr>
                    <w:t>（m）</w:t>
                  </w:r>
                </w:p>
              </w:tc>
              <w:tc>
                <w:tcPr>
                  <w:tcW w:w="1324" w:type="dxa"/>
                  <w:vAlign w:val="center"/>
                </w:tcPr>
                <w:p>
                  <w:pPr>
                    <w:jc w:val="center"/>
                    <w:rPr>
                      <w:bCs/>
                      <w:color w:val="000000"/>
                      <w:sz w:val="24"/>
                    </w:rPr>
                  </w:pPr>
                  <w:r>
                    <w:rPr>
                      <w:rFonts w:ascii="宋体" w:hAnsi="宋体" w:cs="宋体"/>
                      <w:b/>
                      <w:bCs/>
                      <w:szCs w:val="21"/>
                    </w:rPr>
                    <w:t>标准距离</w:t>
                  </w:r>
                  <w:r>
                    <w:rPr>
                      <w:b/>
                      <w:bCs/>
                      <w:szCs w:val="21"/>
                    </w:rPr>
                    <w:t>（m）</w:t>
                  </w:r>
                </w:p>
              </w:tc>
              <w:tc>
                <w:tcPr>
                  <w:tcW w:w="1324" w:type="dxa"/>
                  <w:vAlign w:val="center"/>
                </w:tcPr>
                <w:p>
                  <w:pPr>
                    <w:jc w:val="center"/>
                    <w:rPr>
                      <w:rFonts w:ascii="宋体" w:hAnsi="宋体" w:cs="宋体"/>
                      <w:b/>
                      <w:bCs/>
                      <w:szCs w:val="21"/>
                    </w:rPr>
                  </w:pPr>
                  <w:r>
                    <w:rPr>
                      <w:rFonts w:ascii="宋体" w:hAnsi="宋体" w:cs="宋体"/>
                      <w:b/>
                      <w:bCs/>
                      <w:szCs w:val="21"/>
                    </w:rPr>
                    <w:t>标准规范</w:t>
                  </w:r>
                </w:p>
              </w:tc>
              <w:tc>
                <w:tcPr>
                  <w:tcW w:w="1325" w:type="dxa"/>
                  <w:gridSpan w:val="2"/>
                  <w:vAlign w:val="center"/>
                </w:tcPr>
                <w:p>
                  <w:pPr>
                    <w:jc w:val="center"/>
                    <w:rPr>
                      <w:rFonts w:ascii="宋体" w:hAnsi="宋体" w:cs="宋体"/>
                      <w:b/>
                      <w:bCs/>
                      <w:szCs w:val="21"/>
                    </w:rPr>
                  </w:pPr>
                  <w:r>
                    <w:rPr>
                      <w:rFonts w:ascii="宋体" w:hAnsi="宋体" w:cs="宋体"/>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color w:val="000000"/>
                      <w:szCs w:val="21"/>
                    </w:rPr>
                  </w:pPr>
                  <w:r>
                    <w:rPr>
                      <w:rFonts w:hint="eastAsia"/>
                      <w:bCs/>
                      <w:color w:val="000000"/>
                      <w:szCs w:val="21"/>
                    </w:rPr>
                    <w:t>东</w:t>
                  </w:r>
                </w:p>
              </w:tc>
              <w:tc>
                <w:tcPr>
                  <w:tcW w:w="1324" w:type="dxa"/>
                  <w:vAlign w:val="center"/>
                </w:tcPr>
                <w:p>
                  <w:pPr>
                    <w:jc w:val="center"/>
                    <w:rPr>
                      <w:bCs/>
                      <w:color w:val="000000"/>
                      <w:szCs w:val="21"/>
                    </w:rPr>
                  </w:pPr>
                  <w:r>
                    <w:rPr>
                      <w:rFonts w:hint="eastAsia"/>
                      <w:bCs/>
                      <w:color w:val="000000"/>
                      <w:szCs w:val="21"/>
                    </w:rPr>
                    <w:t>驾校空地</w:t>
                  </w:r>
                </w:p>
              </w:tc>
              <w:tc>
                <w:tcPr>
                  <w:tcW w:w="1324" w:type="dxa"/>
                  <w:vAlign w:val="center"/>
                </w:tcPr>
                <w:p>
                  <w:pPr>
                    <w:spacing w:line="360" w:lineRule="auto"/>
                    <w:jc w:val="center"/>
                    <w:rPr>
                      <w:bCs/>
                      <w:color w:val="000000"/>
                      <w:sz w:val="24"/>
                    </w:rPr>
                  </w:pPr>
                  <w:r>
                    <w:rPr>
                      <w:rFonts w:hint="eastAsia"/>
                      <w:bCs/>
                      <w:color w:val="000000"/>
                      <w:sz w:val="24"/>
                    </w:rPr>
                    <w:t>/</w:t>
                  </w:r>
                </w:p>
              </w:tc>
              <w:tc>
                <w:tcPr>
                  <w:tcW w:w="1324" w:type="dxa"/>
                  <w:vAlign w:val="center"/>
                </w:tcPr>
                <w:p>
                  <w:pPr>
                    <w:spacing w:line="360" w:lineRule="auto"/>
                    <w:jc w:val="center"/>
                    <w:rPr>
                      <w:bCs/>
                      <w:color w:val="000000"/>
                      <w:sz w:val="24"/>
                    </w:rPr>
                  </w:pPr>
                  <w:r>
                    <w:rPr>
                      <w:rFonts w:hint="eastAsia"/>
                      <w:bCs/>
                      <w:color w:val="000000"/>
                      <w:sz w:val="24"/>
                    </w:rPr>
                    <w:t>/</w:t>
                  </w:r>
                </w:p>
              </w:tc>
              <w:tc>
                <w:tcPr>
                  <w:tcW w:w="1658" w:type="dxa"/>
                  <w:gridSpan w:val="2"/>
                  <w:vMerge w:val="restart"/>
                  <w:vAlign w:val="center"/>
                </w:tcPr>
                <w:p>
                  <w:pPr>
                    <w:jc w:val="center"/>
                    <w:rPr>
                      <w:bCs/>
                      <w:color w:val="000000"/>
                      <w:sz w:val="24"/>
                    </w:rPr>
                  </w:pPr>
                  <w:r>
                    <w:rPr>
                      <w:rFonts w:hint="eastAsia"/>
                      <w:bCs/>
                      <w:color w:val="000000"/>
                      <w:szCs w:val="21"/>
                    </w:rPr>
                    <w:t>《采用撬装式加油装置的汽车加油站技术规范》（SH/T3134-2002）</w:t>
                  </w:r>
                </w:p>
              </w:tc>
              <w:tc>
                <w:tcPr>
                  <w:tcW w:w="991" w:type="dxa"/>
                  <w:vAlign w:val="center"/>
                </w:tcPr>
                <w:p>
                  <w:pPr>
                    <w:spacing w:line="360" w:lineRule="auto"/>
                    <w:jc w:val="center"/>
                    <w:rPr>
                      <w:bCs/>
                      <w:color w:val="000000"/>
                      <w:sz w:val="24"/>
                    </w:rPr>
                  </w:pPr>
                  <w:r>
                    <w:rPr>
                      <w:rFonts w:hint="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color w:val="000000"/>
                      <w:szCs w:val="21"/>
                    </w:rPr>
                  </w:pPr>
                  <w:r>
                    <w:rPr>
                      <w:rFonts w:hint="eastAsia"/>
                      <w:bCs/>
                      <w:color w:val="000000"/>
                      <w:szCs w:val="21"/>
                    </w:rPr>
                    <w:t>西</w:t>
                  </w:r>
                </w:p>
              </w:tc>
              <w:tc>
                <w:tcPr>
                  <w:tcW w:w="1324" w:type="dxa"/>
                  <w:vAlign w:val="center"/>
                </w:tcPr>
                <w:p>
                  <w:pPr>
                    <w:jc w:val="center"/>
                    <w:rPr>
                      <w:bCs/>
                      <w:color w:val="000000"/>
                      <w:szCs w:val="21"/>
                    </w:rPr>
                  </w:pPr>
                  <w:r>
                    <w:rPr>
                      <w:rFonts w:ascii="宋体" w:hAnsi="宋体" w:cs="宋体"/>
                      <w:szCs w:val="21"/>
                    </w:rPr>
                    <w:t>驾校内道路</w:t>
                  </w:r>
                </w:p>
              </w:tc>
              <w:tc>
                <w:tcPr>
                  <w:tcW w:w="1324" w:type="dxa"/>
                  <w:vAlign w:val="center"/>
                </w:tcPr>
                <w:p>
                  <w:pPr>
                    <w:spacing w:line="360" w:lineRule="auto"/>
                    <w:jc w:val="center"/>
                    <w:rPr>
                      <w:bCs/>
                      <w:color w:val="000000"/>
                      <w:sz w:val="24"/>
                    </w:rPr>
                  </w:pPr>
                  <w:r>
                    <w:rPr>
                      <w:rFonts w:hint="eastAsia"/>
                      <w:bCs/>
                      <w:color w:val="000000"/>
                      <w:sz w:val="24"/>
                    </w:rPr>
                    <w:t>/</w:t>
                  </w:r>
                </w:p>
              </w:tc>
              <w:tc>
                <w:tcPr>
                  <w:tcW w:w="1324" w:type="dxa"/>
                  <w:vAlign w:val="center"/>
                </w:tcPr>
                <w:p>
                  <w:pPr>
                    <w:spacing w:line="360" w:lineRule="auto"/>
                    <w:jc w:val="center"/>
                    <w:rPr>
                      <w:bCs/>
                      <w:color w:val="000000"/>
                      <w:sz w:val="24"/>
                    </w:rPr>
                  </w:pPr>
                  <w:r>
                    <w:rPr>
                      <w:rFonts w:hint="eastAsia"/>
                      <w:bCs/>
                      <w:color w:val="000000"/>
                      <w:sz w:val="24"/>
                    </w:rPr>
                    <w:t>/</w:t>
                  </w:r>
                </w:p>
              </w:tc>
              <w:tc>
                <w:tcPr>
                  <w:tcW w:w="1658" w:type="dxa"/>
                  <w:gridSpan w:val="2"/>
                  <w:vMerge w:val="continue"/>
                  <w:vAlign w:val="center"/>
                </w:tcPr>
                <w:p>
                  <w:pPr>
                    <w:spacing w:line="360" w:lineRule="auto"/>
                    <w:jc w:val="center"/>
                    <w:rPr>
                      <w:bCs/>
                      <w:color w:val="000000"/>
                      <w:sz w:val="24"/>
                    </w:rPr>
                  </w:pPr>
                </w:p>
              </w:tc>
              <w:tc>
                <w:tcPr>
                  <w:tcW w:w="991" w:type="dxa"/>
                  <w:vAlign w:val="center"/>
                </w:tcPr>
                <w:p>
                  <w:pPr>
                    <w:spacing w:line="360" w:lineRule="auto"/>
                    <w:jc w:val="center"/>
                    <w:rPr>
                      <w:bCs/>
                      <w:color w:val="000000"/>
                      <w:sz w:val="24"/>
                    </w:rPr>
                  </w:pPr>
                  <w:r>
                    <w:rPr>
                      <w:rFonts w:hint="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color w:val="000000"/>
                      <w:szCs w:val="21"/>
                    </w:rPr>
                  </w:pPr>
                  <w:r>
                    <w:rPr>
                      <w:rFonts w:hint="eastAsia"/>
                      <w:bCs/>
                      <w:color w:val="000000"/>
                      <w:szCs w:val="21"/>
                    </w:rPr>
                    <w:t>南</w:t>
                  </w:r>
                </w:p>
              </w:tc>
              <w:tc>
                <w:tcPr>
                  <w:tcW w:w="1324" w:type="dxa"/>
                  <w:vAlign w:val="center"/>
                </w:tcPr>
                <w:p>
                  <w:pPr>
                    <w:jc w:val="center"/>
                    <w:rPr>
                      <w:bCs/>
                      <w:color w:val="000000"/>
                      <w:szCs w:val="21"/>
                    </w:rPr>
                  </w:pPr>
                  <w:r>
                    <w:rPr>
                      <w:rFonts w:hint="eastAsia"/>
                      <w:bCs/>
                      <w:color w:val="000000"/>
                      <w:szCs w:val="21"/>
                    </w:rPr>
                    <w:t>驾校水泥硬化训练场地</w:t>
                  </w:r>
                </w:p>
              </w:tc>
              <w:tc>
                <w:tcPr>
                  <w:tcW w:w="1324" w:type="dxa"/>
                  <w:vAlign w:val="center"/>
                </w:tcPr>
                <w:p>
                  <w:pPr>
                    <w:spacing w:line="360" w:lineRule="auto"/>
                    <w:jc w:val="center"/>
                    <w:rPr>
                      <w:bCs/>
                      <w:color w:val="000000"/>
                      <w:sz w:val="24"/>
                    </w:rPr>
                  </w:pPr>
                  <w:r>
                    <w:rPr>
                      <w:rFonts w:hint="eastAsia"/>
                      <w:bCs/>
                      <w:color w:val="000000"/>
                      <w:sz w:val="24"/>
                    </w:rPr>
                    <w:t>/</w:t>
                  </w:r>
                </w:p>
              </w:tc>
              <w:tc>
                <w:tcPr>
                  <w:tcW w:w="1324" w:type="dxa"/>
                  <w:vAlign w:val="center"/>
                </w:tcPr>
                <w:p>
                  <w:pPr>
                    <w:spacing w:line="360" w:lineRule="auto"/>
                    <w:jc w:val="center"/>
                    <w:rPr>
                      <w:bCs/>
                      <w:color w:val="000000"/>
                      <w:sz w:val="24"/>
                    </w:rPr>
                  </w:pPr>
                  <w:r>
                    <w:rPr>
                      <w:rFonts w:hint="eastAsia"/>
                      <w:bCs/>
                      <w:color w:val="000000"/>
                      <w:sz w:val="24"/>
                    </w:rPr>
                    <w:t>/</w:t>
                  </w:r>
                </w:p>
              </w:tc>
              <w:tc>
                <w:tcPr>
                  <w:tcW w:w="1658" w:type="dxa"/>
                  <w:gridSpan w:val="2"/>
                  <w:vMerge w:val="continue"/>
                  <w:vAlign w:val="center"/>
                </w:tcPr>
                <w:p>
                  <w:pPr>
                    <w:spacing w:line="360" w:lineRule="auto"/>
                    <w:jc w:val="center"/>
                    <w:rPr>
                      <w:bCs/>
                      <w:color w:val="000000"/>
                      <w:sz w:val="24"/>
                    </w:rPr>
                  </w:pPr>
                </w:p>
              </w:tc>
              <w:tc>
                <w:tcPr>
                  <w:tcW w:w="991" w:type="dxa"/>
                  <w:vAlign w:val="center"/>
                </w:tcPr>
                <w:p>
                  <w:pPr>
                    <w:spacing w:line="360" w:lineRule="auto"/>
                    <w:jc w:val="center"/>
                    <w:rPr>
                      <w:bCs/>
                      <w:color w:val="000000"/>
                      <w:sz w:val="24"/>
                    </w:rPr>
                  </w:pPr>
                  <w:r>
                    <w:rPr>
                      <w:rFonts w:hint="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color w:val="000000"/>
                      <w:szCs w:val="21"/>
                    </w:rPr>
                  </w:pPr>
                  <w:r>
                    <w:rPr>
                      <w:rFonts w:hint="eastAsia"/>
                      <w:bCs/>
                      <w:color w:val="000000"/>
                      <w:szCs w:val="21"/>
                    </w:rPr>
                    <w:t>北</w:t>
                  </w:r>
                </w:p>
              </w:tc>
              <w:tc>
                <w:tcPr>
                  <w:tcW w:w="1324" w:type="dxa"/>
                  <w:vAlign w:val="center"/>
                </w:tcPr>
                <w:p>
                  <w:pPr>
                    <w:jc w:val="center"/>
                    <w:rPr>
                      <w:bCs/>
                      <w:color w:val="000000"/>
                      <w:szCs w:val="21"/>
                    </w:rPr>
                  </w:pPr>
                  <w:r>
                    <w:rPr>
                      <w:rFonts w:hint="eastAsia"/>
                      <w:bCs/>
                      <w:color w:val="000000"/>
                      <w:szCs w:val="21"/>
                    </w:rPr>
                    <w:t>驾校空地</w:t>
                  </w:r>
                </w:p>
              </w:tc>
              <w:tc>
                <w:tcPr>
                  <w:tcW w:w="1324" w:type="dxa"/>
                  <w:vAlign w:val="center"/>
                </w:tcPr>
                <w:p>
                  <w:pPr>
                    <w:spacing w:line="360" w:lineRule="auto"/>
                    <w:jc w:val="center"/>
                    <w:rPr>
                      <w:bCs/>
                      <w:color w:val="000000"/>
                      <w:sz w:val="24"/>
                    </w:rPr>
                  </w:pPr>
                  <w:r>
                    <w:rPr>
                      <w:rFonts w:hint="eastAsia"/>
                      <w:bCs/>
                      <w:color w:val="000000"/>
                      <w:sz w:val="24"/>
                    </w:rPr>
                    <w:t>/</w:t>
                  </w:r>
                </w:p>
              </w:tc>
              <w:tc>
                <w:tcPr>
                  <w:tcW w:w="1324" w:type="dxa"/>
                  <w:vAlign w:val="center"/>
                </w:tcPr>
                <w:p>
                  <w:pPr>
                    <w:spacing w:line="360" w:lineRule="auto"/>
                    <w:jc w:val="center"/>
                    <w:rPr>
                      <w:bCs/>
                      <w:color w:val="000000"/>
                      <w:sz w:val="24"/>
                    </w:rPr>
                  </w:pPr>
                  <w:r>
                    <w:rPr>
                      <w:rFonts w:hint="eastAsia"/>
                      <w:bCs/>
                      <w:color w:val="000000"/>
                      <w:sz w:val="24"/>
                    </w:rPr>
                    <w:t>/</w:t>
                  </w:r>
                </w:p>
              </w:tc>
              <w:tc>
                <w:tcPr>
                  <w:tcW w:w="1658" w:type="dxa"/>
                  <w:gridSpan w:val="2"/>
                  <w:vMerge w:val="continue"/>
                  <w:vAlign w:val="center"/>
                </w:tcPr>
                <w:p>
                  <w:pPr>
                    <w:spacing w:line="360" w:lineRule="auto"/>
                    <w:jc w:val="center"/>
                    <w:rPr>
                      <w:bCs/>
                      <w:color w:val="000000"/>
                      <w:sz w:val="24"/>
                    </w:rPr>
                  </w:pPr>
                </w:p>
              </w:tc>
              <w:tc>
                <w:tcPr>
                  <w:tcW w:w="991" w:type="dxa"/>
                  <w:vAlign w:val="center"/>
                </w:tcPr>
                <w:p>
                  <w:pPr>
                    <w:spacing w:line="360" w:lineRule="auto"/>
                    <w:jc w:val="center"/>
                    <w:rPr>
                      <w:bCs/>
                      <w:color w:val="000000"/>
                      <w:sz w:val="24"/>
                    </w:rPr>
                  </w:pPr>
                  <w:r>
                    <w:rPr>
                      <w:rFonts w:hint="eastAsia"/>
                      <w:bCs/>
                      <w:color w:val="000000"/>
                      <w:sz w:val="24"/>
                    </w:rPr>
                    <w:t>/</w:t>
                  </w:r>
                </w:p>
              </w:tc>
            </w:tr>
          </w:tbl>
          <w:p>
            <w:pPr>
              <w:spacing w:line="360" w:lineRule="auto"/>
              <w:rPr>
                <w:bCs/>
                <w:color w:val="000000"/>
                <w:sz w:val="24"/>
              </w:rPr>
            </w:pPr>
          </w:p>
          <w:p>
            <w:pPr>
              <w:spacing w:line="360" w:lineRule="auto"/>
              <w:ind w:firstLine="1920" w:firstLineChars="800"/>
              <w:rPr>
                <w:bCs/>
                <w:color w:val="000000"/>
                <w:sz w:val="24"/>
              </w:rPr>
            </w:pPr>
          </w:p>
          <w:p>
            <w:pPr>
              <w:spacing w:line="360" w:lineRule="auto"/>
              <w:ind w:firstLine="1920" w:firstLineChars="800"/>
              <w:rPr>
                <w:bCs/>
                <w:color w:val="000000"/>
                <w:sz w:val="24"/>
              </w:rPr>
            </w:pPr>
          </w:p>
          <w:p>
            <w:pPr>
              <w:spacing w:line="360" w:lineRule="auto"/>
              <w:ind w:firstLine="1920" w:firstLineChars="800"/>
              <w:rPr>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Cs w:val="24"/>
              </w:rPr>
            </w:pPr>
            <w:r>
              <w:rPr>
                <w:rFonts w:ascii="Times New Roman" w:hAnsi="Times New Roman"/>
                <w:color w:val="000000"/>
                <w:szCs w:val="24"/>
              </w:rPr>
              <w:t>工艺流程和产排污环节</w:t>
            </w:r>
          </w:p>
        </w:tc>
        <w:tc>
          <w:tcPr>
            <w:tcW w:w="8161" w:type="dxa"/>
          </w:tcPr>
          <w:p>
            <w:pPr>
              <w:spacing w:line="360" w:lineRule="auto"/>
              <w:ind w:firstLine="482" w:firstLineChars="200"/>
              <w:rPr>
                <w:b/>
                <w:bCs/>
                <w:color w:val="000000"/>
                <w:sz w:val="24"/>
              </w:rPr>
            </w:pPr>
            <w:r>
              <w:rPr>
                <w:b/>
                <w:bCs/>
                <w:color w:val="000000"/>
                <w:sz w:val="24"/>
              </w:rPr>
              <w:t>柴油加油工艺流程</w:t>
            </w:r>
            <w:r>
              <w:rPr>
                <w:b/>
                <w:bCs/>
                <w:sz w:val="24"/>
              </w:rPr>
              <w:t>及产污节点图如下</w:t>
            </w:r>
            <w:r>
              <w:rPr>
                <w:b/>
                <w:bCs/>
                <w:color w:val="000000"/>
                <w:sz w:val="24"/>
              </w:rPr>
              <w:t>：</w:t>
            </w:r>
          </w:p>
          <w:p>
            <w:pPr>
              <w:spacing w:line="360" w:lineRule="auto"/>
              <w:jc w:val="center"/>
              <w:rPr>
                <w:b/>
                <w:bCs/>
                <w:color w:val="000000"/>
                <w:sz w:val="24"/>
              </w:rPr>
            </w:pPr>
            <w:r>
              <w:rPr>
                <w:b/>
                <w:bCs/>
                <w:color w:val="000000"/>
                <w:sz w:val="24"/>
              </w:rPr>
              <w:object>
                <v:shape id="_x0000_i1025" o:spt="75" type="#_x0000_t75" style="height:93.75pt;width:384.45pt;" o:ole="t" filled="f" o:preferrelative="t" stroked="f" coordsize="21600,21600">
                  <v:path/>
                  <v:fill on="f" focussize="0,0"/>
                  <v:stroke on="f" joinstyle="miter"/>
                  <v:imagedata r:id="rId13" o:title=""/>
                  <o:lock v:ext="edit" aspectratio="f"/>
                  <w10:wrap type="none"/>
                  <w10:anchorlock/>
                </v:shape>
                <o:OLEObject Type="Embed" ProgID="Visio.Drawing.11" ShapeID="_x0000_i1025" DrawAspect="Content" ObjectID="_1468075725" r:id="rId12">
                  <o:LockedField>false</o:LockedField>
                </o:OLEObject>
              </w:object>
            </w:r>
          </w:p>
          <w:p>
            <w:pPr>
              <w:spacing w:line="360" w:lineRule="auto"/>
              <w:jc w:val="center"/>
              <w:rPr>
                <w:b/>
                <w:bCs/>
                <w:color w:val="000000"/>
                <w:sz w:val="24"/>
              </w:rPr>
            </w:pPr>
            <w:r>
              <w:rPr>
                <w:b/>
                <w:bCs/>
                <w:color w:val="000000"/>
                <w:sz w:val="24"/>
              </w:rPr>
              <w:t>图2-</w:t>
            </w:r>
            <w:r>
              <w:rPr>
                <w:rFonts w:hint="eastAsia"/>
                <w:b/>
                <w:bCs/>
                <w:color w:val="000000"/>
                <w:sz w:val="24"/>
              </w:rPr>
              <w:t>3</w:t>
            </w:r>
            <w:r>
              <w:rPr>
                <w:b/>
                <w:bCs/>
                <w:color w:val="000000"/>
                <w:sz w:val="24"/>
              </w:rPr>
              <w:t xml:space="preserve">  </w:t>
            </w:r>
            <w:r>
              <w:rPr>
                <w:b/>
                <w:color w:val="000000"/>
                <w:sz w:val="24"/>
              </w:rPr>
              <w:t>柴油加油工艺流程图及产污节点图</w:t>
            </w:r>
          </w:p>
          <w:p>
            <w:pPr>
              <w:spacing w:line="360" w:lineRule="auto"/>
              <w:ind w:firstLine="480" w:firstLineChars="200"/>
              <w:rPr>
                <w:color w:val="000000"/>
                <w:sz w:val="24"/>
              </w:rPr>
            </w:pPr>
            <w:r>
              <w:rPr>
                <w:color w:val="000000"/>
                <w:sz w:val="24"/>
              </w:rPr>
              <w:t>工艺流程简介：</w:t>
            </w:r>
          </w:p>
          <w:p>
            <w:pPr>
              <w:spacing w:line="360" w:lineRule="auto"/>
              <w:ind w:firstLine="480" w:firstLineChars="200"/>
              <w:rPr>
                <w:color w:val="000000"/>
                <w:sz w:val="24"/>
              </w:rPr>
            </w:pPr>
            <w:r>
              <w:rPr>
                <w:color w:val="000000"/>
                <w:sz w:val="24"/>
              </w:rPr>
              <w:t>1、卸油过程：油罐车将柴油运至场地内，通过密闭卸油点把柴油卸至</w:t>
            </w:r>
            <w:r>
              <w:rPr>
                <w:rFonts w:hint="eastAsia"/>
                <w:kern w:val="0"/>
                <w:sz w:val="24"/>
              </w:rPr>
              <w:t>撬装加油装置</w:t>
            </w:r>
            <w:r>
              <w:rPr>
                <w:color w:val="000000"/>
                <w:sz w:val="24"/>
              </w:rPr>
              <w:t>。在油罐车卸油过程中，油罐车内压力减少，</w:t>
            </w:r>
            <w:r>
              <w:rPr>
                <w:rFonts w:hint="eastAsia"/>
                <w:kern w:val="0"/>
                <w:sz w:val="24"/>
              </w:rPr>
              <w:t>撬装加油装置</w:t>
            </w:r>
            <w:r>
              <w:rPr>
                <w:color w:val="000000"/>
                <w:sz w:val="24"/>
              </w:rPr>
              <w:t>内压力增加，油罐车内与</w:t>
            </w:r>
            <w:r>
              <w:rPr>
                <w:rFonts w:hint="eastAsia"/>
                <w:kern w:val="0"/>
                <w:sz w:val="24"/>
              </w:rPr>
              <w:t>撬装加油装置</w:t>
            </w:r>
            <w:r>
              <w:rPr>
                <w:color w:val="000000"/>
                <w:sz w:val="24"/>
              </w:rPr>
              <w:t>内产生压力差，使卸油过程中</w:t>
            </w:r>
            <w:r>
              <w:rPr>
                <w:rFonts w:hint="eastAsia"/>
                <w:kern w:val="0"/>
                <w:sz w:val="24"/>
              </w:rPr>
              <w:t>撬装加油装置</w:t>
            </w:r>
            <w:r>
              <w:rPr>
                <w:color w:val="000000"/>
                <w:sz w:val="24"/>
              </w:rPr>
              <w:t>内产生的油气通过放空管排放，油罐车内的产生的油气通过呼吸控制阀挥发。</w:t>
            </w:r>
          </w:p>
          <w:p>
            <w:pPr>
              <w:spacing w:line="360" w:lineRule="auto"/>
              <w:ind w:firstLine="480" w:firstLineChars="200"/>
              <w:rPr>
                <w:b/>
                <w:bCs/>
                <w:color w:val="000000"/>
                <w:sz w:val="24"/>
              </w:rPr>
            </w:pPr>
            <w:r>
              <w:rPr>
                <w:color w:val="000000"/>
                <w:sz w:val="24"/>
              </w:rPr>
              <w:t>2、加油过程：加油机通过加油枪给车辆油箱加油，油通过潜泵从</w:t>
            </w:r>
            <w:r>
              <w:rPr>
                <w:rFonts w:hint="eastAsia"/>
                <w:kern w:val="0"/>
                <w:sz w:val="24"/>
              </w:rPr>
              <w:t>撬装加油装置</w:t>
            </w:r>
            <w:r>
              <w:rPr>
                <w:color w:val="000000"/>
                <w:sz w:val="24"/>
              </w:rPr>
              <w:t>内输送至加油机，通过计量器进行计量后加入到车辆油箱内。加油车辆油箱随着柴油的注入，车辆油罐内产生的油气逸散至大气中。</w:t>
            </w:r>
          </w:p>
          <w:p>
            <w:pPr>
              <w:spacing w:line="360" w:lineRule="auto"/>
              <w:ind w:firstLine="482" w:firstLineChars="200"/>
              <w:rPr>
                <w:b/>
                <w:bCs/>
                <w:color w:val="000000"/>
                <w:sz w:val="24"/>
              </w:rPr>
            </w:pPr>
            <w:r>
              <w:rPr>
                <w:b/>
                <w:bCs/>
                <w:color w:val="000000"/>
                <w:sz w:val="24"/>
              </w:rPr>
              <w:t>汽油加油工艺流程</w:t>
            </w:r>
            <w:r>
              <w:rPr>
                <w:b/>
                <w:bCs/>
                <w:sz w:val="24"/>
              </w:rPr>
              <w:t>及产污节点图如下</w:t>
            </w:r>
            <w:r>
              <w:rPr>
                <w:b/>
                <w:bCs/>
                <w:color w:val="000000"/>
                <w:sz w:val="24"/>
              </w:rPr>
              <w:t>：</w:t>
            </w:r>
          </w:p>
          <w:p>
            <w:pPr>
              <w:pStyle w:val="9"/>
              <w:rPr>
                <w:b/>
                <w:bCs/>
                <w:color w:val="000000"/>
                <w:szCs w:val="24"/>
              </w:rPr>
            </w:pPr>
            <w:r>
              <w:rPr>
                <w:b/>
                <w:bCs/>
                <w:color w:val="000000"/>
                <w:szCs w:val="24"/>
              </w:rPr>
              <w:object>
                <v:shape id="_x0000_i1026" o:spt="75" type="#_x0000_t75" style="height:161.65pt;width:382.4pt;" o:ole="t" filled="f" o:preferrelative="t" stroked="f" coordsize="21600,21600">
                  <v:path/>
                  <v:fill on="f" focussize="0,0"/>
                  <v:stroke on="f" joinstyle="miter"/>
                  <v:imagedata r:id="rId15" o:title=""/>
                  <o:lock v:ext="edit" aspectratio="f"/>
                  <w10:wrap type="none"/>
                  <w10:anchorlock/>
                </v:shape>
                <o:OLEObject Type="Embed" ProgID="Visio.Drawing.11" ShapeID="_x0000_i1026" DrawAspect="Content" ObjectID="_1468075726" r:id="rId14">
                  <o:LockedField>false</o:LockedField>
                </o:OLEObject>
              </w:object>
            </w:r>
          </w:p>
          <w:p>
            <w:pPr>
              <w:spacing w:line="360" w:lineRule="auto"/>
              <w:jc w:val="center"/>
              <w:rPr>
                <w:b/>
                <w:bCs/>
                <w:color w:val="000000"/>
                <w:sz w:val="24"/>
              </w:rPr>
            </w:pPr>
            <w:r>
              <w:rPr>
                <w:b/>
                <w:bCs/>
                <w:color w:val="000000"/>
                <w:sz w:val="24"/>
              </w:rPr>
              <w:t>图2-</w:t>
            </w:r>
            <w:r>
              <w:rPr>
                <w:rFonts w:hint="eastAsia"/>
                <w:b/>
                <w:bCs/>
                <w:color w:val="000000"/>
                <w:sz w:val="24"/>
              </w:rPr>
              <w:t>4</w:t>
            </w:r>
            <w:r>
              <w:rPr>
                <w:b/>
                <w:bCs/>
                <w:color w:val="000000"/>
                <w:sz w:val="24"/>
              </w:rPr>
              <w:t xml:space="preserve">  </w:t>
            </w:r>
            <w:r>
              <w:rPr>
                <w:b/>
                <w:color w:val="000000"/>
                <w:sz w:val="24"/>
              </w:rPr>
              <w:t>汽油加油工艺流程图及产污节点图</w:t>
            </w:r>
          </w:p>
          <w:p>
            <w:pPr>
              <w:spacing w:line="360" w:lineRule="auto"/>
              <w:ind w:firstLine="480" w:firstLineChars="200"/>
              <w:rPr>
                <w:color w:val="000000"/>
                <w:sz w:val="24"/>
              </w:rPr>
            </w:pPr>
            <w:r>
              <w:rPr>
                <w:color w:val="000000"/>
                <w:sz w:val="24"/>
              </w:rPr>
              <w:t>工艺流程简介：</w:t>
            </w:r>
          </w:p>
          <w:p>
            <w:pPr>
              <w:spacing w:line="360" w:lineRule="auto"/>
              <w:ind w:firstLine="480" w:firstLineChars="200"/>
              <w:rPr>
                <w:color w:val="000000"/>
                <w:sz w:val="24"/>
              </w:rPr>
            </w:pPr>
            <w:r>
              <w:rPr>
                <w:color w:val="000000"/>
                <w:sz w:val="24"/>
              </w:rPr>
              <w:t>1、卸油过程：油罐车将汽油运至场地内，通过密闭卸油点把汽油卸至</w:t>
            </w:r>
            <w:r>
              <w:rPr>
                <w:rFonts w:hint="eastAsia"/>
                <w:kern w:val="0"/>
                <w:sz w:val="24"/>
              </w:rPr>
              <w:t>撬装加油装置</w:t>
            </w:r>
            <w:r>
              <w:rPr>
                <w:color w:val="000000"/>
                <w:sz w:val="24"/>
              </w:rPr>
              <w:t>内。由于汽油挥发性较强，本项目安装卸油气回收系统，即一次油气回收系统，把汽油在卸油过程中，产生的油气进行回收。卸油油气回收系统主要工作为：在油罐车卸油过程中，油罐车内压力减少，</w:t>
            </w:r>
            <w:r>
              <w:rPr>
                <w:rFonts w:hint="eastAsia"/>
                <w:kern w:val="0"/>
                <w:sz w:val="24"/>
              </w:rPr>
              <w:t>撬装加油装置</w:t>
            </w:r>
            <w:r>
              <w:rPr>
                <w:color w:val="000000"/>
                <w:sz w:val="24"/>
              </w:rPr>
              <w:t>内压力增加，油罐车与</w:t>
            </w:r>
            <w:r>
              <w:rPr>
                <w:rFonts w:hint="eastAsia"/>
                <w:kern w:val="0"/>
                <w:sz w:val="24"/>
              </w:rPr>
              <w:t>撬装加油装置</w:t>
            </w:r>
            <w:r>
              <w:rPr>
                <w:color w:val="000000"/>
                <w:sz w:val="24"/>
              </w:rPr>
              <w:t>内产生压力差，使卸油过程中</w:t>
            </w:r>
            <w:r>
              <w:rPr>
                <w:rFonts w:hint="eastAsia"/>
                <w:kern w:val="0"/>
                <w:sz w:val="24"/>
              </w:rPr>
              <w:t>撬装加油装置</w:t>
            </w:r>
            <w:r>
              <w:rPr>
                <w:color w:val="000000"/>
                <w:sz w:val="24"/>
              </w:rPr>
              <w:t>内产生的油气通过管线密闭回到油罐车内，运回储油库进行处理</w:t>
            </w:r>
            <w:r>
              <w:rPr>
                <w:rFonts w:hint="eastAsia"/>
                <w:color w:val="000000"/>
                <w:sz w:val="24"/>
              </w:rPr>
              <w:t>，</w:t>
            </w:r>
            <w:r>
              <w:rPr>
                <w:color w:val="000000"/>
                <w:sz w:val="24"/>
              </w:rPr>
              <w:t>从而达到油气收集的目的。</w:t>
            </w:r>
            <w:r>
              <w:rPr>
                <w:rFonts w:hint="eastAsia"/>
                <w:kern w:val="0"/>
                <w:sz w:val="24"/>
              </w:rPr>
              <w:t>撬装加油装置</w:t>
            </w:r>
            <w:r>
              <w:rPr>
                <w:color w:val="000000"/>
                <w:sz w:val="24"/>
              </w:rPr>
              <w:t>和油罐车均安装卸油回气快速接头，油罐车同时配备带快速接头的软管。卸油过程罐车与</w:t>
            </w:r>
            <w:r>
              <w:rPr>
                <w:rFonts w:hint="eastAsia"/>
                <w:kern w:val="0"/>
                <w:sz w:val="24"/>
              </w:rPr>
              <w:t>撬装加油装置</w:t>
            </w:r>
            <w:r>
              <w:rPr>
                <w:color w:val="000000"/>
                <w:sz w:val="24"/>
              </w:rPr>
              <w:t>内油气气压基本平衡，气液等体积置换，卸油过程管道密闭。</w:t>
            </w:r>
          </w:p>
          <w:p>
            <w:pPr>
              <w:spacing w:line="360" w:lineRule="auto"/>
              <w:ind w:firstLine="480" w:firstLineChars="200"/>
              <w:rPr>
                <w:color w:val="000000"/>
                <w:sz w:val="24"/>
              </w:rPr>
            </w:pPr>
            <w:r>
              <w:rPr>
                <w:color w:val="000000"/>
                <w:sz w:val="24"/>
              </w:rPr>
              <w:t>2、加油过程：待加油车辆进入指定场地内，通过潜泵将油从</w:t>
            </w:r>
            <w:r>
              <w:rPr>
                <w:rFonts w:hint="eastAsia"/>
                <w:kern w:val="0"/>
                <w:sz w:val="24"/>
              </w:rPr>
              <w:t>撬装加油装置</w:t>
            </w:r>
            <w:r>
              <w:rPr>
                <w:color w:val="000000"/>
                <w:sz w:val="24"/>
              </w:rPr>
              <w:t>内抽出，通过加油机给车辆油箱加油。</w:t>
            </w:r>
          </w:p>
          <w:p>
            <w:pPr>
              <w:spacing w:line="360" w:lineRule="auto"/>
              <w:ind w:firstLine="480" w:firstLineChars="200"/>
              <w:rPr>
                <w:color w:val="000000"/>
                <w:sz w:val="24"/>
              </w:rPr>
            </w:pPr>
            <w:r>
              <w:rPr>
                <w:color w:val="000000"/>
                <w:sz w:val="24"/>
              </w:rPr>
              <w:t>3、油气回收过程：在加油枪为汽车加油过程中，通过真空泵产生一定真空度，经过油气回收油枪和同轴皮管、油气回收管等油气回收设备对汽车油箱油气进行回收。加油油气回收系统主要针对汽油进行回收，加油机回收的汽油全部回收至</w:t>
            </w:r>
            <w:r>
              <w:rPr>
                <w:rFonts w:hint="eastAsia"/>
                <w:kern w:val="0"/>
                <w:sz w:val="24"/>
              </w:rPr>
              <w:t>撬装加油装置</w:t>
            </w:r>
            <w:r>
              <w:rPr>
                <w:color w:val="000000"/>
                <w:sz w:val="24"/>
              </w:rPr>
              <w:t>内。加油油气经1.2:1的汽液比进行回收，回收后使</w:t>
            </w:r>
            <w:r>
              <w:rPr>
                <w:rFonts w:hint="eastAsia"/>
                <w:kern w:val="0"/>
                <w:sz w:val="24"/>
              </w:rPr>
              <w:t>撬装加油装置</w:t>
            </w:r>
            <w:r>
              <w:rPr>
                <w:color w:val="000000"/>
                <w:sz w:val="24"/>
              </w:rPr>
              <w:t>内平衡后，多余油气经通气立管外排，加油油气回收率可达95%。</w:t>
            </w:r>
          </w:p>
          <w:p>
            <w:pPr>
              <w:spacing w:line="360" w:lineRule="auto"/>
              <w:ind w:firstLine="480" w:firstLineChars="200"/>
              <w:rPr>
                <w:color w:val="000000"/>
                <w:sz w:val="24"/>
              </w:rPr>
            </w:pPr>
            <w:r>
              <w:rPr>
                <w:color w:val="000000"/>
                <w:sz w:val="24"/>
              </w:rPr>
              <w:t>工艺中油罐清理批次及清理工艺。清理工艺如下：</w:t>
            </w:r>
          </w:p>
          <w:p>
            <w:pPr>
              <w:spacing w:line="360" w:lineRule="auto"/>
              <w:ind w:firstLine="480" w:firstLineChars="200"/>
              <w:rPr>
                <w:color w:val="000000"/>
                <w:sz w:val="24"/>
              </w:rPr>
            </w:pPr>
            <w:r>
              <w:rPr>
                <w:rFonts w:hint="eastAsia"/>
                <w:kern w:val="0"/>
                <w:sz w:val="24"/>
              </w:rPr>
              <w:t>撬装加油装置</w:t>
            </w:r>
            <w:r>
              <w:rPr>
                <w:color w:val="000000"/>
                <w:sz w:val="24"/>
              </w:rPr>
              <w:t>内油罐使用一段时候后，油罐底部会积聚杂质和水分，油罐壁将附着一定的油污垢，必须进行清洗。为减少油罐清洗油污水排放，加油站采用干洗法，清洗前首先将油罐内的余油抽入油罐车内，采用防爆抽油泵将油水废液抽吸至回收车内，无法抽吸的油泥、油污垢人工入罐作业清除至铝桶内，待油罐油污杂质清除干净后再进行清理擦拭，达到无杂质、无水分、无油污。根据建设单位提供资料，</w:t>
            </w:r>
            <w:r>
              <w:rPr>
                <w:rFonts w:hint="eastAsia"/>
                <w:kern w:val="0"/>
                <w:sz w:val="24"/>
              </w:rPr>
              <w:t>撬装加油装置</w:t>
            </w:r>
            <w:r>
              <w:rPr>
                <w:color w:val="000000"/>
                <w:sz w:val="24"/>
              </w:rPr>
              <w:t>内油罐清洗工序委托具有清洗资质单位操作，清洗废油、油泥等委托具有废矿物油无害化处置资质的单位处理。</w:t>
            </w:r>
          </w:p>
          <w:p>
            <w:pPr>
              <w:autoSpaceDE w:val="0"/>
              <w:autoSpaceDN w:val="0"/>
              <w:adjustRightInd w:val="0"/>
              <w:spacing w:line="360" w:lineRule="auto"/>
              <w:ind w:firstLine="480" w:firstLineChars="200"/>
              <w:rPr>
                <w:color w:val="000000"/>
                <w:sz w:val="24"/>
                <w:szCs w:val="22"/>
              </w:rPr>
            </w:pPr>
            <w:r>
              <w:rPr>
                <w:rFonts w:ascii="宋体" w:hAnsi="宋体" w:cs="宋体"/>
                <w:sz w:val="24"/>
              </w:rPr>
              <w:t>本项目</w:t>
            </w:r>
            <w:r>
              <w:rPr>
                <w:color w:val="000000"/>
                <w:sz w:val="24"/>
                <w:szCs w:val="22"/>
              </w:rPr>
              <w:t>卸油油气回收系统</w:t>
            </w:r>
            <w:r>
              <w:rPr>
                <w:rFonts w:ascii="宋体" w:hAnsi="宋体" w:cs="宋体"/>
                <w:sz w:val="24"/>
              </w:rPr>
              <w:t>参照加油站</w:t>
            </w:r>
            <w:r>
              <w:rPr>
                <w:color w:val="000000"/>
                <w:sz w:val="24"/>
                <w:szCs w:val="22"/>
              </w:rPr>
              <w:t>卸油油气回收系统</w:t>
            </w:r>
          </w:p>
          <w:p>
            <w:pPr>
              <w:spacing w:line="360" w:lineRule="auto"/>
              <w:jc w:val="center"/>
              <w:rPr>
                <w:b/>
                <w:color w:val="000000"/>
                <w:kern w:val="0"/>
                <w:sz w:val="24"/>
              </w:rPr>
            </w:pPr>
            <w:r>
              <w:rPr>
                <w:color w:val="000000"/>
                <w:kern w:val="0"/>
                <w:sz w:val="24"/>
              </w:rPr>
              <w:drawing>
                <wp:inline distT="0" distB="0" distL="114300" distR="114300">
                  <wp:extent cx="4210050" cy="2488565"/>
                  <wp:effectExtent l="0" t="0" r="0" b="6985"/>
                  <wp:docPr id="1" name="图片 6" descr="200802151442284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2008021514422844185"/>
                          <pic:cNvPicPr>
                            <a:picLocks noChangeAspect="1"/>
                          </pic:cNvPicPr>
                        </pic:nvPicPr>
                        <pic:blipFill>
                          <a:blip r:embed="rId16"/>
                          <a:stretch>
                            <a:fillRect/>
                          </a:stretch>
                        </pic:blipFill>
                        <pic:spPr>
                          <a:xfrm>
                            <a:off x="0" y="0"/>
                            <a:ext cx="4210050" cy="2488565"/>
                          </a:xfrm>
                          <a:prstGeom prst="rect">
                            <a:avLst/>
                          </a:prstGeom>
                          <a:noFill/>
                          <a:ln>
                            <a:noFill/>
                          </a:ln>
                        </pic:spPr>
                      </pic:pic>
                    </a:graphicData>
                  </a:graphic>
                </wp:inline>
              </w:drawing>
            </w:r>
          </w:p>
          <w:p>
            <w:pPr>
              <w:spacing w:line="360" w:lineRule="auto"/>
              <w:jc w:val="center"/>
              <w:rPr>
                <w:b/>
                <w:bCs/>
                <w:color w:val="000000"/>
                <w:sz w:val="24"/>
              </w:rPr>
            </w:pPr>
            <w:r>
              <w:rPr>
                <w:b/>
                <w:bCs/>
                <w:color w:val="000000"/>
                <w:sz w:val="24"/>
              </w:rPr>
              <w:t>图2-</w:t>
            </w:r>
            <w:r>
              <w:rPr>
                <w:rFonts w:hint="eastAsia"/>
                <w:b/>
                <w:bCs/>
                <w:color w:val="000000"/>
                <w:sz w:val="24"/>
              </w:rPr>
              <w:t>5</w:t>
            </w:r>
            <w:r>
              <w:rPr>
                <w:b/>
                <w:bCs/>
                <w:color w:val="000000"/>
                <w:sz w:val="24"/>
              </w:rPr>
              <w:t xml:space="preserve">  卸油油气回收系统原理图</w:t>
            </w:r>
          </w:p>
          <w:p>
            <w:pPr>
              <w:autoSpaceDE w:val="0"/>
              <w:autoSpaceDN w:val="0"/>
              <w:adjustRightInd w:val="0"/>
              <w:spacing w:line="360" w:lineRule="auto"/>
              <w:ind w:firstLine="480" w:firstLineChars="200"/>
              <w:rPr>
                <w:color w:val="000000"/>
                <w:sz w:val="24"/>
              </w:rPr>
            </w:pPr>
            <w:r>
              <w:rPr>
                <w:color w:val="000000"/>
                <w:sz w:val="24"/>
              </w:rPr>
              <w:t>工艺简介：</w:t>
            </w:r>
          </w:p>
          <w:p>
            <w:pPr>
              <w:autoSpaceDE w:val="0"/>
              <w:autoSpaceDN w:val="0"/>
              <w:adjustRightInd w:val="0"/>
              <w:spacing w:line="360" w:lineRule="auto"/>
              <w:ind w:firstLine="480" w:firstLineChars="200"/>
              <w:rPr>
                <w:color w:val="000000"/>
                <w:sz w:val="24"/>
              </w:rPr>
            </w:pPr>
            <w:r>
              <w:rPr>
                <w:color w:val="000000"/>
                <w:sz w:val="24"/>
              </w:rPr>
              <w:t>油气回收系统主要由卸油油气回收系统和分散式加油油气回收系统组成。</w:t>
            </w:r>
          </w:p>
          <w:p>
            <w:pPr>
              <w:autoSpaceDE w:val="0"/>
              <w:autoSpaceDN w:val="0"/>
              <w:adjustRightInd w:val="0"/>
              <w:spacing w:line="360" w:lineRule="auto"/>
              <w:ind w:firstLine="480" w:firstLineChars="200"/>
              <w:rPr>
                <w:color w:val="000000"/>
                <w:sz w:val="24"/>
              </w:rPr>
            </w:pPr>
            <w:r>
              <w:rPr>
                <w:color w:val="000000"/>
                <w:sz w:val="24"/>
              </w:rPr>
              <w:t>（1）卸油油气回收系统是汽油槽车卸油进罐时，油罐的油气返回到槽车气相的平衡系统。该系统主要包括：</w:t>
            </w:r>
          </w:p>
          <w:p>
            <w:pPr>
              <w:autoSpaceDE w:val="0"/>
              <w:autoSpaceDN w:val="0"/>
              <w:adjustRightInd w:val="0"/>
              <w:spacing w:line="360" w:lineRule="auto"/>
              <w:ind w:firstLine="480" w:firstLineChars="200"/>
              <w:rPr>
                <w:color w:val="000000"/>
                <w:sz w:val="24"/>
              </w:rPr>
            </w:pPr>
            <w:r>
              <w:rPr>
                <w:rFonts w:hint="eastAsia" w:ascii="宋体" w:hAnsi="宋体" w:cs="宋体"/>
                <w:color w:val="000000"/>
                <w:sz w:val="24"/>
              </w:rPr>
              <w:t>①</w:t>
            </w:r>
            <w:r>
              <w:rPr>
                <w:color w:val="000000"/>
                <w:sz w:val="24"/>
              </w:rPr>
              <w:t>快速接头：一个口径与油罐车气相接头（DN100）配对的接头；</w:t>
            </w:r>
          </w:p>
          <w:p>
            <w:pPr>
              <w:autoSpaceDE w:val="0"/>
              <w:autoSpaceDN w:val="0"/>
              <w:adjustRightInd w:val="0"/>
              <w:spacing w:line="360" w:lineRule="auto"/>
              <w:ind w:firstLine="480" w:firstLineChars="200"/>
              <w:rPr>
                <w:color w:val="000000"/>
                <w:sz w:val="24"/>
              </w:rPr>
            </w:pPr>
            <w:r>
              <w:rPr>
                <w:rFonts w:hint="eastAsia" w:ascii="宋体" w:hAnsi="宋体" w:cs="宋体"/>
                <w:color w:val="000000"/>
                <w:sz w:val="24"/>
              </w:rPr>
              <w:t>②</w:t>
            </w:r>
            <w:r>
              <w:rPr>
                <w:color w:val="000000"/>
                <w:sz w:val="24"/>
              </w:rPr>
              <w:t>回收管线：与所有的汽油罐入孔连通；</w:t>
            </w:r>
          </w:p>
          <w:p>
            <w:pPr>
              <w:autoSpaceDE w:val="0"/>
              <w:autoSpaceDN w:val="0"/>
              <w:adjustRightInd w:val="0"/>
              <w:spacing w:line="360" w:lineRule="auto"/>
              <w:ind w:firstLine="480" w:firstLineChars="200"/>
              <w:rPr>
                <w:color w:val="000000"/>
                <w:sz w:val="24"/>
              </w:rPr>
            </w:pPr>
            <w:r>
              <w:rPr>
                <w:rFonts w:hint="eastAsia" w:ascii="宋体" w:hAnsi="宋体" w:cs="宋体"/>
                <w:color w:val="000000"/>
                <w:sz w:val="24"/>
              </w:rPr>
              <w:t>③</w:t>
            </w:r>
            <w:r>
              <w:rPr>
                <w:color w:val="000000"/>
                <w:sz w:val="24"/>
              </w:rPr>
              <w:t>卸油防溢阀：避免所有油罐连通，可能引起的油罐满溢混油；</w:t>
            </w:r>
          </w:p>
          <w:p>
            <w:pPr>
              <w:autoSpaceDE w:val="0"/>
              <w:autoSpaceDN w:val="0"/>
              <w:adjustRightInd w:val="0"/>
              <w:spacing w:line="360" w:lineRule="auto"/>
              <w:ind w:firstLine="480" w:firstLineChars="200"/>
              <w:rPr>
                <w:color w:val="000000"/>
                <w:sz w:val="24"/>
              </w:rPr>
            </w:pPr>
            <w:r>
              <w:rPr>
                <w:rFonts w:hint="eastAsia" w:ascii="宋体" w:hAnsi="宋体" w:cs="宋体"/>
                <w:color w:val="000000"/>
                <w:sz w:val="24"/>
              </w:rPr>
              <w:t>④</w:t>
            </w:r>
            <w:r>
              <w:rPr>
                <w:color w:val="000000"/>
                <w:sz w:val="24"/>
              </w:rPr>
              <w:t>P/V阀：把油罐排气管连通，合并为一根，此管线在大于4米处安装P/V阀，以代替带阻火器的通气帽，使罐压控制在+3″水柱和-8″水柱，减少油气损耗；</w:t>
            </w:r>
          </w:p>
          <w:p>
            <w:pPr>
              <w:spacing w:line="360" w:lineRule="auto"/>
              <w:ind w:firstLine="480" w:firstLineChars="200"/>
              <w:rPr>
                <w:color w:val="000000"/>
                <w:kern w:val="0"/>
                <w:sz w:val="24"/>
              </w:rPr>
            </w:pPr>
            <w:r>
              <w:rPr>
                <w:rFonts w:ascii="宋体" w:hAnsi="宋体" w:cs="宋体"/>
                <w:sz w:val="24"/>
              </w:rPr>
              <w:t>本项目</w:t>
            </w:r>
            <w:r>
              <w:rPr>
                <w:color w:val="000000"/>
                <w:kern w:val="0"/>
                <w:sz w:val="24"/>
              </w:rPr>
              <w:t>油气回收系统</w:t>
            </w:r>
            <w:r>
              <w:rPr>
                <w:rFonts w:ascii="宋体" w:hAnsi="宋体" w:cs="宋体"/>
                <w:sz w:val="24"/>
              </w:rPr>
              <w:t>参照</w:t>
            </w:r>
            <w:r>
              <w:rPr>
                <w:color w:val="000000"/>
                <w:kern w:val="0"/>
                <w:sz w:val="24"/>
              </w:rPr>
              <w:t>加油</w:t>
            </w:r>
            <w:r>
              <w:rPr>
                <w:rFonts w:ascii="宋体" w:hAnsi="宋体" w:cs="宋体"/>
                <w:sz w:val="24"/>
              </w:rPr>
              <w:t>站</w:t>
            </w:r>
            <w:r>
              <w:rPr>
                <w:color w:val="000000"/>
                <w:kern w:val="0"/>
                <w:sz w:val="24"/>
              </w:rPr>
              <w:t>油气回收系统</w:t>
            </w:r>
          </w:p>
          <w:p>
            <w:pPr>
              <w:spacing w:line="360" w:lineRule="auto"/>
              <w:jc w:val="center"/>
              <w:rPr>
                <w:color w:val="000000"/>
                <w:kern w:val="0"/>
                <w:sz w:val="24"/>
              </w:rPr>
            </w:pPr>
            <w:r>
              <w:rPr>
                <w:color w:val="000000"/>
                <w:kern w:val="0"/>
                <w:sz w:val="24"/>
              </w:rPr>
              <w:drawing>
                <wp:inline distT="0" distB="0" distL="114300" distR="114300">
                  <wp:extent cx="4777105" cy="3977005"/>
                  <wp:effectExtent l="0" t="0" r="4445" b="444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7"/>
                          <a:stretch>
                            <a:fillRect/>
                          </a:stretch>
                        </pic:blipFill>
                        <pic:spPr>
                          <a:xfrm>
                            <a:off x="0" y="0"/>
                            <a:ext cx="4777105" cy="3977005"/>
                          </a:xfrm>
                          <a:prstGeom prst="rect">
                            <a:avLst/>
                          </a:prstGeom>
                          <a:noFill/>
                          <a:ln>
                            <a:noFill/>
                          </a:ln>
                        </pic:spPr>
                      </pic:pic>
                    </a:graphicData>
                  </a:graphic>
                </wp:inline>
              </w:drawing>
            </w:r>
          </w:p>
          <w:p>
            <w:pPr>
              <w:spacing w:line="360" w:lineRule="auto"/>
              <w:jc w:val="center"/>
              <w:rPr>
                <w:b/>
                <w:bCs/>
                <w:color w:val="000000"/>
                <w:sz w:val="24"/>
              </w:rPr>
            </w:pPr>
            <w:r>
              <w:rPr>
                <w:b/>
                <w:bCs/>
                <w:color w:val="000000"/>
                <w:sz w:val="24"/>
              </w:rPr>
              <w:t>图2-</w:t>
            </w:r>
            <w:r>
              <w:rPr>
                <w:rFonts w:hint="eastAsia"/>
                <w:b/>
                <w:bCs/>
                <w:color w:val="000000"/>
                <w:sz w:val="24"/>
              </w:rPr>
              <w:t>6</w:t>
            </w:r>
            <w:r>
              <w:rPr>
                <w:b/>
                <w:bCs/>
                <w:color w:val="000000"/>
                <w:sz w:val="24"/>
              </w:rPr>
              <w:t xml:space="preserve">  加油油气回收系统原理图</w:t>
            </w:r>
          </w:p>
          <w:p>
            <w:pPr>
              <w:spacing w:line="360" w:lineRule="auto"/>
              <w:ind w:firstLine="480" w:firstLineChars="200"/>
              <w:rPr>
                <w:color w:val="000000"/>
                <w:kern w:val="0"/>
                <w:sz w:val="24"/>
              </w:rPr>
            </w:pPr>
            <w:r>
              <w:rPr>
                <w:color w:val="000000"/>
                <w:kern w:val="0"/>
                <w:sz w:val="24"/>
              </w:rPr>
              <w:t>工艺简介：</w:t>
            </w:r>
          </w:p>
          <w:p>
            <w:pPr>
              <w:spacing w:line="360" w:lineRule="auto"/>
              <w:ind w:firstLine="480" w:firstLineChars="200"/>
              <w:rPr>
                <w:color w:val="000000"/>
                <w:kern w:val="0"/>
                <w:sz w:val="24"/>
              </w:rPr>
            </w:pPr>
            <w:r>
              <w:rPr>
                <w:color w:val="000000"/>
                <w:kern w:val="0"/>
                <w:sz w:val="24"/>
              </w:rPr>
              <w:t>分散式加油油气回收系统是通过安装在加油机上的油气回收设备将产生的油气回收到油罐中的系统。该系统主要包括油气回收型加油枪、反向同轴胶管、拉断阀、油气分离阀、真空回收泵（真空泵控制板）、止回阀、油气回收管线、阻火呼吸阀。</w:t>
            </w:r>
          </w:p>
          <w:p>
            <w:pPr>
              <w:spacing w:line="360" w:lineRule="auto"/>
              <w:ind w:firstLine="480" w:firstLineChars="200"/>
              <w:rPr>
                <w:b/>
                <w:bCs/>
                <w:color w:val="000000"/>
                <w:sz w:val="24"/>
              </w:rPr>
            </w:pPr>
            <w:r>
              <w:rPr>
                <w:rFonts w:hint="eastAsia"/>
                <w:kern w:val="0"/>
                <w:sz w:val="24"/>
              </w:rPr>
              <w:t>撬装加油装置</w:t>
            </w:r>
            <w:r>
              <w:rPr>
                <w:color w:val="000000"/>
                <w:sz w:val="24"/>
              </w:rPr>
              <w:t>运营期</w:t>
            </w:r>
            <w:r>
              <w:rPr>
                <w:sz w:val="24"/>
              </w:rPr>
              <w:t>产污环节简述：</w:t>
            </w:r>
          </w:p>
          <w:p>
            <w:pPr>
              <w:spacing w:line="360" w:lineRule="auto"/>
              <w:ind w:firstLine="480" w:firstLineChars="200"/>
              <w:rPr>
                <w:color w:val="000000"/>
                <w:sz w:val="24"/>
              </w:rPr>
            </w:pPr>
            <w:r>
              <w:rPr>
                <w:rFonts w:hint="eastAsia"/>
                <w:color w:val="000000"/>
                <w:sz w:val="24"/>
              </w:rPr>
              <w:t>1、</w:t>
            </w:r>
            <w:r>
              <w:rPr>
                <w:color w:val="000000"/>
                <w:sz w:val="24"/>
              </w:rPr>
              <w:t>废气</w:t>
            </w:r>
            <w:r>
              <w:rPr>
                <w:szCs w:val="21"/>
              </w:rPr>
              <w:t>：</w:t>
            </w:r>
            <w:r>
              <w:rPr>
                <w:color w:val="000000"/>
                <w:sz w:val="24"/>
              </w:rPr>
              <w:t>卸油、储油、加油过程产生的油气和汽车尾气、扬尘；</w:t>
            </w:r>
          </w:p>
          <w:p>
            <w:pPr>
              <w:spacing w:line="360" w:lineRule="auto"/>
              <w:ind w:firstLine="480" w:firstLineChars="200"/>
              <w:rPr>
                <w:color w:val="000000"/>
                <w:sz w:val="24"/>
              </w:rPr>
            </w:pPr>
            <w:r>
              <w:rPr>
                <w:rFonts w:hint="eastAsia"/>
                <w:color w:val="000000"/>
                <w:sz w:val="24"/>
              </w:rPr>
              <w:t>2、</w:t>
            </w:r>
            <w:r>
              <w:rPr>
                <w:color w:val="000000"/>
                <w:sz w:val="24"/>
              </w:rPr>
              <w:t>废水</w:t>
            </w:r>
            <w:r>
              <w:rPr>
                <w:szCs w:val="21"/>
              </w:rPr>
              <w:t>：</w:t>
            </w:r>
            <w:r>
              <w:rPr>
                <w:color w:val="000000"/>
                <w:sz w:val="24"/>
              </w:rPr>
              <w:t>员工生活污水；</w:t>
            </w:r>
          </w:p>
          <w:p>
            <w:pPr>
              <w:spacing w:line="360" w:lineRule="auto"/>
              <w:ind w:firstLine="480" w:firstLineChars="200"/>
              <w:rPr>
                <w:color w:val="000000"/>
                <w:sz w:val="24"/>
              </w:rPr>
            </w:pPr>
            <w:r>
              <w:rPr>
                <w:rFonts w:hint="eastAsia"/>
                <w:color w:val="000000"/>
                <w:sz w:val="24"/>
              </w:rPr>
              <w:t>3、</w:t>
            </w:r>
            <w:r>
              <w:rPr>
                <w:color w:val="000000"/>
                <w:sz w:val="24"/>
              </w:rPr>
              <w:t>噪声</w:t>
            </w:r>
            <w:r>
              <w:rPr>
                <w:szCs w:val="21"/>
              </w:rPr>
              <w:t>：</w:t>
            </w:r>
            <w:r>
              <w:rPr>
                <w:color w:val="000000"/>
                <w:sz w:val="24"/>
              </w:rPr>
              <w:t>各种设备运行噪声；</w:t>
            </w:r>
          </w:p>
          <w:p>
            <w:pPr>
              <w:spacing w:line="360" w:lineRule="auto"/>
              <w:ind w:firstLine="480" w:firstLineChars="200"/>
              <w:rPr>
                <w:color w:val="000000"/>
                <w:sz w:val="24"/>
              </w:rPr>
            </w:pPr>
            <w:r>
              <w:rPr>
                <w:rFonts w:hint="eastAsia"/>
                <w:color w:val="000000"/>
                <w:sz w:val="24"/>
              </w:rPr>
              <w:t>4、</w:t>
            </w:r>
            <w:r>
              <w:rPr>
                <w:color w:val="000000"/>
                <w:sz w:val="24"/>
              </w:rPr>
              <w:t>固废</w:t>
            </w:r>
            <w:r>
              <w:rPr>
                <w:szCs w:val="21"/>
              </w:rPr>
              <w:t>：</w:t>
            </w:r>
            <w:r>
              <w:rPr>
                <w:color w:val="000000"/>
                <w:sz w:val="24"/>
              </w:rPr>
              <w:t>员工生活垃圾、油品储罐定期清理产生的清罐油、油泥等。</w:t>
            </w:r>
          </w:p>
          <w:p>
            <w:pPr>
              <w:adjustRightInd w:val="0"/>
              <w:snapToGrid w:val="0"/>
              <w:jc w:val="center"/>
              <w:rPr>
                <w:b/>
                <w:color w:val="000000"/>
                <w:sz w:val="24"/>
              </w:rPr>
            </w:pPr>
            <w:r>
              <w:rPr>
                <w:b/>
                <w:color w:val="000000"/>
                <w:sz w:val="24"/>
                <w:lang w:bidi="ar"/>
              </w:rPr>
              <w:t>表2-</w:t>
            </w:r>
            <w:r>
              <w:rPr>
                <w:rFonts w:hint="eastAsia"/>
                <w:b/>
                <w:color w:val="000000"/>
                <w:sz w:val="24"/>
                <w:lang w:bidi="ar"/>
              </w:rPr>
              <w:t>9</w:t>
            </w:r>
            <w:r>
              <w:rPr>
                <w:b/>
                <w:color w:val="000000"/>
                <w:sz w:val="24"/>
                <w:lang w:bidi="ar"/>
              </w:rPr>
              <w:t xml:space="preserve">  产污环节一览表</w:t>
            </w:r>
          </w:p>
          <w:tbl>
            <w:tblPr>
              <w:tblStyle w:val="23"/>
              <w:tblW w:w="7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76"/>
              <w:gridCol w:w="2223"/>
              <w:gridCol w:w="141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rPr>
                      <w:color w:val="000000"/>
                      <w:szCs w:val="21"/>
                    </w:rPr>
                  </w:pPr>
                  <w:r>
                    <w:rPr>
                      <w:b/>
                      <w:bCs/>
                      <w:szCs w:val="21"/>
                    </w:rPr>
                    <w:t>污染物类型</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Cs w:val="21"/>
                    </w:rPr>
                  </w:pPr>
                  <w:r>
                    <w:rPr>
                      <w:b/>
                      <w:bCs/>
                      <w:color w:val="000000"/>
                      <w:szCs w:val="21"/>
                    </w:rPr>
                    <w:t>产污环节</w:t>
                  </w: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Cs w:val="21"/>
                    </w:rPr>
                  </w:pPr>
                  <w:r>
                    <w:rPr>
                      <w:b/>
                      <w:bCs/>
                      <w:color w:val="000000"/>
                      <w:szCs w:val="21"/>
                    </w:rPr>
                    <w:t>主要污染因子</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Cs w:val="21"/>
                    </w:rPr>
                  </w:pPr>
                  <w:r>
                    <w:rPr>
                      <w:b/>
                      <w:bCs/>
                      <w:color w:val="000000"/>
                      <w:szCs w:val="21"/>
                    </w:rPr>
                    <w:t>处理措施</w:t>
                  </w:r>
                </w:p>
              </w:tc>
              <w:tc>
                <w:tcPr>
                  <w:tcW w:w="141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Cs w:val="21"/>
                    </w:rPr>
                  </w:pPr>
                  <w:r>
                    <w:rPr>
                      <w:b/>
                      <w:bCs/>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tcBorders>
                    <w:left w:val="single" w:color="000000" w:sz="4" w:space="0"/>
                    <w:right w:val="single" w:color="000000" w:sz="4" w:space="0"/>
                  </w:tcBorders>
                  <w:vAlign w:val="center"/>
                </w:tcPr>
                <w:p>
                  <w:pPr>
                    <w:widowControl/>
                    <w:jc w:val="center"/>
                    <w:rPr>
                      <w:color w:val="000000"/>
                      <w:szCs w:val="21"/>
                    </w:rPr>
                  </w:pPr>
                  <w:r>
                    <w:rPr>
                      <w:color w:val="000000"/>
                      <w:szCs w:val="21"/>
                    </w:rPr>
                    <w:t>废气</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卸油、储油、加油</w:t>
                  </w:r>
                </w:p>
              </w:tc>
              <w:tc>
                <w:tcPr>
                  <w:tcW w:w="2223" w:type="dxa"/>
                  <w:tcBorders>
                    <w:top w:val="single" w:color="000000" w:sz="4" w:space="0"/>
                    <w:left w:val="single" w:color="000000" w:sz="4" w:space="0"/>
                    <w:bottom w:val="single" w:color="auto" w:sz="4" w:space="0"/>
                    <w:right w:val="single" w:color="000000" w:sz="4" w:space="0"/>
                  </w:tcBorders>
                  <w:vAlign w:val="center"/>
                </w:tcPr>
                <w:p>
                  <w:pPr>
                    <w:jc w:val="center"/>
                    <w:rPr>
                      <w:color w:val="000000"/>
                      <w:szCs w:val="21"/>
                    </w:rPr>
                  </w:pPr>
                  <w:r>
                    <w:rPr>
                      <w:color w:val="000000"/>
                      <w:szCs w:val="21"/>
                    </w:rPr>
                    <w:t>非甲烷总烃</w:t>
                  </w:r>
                </w:p>
              </w:tc>
              <w:tc>
                <w:tcPr>
                  <w:tcW w:w="1412" w:type="dxa"/>
                  <w:tcBorders>
                    <w:left w:val="single" w:color="000000" w:sz="4" w:space="0"/>
                    <w:bottom w:val="single" w:color="auto" w:sz="4" w:space="0"/>
                    <w:right w:val="single" w:color="000000" w:sz="4" w:space="0"/>
                  </w:tcBorders>
                  <w:vAlign w:val="center"/>
                </w:tcPr>
                <w:p>
                  <w:pPr>
                    <w:jc w:val="center"/>
                    <w:rPr>
                      <w:color w:val="000000"/>
                      <w:szCs w:val="21"/>
                    </w:rPr>
                  </w:pPr>
                  <w:r>
                    <w:rPr>
                      <w:color w:val="000000"/>
                      <w:szCs w:val="21"/>
                    </w:rPr>
                    <w:t>安装油气回收装置，密闭</w:t>
                  </w:r>
                </w:p>
              </w:tc>
              <w:tc>
                <w:tcPr>
                  <w:tcW w:w="1413" w:type="dxa"/>
                  <w:tcBorders>
                    <w:left w:val="single" w:color="000000" w:sz="4" w:space="0"/>
                    <w:bottom w:val="single" w:color="auto" w:sz="4" w:space="0"/>
                    <w:right w:val="single" w:color="000000" w:sz="4" w:space="0"/>
                  </w:tcBorders>
                  <w:vAlign w:val="center"/>
                </w:tcPr>
                <w:p>
                  <w:pPr>
                    <w:jc w:val="center"/>
                    <w:rPr>
                      <w:color w:val="000000"/>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tcBorders>
                    <w:left w:val="single" w:color="auto" w:sz="4" w:space="0"/>
                    <w:right w:val="single" w:color="auto" w:sz="4" w:space="0"/>
                  </w:tcBorders>
                  <w:vAlign w:val="center"/>
                </w:tcPr>
                <w:p>
                  <w:pPr>
                    <w:widowControl/>
                    <w:jc w:val="center"/>
                    <w:rPr>
                      <w:color w:val="000000"/>
                      <w:szCs w:val="21"/>
                    </w:rPr>
                  </w:pPr>
                  <w:r>
                    <w:rPr>
                      <w:color w:val="000000"/>
                      <w:szCs w:val="21"/>
                    </w:rPr>
                    <w:t>废水</w:t>
                  </w:r>
                </w:p>
              </w:tc>
              <w:tc>
                <w:tcPr>
                  <w:tcW w:w="1576" w:type="dxa"/>
                  <w:tcBorders>
                    <w:top w:val="single" w:color="auto" w:sz="4" w:space="0"/>
                    <w:left w:val="single" w:color="000000" w:sz="4" w:space="0"/>
                    <w:bottom w:val="single" w:color="auto" w:sz="4" w:space="0"/>
                    <w:right w:val="single" w:color="000000" w:sz="4" w:space="0"/>
                  </w:tcBorders>
                  <w:vAlign w:val="center"/>
                </w:tcPr>
                <w:p>
                  <w:pPr>
                    <w:jc w:val="center"/>
                    <w:rPr>
                      <w:color w:val="000000"/>
                      <w:szCs w:val="21"/>
                    </w:rPr>
                  </w:pPr>
                  <w:r>
                    <w:rPr>
                      <w:szCs w:val="21"/>
                    </w:rPr>
                    <w:t>生活污水</w:t>
                  </w: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COD、氨氮</w:t>
                  </w:r>
                </w:p>
                <w:p>
                  <w:pPr>
                    <w:jc w:val="center"/>
                    <w:rPr>
                      <w:color w:val="000000"/>
                      <w:szCs w:val="21"/>
                    </w:rPr>
                  </w:pPr>
                  <w:r>
                    <w:rPr>
                      <w:color w:val="000000"/>
                      <w:szCs w:val="21"/>
                    </w:rPr>
                    <w:t>BOD</w:t>
                  </w:r>
                  <w:r>
                    <w:rPr>
                      <w:color w:val="000000"/>
                      <w:szCs w:val="21"/>
                      <w:vertAlign w:val="subscript"/>
                    </w:rPr>
                    <w:t>5</w:t>
                  </w:r>
                  <w:r>
                    <w:rPr>
                      <w:color w:val="000000"/>
                      <w:szCs w:val="21"/>
                    </w:rPr>
                    <w:t>、SS、石油类</w:t>
                  </w:r>
                </w:p>
              </w:tc>
              <w:tc>
                <w:tcPr>
                  <w:tcW w:w="1412" w:type="dxa"/>
                  <w:tcBorders>
                    <w:top w:val="single" w:color="000000" w:sz="4" w:space="0"/>
                    <w:left w:val="single" w:color="000000" w:sz="4" w:space="0"/>
                    <w:bottom w:val="single" w:color="auto" w:sz="4" w:space="0"/>
                    <w:right w:val="single" w:color="000000" w:sz="4" w:space="0"/>
                  </w:tcBorders>
                  <w:vAlign w:val="center"/>
                </w:tcPr>
                <w:p>
                  <w:pPr>
                    <w:jc w:val="center"/>
                    <w:rPr>
                      <w:color w:val="000000"/>
                      <w:szCs w:val="21"/>
                    </w:rPr>
                  </w:pPr>
                  <w:r>
                    <w:rPr>
                      <w:color w:val="000000"/>
                      <w:szCs w:val="21"/>
                    </w:rPr>
                    <w:t>化粪池、污水管网</w:t>
                  </w:r>
                </w:p>
              </w:tc>
              <w:tc>
                <w:tcPr>
                  <w:tcW w:w="1413" w:type="dxa"/>
                  <w:tcBorders>
                    <w:top w:val="single" w:color="000000" w:sz="4" w:space="0"/>
                    <w:left w:val="single" w:color="000000" w:sz="4" w:space="0"/>
                    <w:bottom w:val="single" w:color="auto" w:sz="4" w:space="0"/>
                    <w:right w:val="single" w:color="000000" w:sz="4" w:space="0"/>
                  </w:tcBorders>
                  <w:vAlign w:val="center"/>
                </w:tcPr>
                <w:p>
                  <w:pPr>
                    <w:jc w:val="center"/>
                    <w:rPr>
                      <w:color w:val="000000"/>
                      <w:szCs w:val="21"/>
                    </w:rPr>
                  </w:pPr>
                  <w:r>
                    <w:rPr>
                      <w:szCs w:val="21"/>
                    </w:rPr>
                    <w:t>泗县工业污水处理</w:t>
                  </w:r>
                  <w:r>
                    <w:rPr>
                      <w:rFonts w:hint="eastAsia"/>
                      <w:szCs w:val="21"/>
                    </w:rPr>
                    <w:t>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vMerge w:val="restart"/>
                  <w:tcBorders>
                    <w:left w:val="single" w:color="auto" w:sz="4" w:space="0"/>
                    <w:right w:val="single" w:color="auto" w:sz="4" w:space="0"/>
                  </w:tcBorders>
                  <w:vAlign w:val="center"/>
                </w:tcPr>
                <w:p>
                  <w:pPr>
                    <w:widowControl/>
                    <w:jc w:val="center"/>
                    <w:rPr>
                      <w:color w:val="000000"/>
                      <w:szCs w:val="21"/>
                    </w:rPr>
                  </w:pPr>
                  <w:r>
                    <w:rPr>
                      <w:color w:val="000000"/>
                      <w:szCs w:val="21"/>
                    </w:rPr>
                    <w:t>固废</w:t>
                  </w:r>
                </w:p>
              </w:tc>
              <w:tc>
                <w:tcPr>
                  <w:tcW w:w="1576" w:type="dxa"/>
                  <w:tcBorders>
                    <w:top w:val="single" w:color="auto" w:sz="4" w:space="0"/>
                    <w:left w:val="single" w:color="000000" w:sz="4" w:space="0"/>
                    <w:right w:val="single" w:color="000000" w:sz="4" w:space="0"/>
                  </w:tcBorders>
                  <w:vAlign w:val="center"/>
                </w:tcPr>
                <w:p>
                  <w:pPr>
                    <w:jc w:val="center"/>
                    <w:rPr>
                      <w:color w:val="000000"/>
                      <w:szCs w:val="21"/>
                    </w:rPr>
                  </w:pPr>
                  <w:r>
                    <w:rPr>
                      <w:color w:val="000000"/>
                      <w:szCs w:val="21"/>
                    </w:rPr>
                    <w:t>员工生活</w:t>
                  </w:r>
                </w:p>
              </w:tc>
              <w:tc>
                <w:tcPr>
                  <w:tcW w:w="2223" w:type="dxa"/>
                  <w:tcBorders>
                    <w:top w:val="single" w:color="000000" w:sz="4" w:space="0"/>
                    <w:left w:val="single" w:color="000000" w:sz="4" w:space="0"/>
                    <w:right w:val="single" w:color="000000" w:sz="4" w:space="0"/>
                  </w:tcBorders>
                  <w:vAlign w:val="center"/>
                </w:tcPr>
                <w:p>
                  <w:pPr>
                    <w:jc w:val="center"/>
                    <w:outlineLvl w:val="0"/>
                    <w:rPr>
                      <w:color w:val="000000"/>
                      <w:szCs w:val="21"/>
                    </w:rPr>
                  </w:pPr>
                  <w:r>
                    <w:rPr>
                      <w:color w:val="000000"/>
                      <w:szCs w:val="21"/>
                      <w:lang w:bidi="ar"/>
                    </w:rPr>
                    <w:t>员工生活垃圾</w:t>
                  </w:r>
                </w:p>
              </w:tc>
              <w:tc>
                <w:tcPr>
                  <w:tcW w:w="1412" w:type="dxa"/>
                  <w:tcBorders>
                    <w:top w:val="single" w:color="000000" w:sz="4" w:space="0"/>
                    <w:left w:val="single" w:color="000000" w:sz="4" w:space="0"/>
                    <w:right w:val="single" w:color="000000" w:sz="4" w:space="0"/>
                  </w:tcBorders>
                  <w:vAlign w:val="center"/>
                </w:tcPr>
                <w:p>
                  <w:pPr>
                    <w:jc w:val="center"/>
                    <w:rPr>
                      <w:color w:val="000000"/>
                      <w:szCs w:val="21"/>
                    </w:rPr>
                  </w:pPr>
                  <w:r>
                    <w:rPr>
                      <w:szCs w:val="21"/>
                    </w:rPr>
                    <w:t>设置垃圾桶定期清理</w:t>
                  </w:r>
                </w:p>
              </w:tc>
              <w:tc>
                <w:tcPr>
                  <w:tcW w:w="1413" w:type="dxa"/>
                  <w:tcBorders>
                    <w:top w:val="single" w:color="000000" w:sz="4" w:space="0"/>
                    <w:left w:val="single" w:color="000000" w:sz="4" w:space="0"/>
                    <w:right w:val="single" w:color="000000" w:sz="4" w:space="0"/>
                  </w:tcBorders>
                  <w:vAlign w:val="center"/>
                </w:tcPr>
                <w:p>
                  <w:pPr>
                    <w:jc w:val="center"/>
                    <w:rPr>
                      <w:color w:val="000000"/>
                      <w:szCs w:val="21"/>
                    </w:rPr>
                  </w:pPr>
                  <w:r>
                    <w:rPr>
                      <w:szCs w:val="21"/>
                    </w:rPr>
                    <w:t>交由环卫部门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vMerge w:val="continue"/>
                  <w:tcBorders>
                    <w:left w:val="single" w:color="auto" w:sz="4" w:space="0"/>
                    <w:right w:val="single" w:color="auto" w:sz="4" w:space="0"/>
                  </w:tcBorders>
                  <w:vAlign w:val="center"/>
                </w:tcPr>
                <w:p>
                  <w:pPr>
                    <w:widowControl/>
                    <w:jc w:val="center"/>
                    <w:rPr>
                      <w:color w:val="000000"/>
                      <w:szCs w:val="21"/>
                    </w:rPr>
                  </w:pPr>
                </w:p>
              </w:tc>
              <w:tc>
                <w:tcPr>
                  <w:tcW w:w="1576" w:type="dxa"/>
                  <w:vMerge w:val="restart"/>
                  <w:tcBorders>
                    <w:top w:val="single" w:color="auto" w:sz="4" w:space="0"/>
                    <w:left w:val="single" w:color="000000" w:sz="4" w:space="0"/>
                    <w:right w:val="single" w:color="000000" w:sz="4" w:space="0"/>
                  </w:tcBorders>
                  <w:vAlign w:val="center"/>
                </w:tcPr>
                <w:p>
                  <w:pPr>
                    <w:jc w:val="center"/>
                    <w:rPr>
                      <w:color w:val="000000"/>
                      <w:szCs w:val="21"/>
                    </w:rPr>
                  </w:pPr>
                  <w:r>
                    <w:rPr>
                      <w:color w:val="000000"/>
                      <w:szCs w:val="21"/>
                    </w:rPr>
                    <w:t>生产</w:t>
                  </w: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outlineLvl w:val="0"/>
                    <w:rPr>
                      <w:color w:val="000000"/>
                      <w:szCs w:val="21"/>
                    </w:rPr>
                  </w:pPr>
                  <w:r>
                    <w:rPr>
                      <w:color w:val="000000"/>
                      <w:szCs w:val="21"/>
                    </w:rPr>
                    <w:t>清罐油</w:t>
                  </w:r>
                </w:p>
              </w:tc>
              <w:tc>
                <w:tcPr>
                  <w:tcW w:w="1412" w:type="dxa"/>
                  <w:vMerge w:val="restart"/>
                  <w:tcBorders>
                    <w:left w:val="single" w:color="000000" w:sz="4" w:space="0"/>
                    <w:right w:val="single" w:color="000000" w:sz="4" w:space="0"/>
                  </w:tcBorders>
                  <w:vAlign w:val="center"/>
                </w:tcPr>
                <w:p>
                  <w:pPr>
                    <w:jc w:val="center"/>
                    <w:rPr>
                      <w:color w:val="000000"/>
                      <w:szCs w:val="21"/>
                    </w:rPr>
                  </w:pPr>
                  <w:r>
                    <w:rPr>
                      <w:color w:val="000000"/>
                      <w:szCs w:val="21"/>
                    </w:rPr>
                    <w:t>交有资质单位处理</w:t>
                  </w:r>
                </w:p>
              </w:tc>
              <w:tc>
                <w:tcPr>
                  <w:tcW w:w="1413" w:type="dxa"/>
                  <w:vMerge w:val="restart"/>
                  <w:tcBorders>
                    <w:left w:val="single" w:color="000000" w:sz="4" w:space="0"/>
                    <w:right w:val="single" w:color="000000" w:sz="4" w:space="0"/>
                  </w:tcBorders>
                  <w:vAlign w:val="center"/>
                </w:tcPr>
                <w:p>
                  <w:pPr>
                    <w:jc w:val="center"/>
                    <w:rPr>
                      <w:color w:val="000000"/>
                      <w:szCs w:val="21"/>
                    </w:rPr>
                  </w:pPr>
                  <w:r>
                    <w:rPr>
                      <w:color w:val="000000"/>
                      <w:szCs w:val="21"/>
                    </w:rPr>
                    <w:t>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vMerge w:val="continue"/>
                  <w:tcBorders>
                    <w:left w:val="single" w:color="auto" w:sz="4" w:space="0"/>
                    <w:right w:val="single" w:color="auto" w:sz="4" w:space="0"/>
                  </w:tcBorders>
                  <w:vAlign w:val="center"/>
                </w:tcPr>
                <w:p>
                  <w:pPr>
                    <w:widowControl/>
                    <w:jc w:val="center"/>
                    <w:rPr>
                      <w:color w:val="000000"/>
                      <w:szCs w:val="21"/>
                    </w:rPr>
                  </w:pPr>
                </w:p>
              </w:tc>
              <w:tc>
                <w:tcPr>
                  <w:tcW w:w="1576" w:type="dxa"/>
                  <w:vMerge w:val="continue"/>
                  <w:tcBorders>
                    <w:left w:val="single" w:color="000000" w:sz="4" w:space="0"/>
                    <w:right w:val="single" w:color="000000" w:sz="4" w:space="0"/>
                  </w:tcBorders>
                  <w:vAlign w:val="center"/>
                </w:tcPr>
                <w:p>
                  <w:pPr>
                    <w:jc w:val="center"/>
                    <w:rPr>
                      <w:color w:val="000000"/>
                      <w:szCs w:val="21"/>
                    </w:rPr>
                  </w:pP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outlineLvl w:val="0"/>
                    <w:rPr>
                      <w:color w:val="000000"/>
                      <w:szCs w:val="21"/>
                    </w:rPr>
                  </w:pPr>
                  <w:r>
                    <w:rPr>
                      <w:color w:val="000000"/>
                      <w:szCs w:val="21"/>
                    </w:rPr>
                    <w:t>油泥</w:t>
                  </w:r>
                </w:p>
              </w:tc>
              <w:tc>
                <w:tcPr>
                  <w:tcW w:w="1412" w:type="dxa"/>
                  <w:vMerge w:val="continue"/>
                  <w:tcBorders>
                    <w:left w:val="single" w:color="000000" w:sz="4" w:space="0"/>
                    <w:right w:val="single" w:color="000000" w:sz="4" w:space="0"/>
                  </w:tcBorders>
                  <w:vAlign w:val="center"/>
                </w:tcPr>
                <w:p>
                  <w:pPr>
                    <w:jc w:val="center"/>
                    <w:rPr>
                      <w:color w:val="000000"/>
                      <w:szCs w:val="21"/>
                    </w:rPr>
                  </w:pPr>
                </w:p>
              </w:tc>
              <w:tc>
                <w:tcPr>
                  <w:tcW w:w="1413" w:type="dxa"/>
                  <w:vMerge w:val="continue"/>
                  <w:tcBorders>
                    <w:left w:val="single" w:color="000000" w:sz="4" w:space="0"/>
                    <w:right w:val="single" w:color="000000"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71" w:type="dxa"/>
                  <w:vMerge w:val="continue"/>
                  <w:tcBorders>
                    <w:left w:val="single" w:color="auto" w:sz="4" w:space="0"/>
                    <w:right w:val="single" w:color="auto" w:sz="4" w:space="0"/>
                  </w:tcBorders>
                  <w:vAlign w:val="center"/>
                </w:tcPr>
                <w:p>
                  <w:pPr>
                    <w:widowControl/>
                    <w:jc w:val="center"/>
                    <w:rPr>
                      <w:color w:val="000000"/>
                      <w:szCs w:val="21"/>
                    </w:rPr>
                  </w:pPr>
                </w:p>
              </w:tc>
              <w:tc>
                <w:tcPr>
                  <w:tcW w:w="1576" w:type="dxa"/>
                  <w:vMerge w:val="continue"/>
                  <w:tcBorders>
                    <w:left w:val="single" w:color="000000" w:sz="4" w:space="0"/>
                    <w:right w:val="single" w:color="000000" w:sz="4" w:space="0"/>
                  </w:tcBorders>
                  <w:vAlign w:val="center"/>
                </w:tcPr>
                <w:p>
                  <w:pPr>
                    <w:jc w:val="center"/>
                    <w:rPr>
                      <w:color w:val="000000"/>
                      <w:szCs w:val="21"/>
                    </w:rPr>
                  </w:pP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outlineLvl w:val="0"/>
                    <w:rPr>
                      <w:color w:val="000000"/>
                      <w:szCs w:val="21"/>
                    </w:rPr>
                  </w:pPr>
                  <w:r>
                    <w:rPr>
                      <w:color w:val="000000"/>
                      <w:szCs w:val="21"/>
                    </w:rPr>
                    <w:t>含油抹布</w:t>
                  </w:r>
                </w:p>
              </w:tc>
              <w:tc>
                <w:tcPr>
                  <w:tcW w:w="1412" w:type="dxa"/>
                  <w:vMerge w:val="continue"/>
                  <w:tcBorders>
                    <w:left w:val="single" w:color="000000" w:sz="4" w:space="0"/>
                    <w:right w:val="single" w:color="000000" w:sz="4" w:space="0"/>
                  </w:tcBorders>
                  <w:vAlign w:val="center"/>
                </w:tcPr>
                <w:p>
                  <w:pPr>
                    <w:jc w:val="center"/>
                    <w:rPr>
                      <w:color w:val="000000"/>
                      <w:szCs w:val="21"/>
                    </w:rPr>
                  </w:pPr>
                </w:p>
              </w:tc>
              <w:tc>
                <w:tcPr>
                  <w:tcW w:w="1413" w:type="dxa"/>
                  <w:vMerge w:val="continue"/>
                  <w:tcBorders>
                    <w:left w:val="single" w:color="000000" w:sz="4" w:space="0"/>
                    <w:right w:val="single" w:color="000000" w:sz="4" w:space="0"/>
                  </w:tcBorders>
                  <w:vAlign w:val="center"/>
                </w:tcPr>
                <w:p>
                  <w:pPr>
                    <w:jc w:val="center"/>
                    <w:rPr>
                      <w:color w:val="000000"/>
                      <w:szCs w:val="21"/>
                    </w:rPr>
                  </w:pPr>
                </w:p>
              </w:tc>
            </w:tr>
          </w:tbl>
          <w:p>
            <w:pPr>
              <w:adjustRightInd w:val="0"/>
              <w:snapToGrid w:val="0"/>
              <w:spacing w:line="360" w:lineRule="auto"/>
              <w:rPr>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Cs w:val="24"/>
              </w:rPr>
            </w:pPr>
            <w:r>
              <w:rPr>
                <w:rFonts w:ascii="Times New Roman" w:hAnsi="Times New Roman"/>
                <w:bCs/>
                <w:color w:val="000000"/>
                <w:kern w:val="2"/>
                <w:szCs w:val="24"/>
              </w:rPr>
              <w:t>与项目有关的原有环境污染问题</w:t>
            </w:r>
          </w:p>
        </w:tc>
        <w:tc>
          <w:tcPr>
            <w:tcW w:w="8161" w:type="dxa"/>
          </w:tcPr>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pStyle w:val="9"/>
              <w:rPr>
                <w:bCs/>
                <w:color w:val="000000"/>
                <w:sz w:val="24"/>
              </w:rPr>
            </w:pPr>
          </w:p>
          <w:p>
            <w:pPr>
              <w:rPr>
                <w:bCs/>
                <w:color w:val="000000"/>
                <w:sz w:val="24"/>
              </w:rPr>
            </w:pPr>
          </w:p>
          <w:p>
            <w:pPr>
              <w:pStyle w:val="9"/>
              <w:rPr>
                <w:bCs/>
                <w:color w:val="000000"/>
                <w:sz w:val="24"/>
              </w:rPr>
            </w:pPr>
          </w:p>
          <w:p>
            <w:pPr>
              <w:rPr>
                <w:bCs/>
                <w:color w:val="000000"/>
                <w:sz w:val="24"/>
              </w:rPr>
            </w:pPr>
          </w:p>
          <w:p>
            <w:pPr>
              <w:pStyle w:val="9"/>
              <w:rPr>
                <w:bCs/>
                <w:color w:val="000000"/>
                <w:sz w:val="24"/>
              </w:rPr>
            </w:pPr>
          </w:p>
          <w:p>
            <w:pPr>
              <w:rPr>
                <w:bCs/>
                <w:color w:val="000000"/>
                <w:sz w:val="24"/>
              </w:rPr>
            </w:pPr>
          </w:p>
          <w:p>
            <w:pPr>
              <w:pStyle w:val="9"/>
            </w:pPr>
          </w:p>
          <w:p>
            <w:pPr>
              <w:pStyle w:val="9"/>
            </w:pPr>
          </w:p>
          <w:p>
            <w:pPr>
              <w:adjustRightInd w:val="0"/>
              <w:snapToGrid w:val="0"/>
              <w:spacing w:line="360" w:lineRule="auto"/>
              <w:ind w:firstLine="480" w:firstLineChars="200"/>
              <w:rPr>
                <w:bCs/>
                <w:color w:val="000000"/>
                <w:sz w:val="24"/>
              </w:rPr>
            </w:pPr>
            <w:r>
              <w:rPr>
                <w:bCs/>
                <w:color w:val="000000"/>
                <w:sz w:val="24"/>
              </w:rPr>
              <w:t>该项目为新建项目，</w:t>
            </w:r>
            <w:r>
              <w:rPr>
                <w:rFonts w:hint="eastAsia"/>
                <w:bCs/>
                <w:color w:val="000000"/>
                <w:sz w:val="24"/>
                <w:lang w:val="en-US" w:eastAsia="zh-CN"/>
              </w:rPr>
              <w:t>位于</w:t>
            </w:r>
            <w:r>
              <w:rPr>
                <w:rFonts w:ascii="宋体" w:hAnsi="宋体" w:cs="宋体"/>
                <w:sz w:val="24"/>
              </w:rPr>
              <w:t>泗县泗城镇新型工业园区</w:t>
            </w:r>
            <w:r>
              <w:rPr>
                <w:rFonts w:hint="eastAsia"/>
                <w:kern w:val="0"/>
                <w:sz w:val="24"/>
              </w:rPr>
              <w:t>吉顺驾校内</w:t>
            </w:r>
            <w:r>
              <w:rPr>
                <w:rFonts w:hint="eastAsia"/>
                <w:kern w:val="0"/>
                <w:sz w:val="24"/>
                <w:lang w:eastAsia="zh-CN"/>
              </w:rPr>
              <w:t>，</w:t>
            </w:r>
            <w:r>
              <w:rPr>
                <w:rFonts w:ascii="宋体" w:hAnsi="宋体" w:eastAsia="宋体" w:cs="宋体"/>
                <w:sz w:val="24"/>
                <w:szCs w:val="24"/>
              </w:rPr>
              <w:t>本项目建设位置</w:t>
            </w:r>
            <w:r>
              <w:rPr>
                <w:bCs/>
                <w:color w:val="000000"/>
                <w:sz w:val="24"/>
              </w:rPr>
              <w:t>现状为空地</w:t>
            </w:r>
            <w:r>
              <w:rPr>
                <w:rFonts w:hint="eastAsia"/>
                <w:bCs/>
                <w:color w:val="000000"/>
                <w:sz w:val="24"/>
                <w:lang w:eastAsia="zh-CN"/>
              </w:rPr>
              <w:t>（</w:t>
            </w:r>
            <w:r>
              <w:rPr>
                <w:rFonts w:ascii="宋体" w:hAnsi="宋体" w:eastAsia="宋体" w:cs="宋体"/>
                <w:sz w:val="24"/>
                <w:szCs w:val="24"/>
              </w:rPr>
              <w:t>具体见附图</w:t>
            </w:r>
            <w:r>
              <w:rPr>
                <w:rFonts w:hint="eastAsia" w:ascii="宋体" w:hAnsi="宋体" w:cs="宋体"/>
                <w:sz w:val="24"/>
                <w:szCs w:val="24"/>
                <w:lang w:eastAsia="zh-CN"/>
              </w:rPr>
              <w:t>）</w:t>
            </w:r>
            <w:r>
              <w:rPr>
                <w:bCs/>
                <w:color w:val="000000"/>
                <w:sz w:val="24"/>
              </w:rPr>
              <w:t>，不存在与项目有关的原有环境污染问题。</w:t>
            </w:r>
          </w:p>
          <w:p>
            <w:pPr>
              <w:adjustRightInd w:val="0"/>
              <w:snapToGrid w:val="0"/>
              <w:spacing w:line="360" w:lineRule="auto"/>
              <w:ind w:firstLine="480" w:firstLineChars="200"/>
              <w:rPr>
                <w:bCs/>
                <w:color w:val="000000"/>
                <w:sz w:val="24"/>
              </w:rPr>
            </w:pPr>
          </w:p>
          <w:p>
            <w:pPr>
              <w:adjustRightInd w:val="0"/>
              <w:snapToGrid w:val="0"/>
              <w:spacing w:line="360" w:lineRule="auto"/>
              <w:rPr>
                <w:bCs/>
                <w:color w:val="000000"/>
                <w:sz w:val="24"/>
              </w:rPr>
            </w:pPr>
          </w:p>
          <w:p>
            <w:pPr>
              <w:adjustRightInd w:val="0"/>
              <w:snapToGrid w:val="0"/>
              <w:spacing w:line="360" w:lineRule="auto"/>
              <w:ind w:firstLine="480" w:firstLineChars="200"/>
              <w:rPr>
                <w:bCs/>
                <w:color w:val="000000"/>
                <w:sz w:val="24"/>
              </w:rPr>
            </w:pPr>
          </w:p>
          <w:p>
            <w:pPr>
              <w:pStyle w:val="9"/>
              <w:rPr>
                <w:bCs/>
                <w:color w:val="000000"/>
                <w:sz w:val="24"/>
              </w:rPr>
            </w:pPr>
          </w:p>
          <w:p>
            <w:pPr>
              <w:rPr>
                <w:bCs/>
                <w:color w:val="000000"/>
                <w:sz w:val="24"/>
              </w:rPr>
            </w:pPr>
          </w:p>
          <w:p>
            <w:pPr>
              <w:pStyle w:val="9"/>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tc>
      </w:tr>
    </w:tbl>
    <w:p>
      <w:pPr>
        <w:pStyle w:val="17"/>
        <w:jc w:val="center"/>
        <w:rPr>
          <w:rFonts w:ascii="Times New Roman" w:hAnsi="Times New Roman"/>
          <w:snapToGrid w:val="0"/>
          <w:color w:val="000000"/>
          <w:sz w:val="36"/>
          <w:szCs w:val="36"/>
        </w:rPr>
        <w:sectPr>
          <w:footerReference r:id="rId7" w:type="default"/>
          <w:pgSz w:w="11906" w:h="16838"/>
          <w:pgMar w:top="1701" w:right="1531" w:bottom="1701" w:left="1531" w:header="851" w:footer="851" w:gutter="0"/>
          <w:cols w:space="720" w:num="1"/>
          <w:docGrid w:linePitch="312" w:charSpace="0"/>
        </w:sectPr>
      </w:pPr>
    </w:p>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sz w:val="30"/>
          <w:szCs w:val="30"/>
        </w:rPr>
        <w:t>三、区域环境质量现状、环境保护目标及评价标准</w:t>
      </w:r>
    </w:p>
    <w:tbl>
      <w:tblPr>
        <w:tblStyle w:val="23"/>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color w:val="000000"/>
                <w:kern w:val="0"/>
                <w:sz w:val="24"/>
              </w:rPr>
            </w:pPr>
            <w:r>
              <w:rPr>
                <w:color w:val="000000"/>
                <w:kern w:val="0"/>
                <w:sz w:val="24"/>
              </w:rPr>
              <w:t>区域</w:t>
            </w:r>
          </w:p>
          <w:p>
            <w:pPr>
              <w:adjustRightInd w:val="0"/>
              <w:snapToGrid w:val="0"/>
              <w:jc w:val="center"/>
              <w:rPr>
                <w:color w:val="000000"/>
                <w:kern w:val="0"/>
                <w:sz w:val="24"/>
              </w:rPr>
            </w:pPr>
            <w:r>
              <w:rPr>
                <w:color w:val="000000"/>
                <w:kern w:val="0"/>
                <w:sz w:val="24"/>
              </w:rPr>
              <w:t>环境</w:t>
            </w:r>
          </w:p>
          <w:p>
            <w:pPr>
              <w:adjustRightInd w:val="0"/>
              <w:snapToGrid w:val="0"/>
              <w:jc w:val="center"/>
              <w:rPr>
                <w:color w:val="000000"/>
                <w:kern w:val="0"/>
                <w:sz w:val="24"/>
              </w:rPr>
            </w:pPr>
            <w:r>
              <w:rPr>
                <w:color w:val="000000"/>
                <w:kern w:val="0"/>
                <w:sz w:val="24"/>
              </w:rPr>
              <w:t>质量</w:t>
            </w:r>
          </w:p>
          <w:p>
            <w:pPr>
              <w:adjustRightInd w:val="0"/>
              <w:snapToGrid w:val="0"/>
              <w:jc w:val="center"/>
              <w:rPr>
                <w:color w:val="000000"/>
                <w:kern w:val="0"/>
                <w:sz w:val="24"/>
              </w:rPr>
            </w:pPr>
            <w:r>
              <w:rPr>
                <w:color w:val="000000"/>
                <w:kern w:val="0"/>
                <w:sz w:val="24"/>
              </w:rPr>
              <w:t>现状</w:t>
            </w:r>
          </w:p>
        </w:tc>
        <w:tc>
          <w:tcPr>
            <w:tcW w:w="8190" w:type="dxa"/>
            <w:vAlign w:val="center"/>
          </w:tcPr>
          <w:p>
            <w:pPr>
              <w:spacing w:line="360" w:lineRule="auto"/>
              <w:ind w:firstLine="480" w:firstLineChars="200"/>
              <w:rPr>
                <w:sz w:val="24"/>
              </w:rPr>
            </w:pPr>
            <w:r>
              <w:rPr>
                <w:sz w:val="24"/>
              </w:rPr>
              <w:t>建设项目所在地区域环境质量现状及主要环境问题(环境空气、地面水、地下水、声环境、生态环境等)</w:t>
            </w:r>
          </w:p>
          <w:p>
            <w:pPr>
              <w:spacing w:line="360" w:lineRule="auto"/>
              <w:ind w:firstLine="480" w:firstLineChars="200"/>
              <w:rPr>
                <w:sz w:val="24"/>
              </w:rPr>
            </w:pPr>
            <w:r>
              <w:rPr>
                <w:sz w:val="24"/>
              </w:rPr>
              <w:t>本项目位于安徽省宿州市泗县经济开发区，为了解该项目所在区域环境质量现状，本次</w:t>
            </w:r>
            <w:r>
              <w:rPr>
                <w:kern w:val="0"/>
                <w:sz w:val="24"/>
              </w:rPr>
              <w:t>评价依据</w:t>
            </w:r>
            <w:r>
              <w:rPr>
                <w:sz w:val="24"/>
              </w:rPr>
              <w:t>《</w:t>
            </w:r>
            <w:r>
              <w:rPr>
                <w:rFonts w:hint="eastAsia" w:ascii="宋体" w:hAnsi="宋体" w:cs="宋体"/>
                <w:color w:val="000000"/>
                <w:sz w:val="24"/>
                <w:lang w:bidi="ar"/>
              </w:rPr>
              <w:t>宿州市</w:t>
            </w:r>
            <w:r>
              <w:rPr>
                <w:color w:val="000000"/>
                <w:sz w:val="24"/>
                <w:lang w:bidi="ar"/>
              </w:rPr>
              <w:t>2020</w:t>
            </w:r>
            <w:r>
              <w:rPr>
                <w:rFonts w:hint="eastAsia" w:ascii="宋体" w:hAnsi="宋体" w:cs="宋体"/>
                <w:color w:val="000000"/>
                <w:sz w:val="24"/>
                <w:lang w:bidi="ar"/>
              </w:rPr>
              <w:t>年环境质量状况报告</w:t>
            </w:r>
            <w:r>
              <w:rPr>
                <w:sz w:val="24"/>
              </w:rPr>
              <w:t>》和《安徽泗县经济开发区环境影响区域评估报告》里的大气、地表水、声环境监测数据，具体数据如下所示：</w:t>
            </w:r>
          </w:p>
          <w:p>
            <w:pPr>
              <w:spacing w:line="360" w:lineRule="auto"/>
              <w:ind w:firstLine="480" w:firstLineChars="200"/>
              <w:rPr>
                <w:sz w:val="24"/>
              </w:rPr>
            </w:pPr>
            <w:r>
              <w:rPr>
                <w:sz w:val="24"/>
              </w:rPr>
              <w:t>1、环境空气质量现状</w:t>
            </w:r>
          </w:p>
          <w:p>
            <w:pPr>
              <w:spacing w:line="360" w:lineRule="auto"/>
              <w:ind w:firstLine="480" w:firstLineChars="200"/>
              <w:jc w:val="left"/>
              <w:rPr>
                <w:sz w:val="24"/>
              </w:rPr>
            </w:pPr>
            <w:r>
              <w:rPr>
                <w:rFonts w:hint="eastAsia" w:ascii="宋体" w:hAnsi="宋体" w:cs="宋体"/>
                <w:sz w:val="24"/>
                <w:lang w:bidi="ar"/>
              </w:rPr>
              <w:t>根据《宿州市</w:t>
            </w:r>
            <w:r>
              <w:rPr>
                <w:sz w:val="24"/>
                <w:lang w:bidi="ar"/>
              </w:rPr>
              <w:t>2020</w:t>
            </w:r>
            <w:r>
              <w:rPr>
                <w:rFonts w:hint="eastAsia" w:ascii="宋体" w:hAnsi="宋体" w:cs="宋体"/>
                <w:sz w:val="24"/>
                <w:lang w:bidi="ar"/>
              </w:rPr>
              <w:t>年环境质量状况报告》，</w:t>
            </w:r>
            <w:r>
              <w:rPr>
                <w:sz w:val="24"/>
              </w:rPr>
              <w:t>大气环境质量2020年宿州市主要污染物PM</w:t>
            </w:r>
            <w:r>
              <w:rPr>
                <w:sz w:val="24"/>
                <w:vertAlign w:val="subscript"/>
              </w:rPr>
              <w:t>2.5</w:t>
            </w:r>
            <w:r>
              <w:rPr>
                <w:sz w:val="24"/>
              </w:rPr>
              <w:t>年平均浓度为46微克/立方米，全省排名第12位，皖北六市第二，同比下降5.7%；空气优良天数比例为71.6%，2021年1月1日至5月31日，宿州市主要污染物PM</w:t>
            </w:r>
            <w:r>
              <w:rPr>
                <w:sz w:val="24"/>
                <w:vertAlign w:val="subscript"/>
              </w:rPr>
              <w:t>2.5</w:t>
            </w:r>
            <w:r>
              <w:rPr>
                <w:sz w:val="24"/>
              </w:rPr>
              <w:t>平均浓度55.8微克/立方米，较去年同期上升3.14%；全市空气优良率为74%，较去年同期上升3.2个百分点。</w:t>
            </w:r>
          </w:p>
          <w:p>
            <w:pPr>
              <w:spacing w:line="360" w:lineRule="auto"/>
              <w:ind w:firstLine="482" w:firstLineChars="200"/>
              <w:jc w:val="center"/>
              <w:rPr>
                <w:b/>
                <w:bCs/>
                <w:sz w:val="24"/>
              </w:rPr>
            </w:pPr>
            <w:r>
              <w:rPr>
                <w:rFonts w:hint="eastAsia"/>
                <w:b/>
                <w:bCs/>
                <w:sz w:val="24"/>
              </w:rPr>
              <w:t>表3-1  项目区域基本污染物环境质量现状评价一览表</w:t>
            </w:r>
          </w:p>
          <w:tbl>
            <w:tblPr>
              <w:tblStyle w:val="24"/>
              <w:tblW w:w="7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11"/>
              <w:gridCol w:w="1185"/>
              <w:gridCol w:w="1185"/>
              <w:gridCol w:w="12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b/>
                      <w:bCs/>
                      <w:szCs w:val="21"/>
                    </w:rPr>
                  </w:pPr>
                  <w:r>
                    <w:rPr>
                      <w:rFonts w:hint="eastAsia"/>
                      <w:b/>
                      <w:bCs/>
                      <w:szCs w:val="21"/>
                    </w:rPr>
                    <w:t>污染物</w:t>
                  </w:r>
                </w:p>
              </w:tc>
              <w:tc>
                <w:tcPr>
                  <w:tcW w:w="2211" w:type="dxa"/>
                  <w:vAlign w:val="center"/>
                </w:tcPr>
                <w:p>
                  <w:pPr>
                    <w:jc w:val="center"/>
                    <w:rPr>
                      <w:b/>
                      <w:bCs/>
                      <w:szCs w:val="21"/>
                    </w:rPr>
                  </w:pPr>
                  <w:r>
                    <w:rPr>
                      <w:rFonts w:hint="eastAsia"/>
                      <w:b/>
                      <w:bCs/>
                      <w:szCs w:val="21"/>
                    </w:rPr>
                    <w:t>年评价指标</w:t>
                  </w:r>
                </w:p>
              </w:tc>
              <w:tc>
                <w:tcPr>
                  <w:tcW w:w="1185" w:type="dxa"/>
                  <w:vAlign w:val="center"/>
                </w:tcPr>
                <w:p>
                  <w:pPr>
                    <w:jc w:val="center"/>
                    <w:rPr>
                      <w:b/>
                      <w:bCs/>
                      <w:szCs w:val="21"/>
                    </w:rPr>
                  </w:pPr>
                  <w:r>
                    <w:rPr>
                      <w:rFonts w:hint="eastAsia"/>
                      <w:b/>
                      <w:bCs/>
                      <w:szCs w:val="21"/>
                    </w:rPr>
                    <w:t>现状浓度（ug/m</w:t>
                  </w:r>
                  <w:r>
                    <w:rPr>
                      <w:rFonts w:hint="eastAsia"/>
                      <w:b/>
                      <w:bCs/>
                      <w:szCs w:val="21"/>
                      <w:vertAlign w:val="superscript"/>
                    </w:rPr>
                    <w:t>3</w:t>
                  </w:r>
                  <w:r>
                    <w:rPr>
                      <w:rFonts w:hint="eastAsia"/>
                      <w:b/>
                      <w:bCs/>
                      <w:szCs w:val="21"/>
                    </w:rPr>
                    <w:t>）</w:t>
                  </w:r>
                </w:p>
              </w:tc>
              <w:tc>
                <w:tcPr>
                  <w:tcW w:w="1185" w:type="dxa"/>
                  <w:vAlign w:val="center"/>
                </w:tcPr>
                <w:p>
                  <w:pPr>
                    <w:jc w:val="center"/>
                    <w:rPr>
                      <w:b/>
                      <w:bCs/>
                      <w:szCs w:val="21"/>
                    </w:rPr>
                  </w:pPr>
                  <w:r>
                    <w:rPr>
                      <w:rFonts w:hint="eastAsia"/>
                      <w:b/>
                      <w:bCs/>
                      <w:szCs w:val="21"/>
                    </w:rPr>
                    <w:t>标准值（ug/m</w:t>
                  </w:r>
                  <w:r>
                    <w:rPr>
                      <w:rFonts w:hint="eastAsia"/>
                      <w:b/>
                      <w:bCs/>
                      <w:szCs w:val="21"/>
                      <w:vertAlign w:val="superscript"/>
                    </w:rPr>
                    <w:t>3</w:t>
                  </w:r>
                  <w:r>
                    <w:rPr>
                      <w:rFonts w:hint="eastAsia"/>
                      <w:b/>
                      <w:bCs/>
                      <w:szCs w:val="21"/>
                    </w:rPr>
                    <w:t>）</w:t>
                  </w:r>
                </w:p>
              </w:tc>
              <w:tc>
                <w:tcPr>
                  <w:tcW w:w="1215" w:type="dxa"/>
                  <w:vAlign w:val="center"/>
                </w:tcPr>
                <w:p>
                  <w:pPr>
                    <w:jc w:val="center"/>
                    <w:rPr>
                      <w:b/>
                      <w:bCs/>
                      <w:szCs w:val="21"/>
                    </w:rPr>
                  </w:pPr>
                  <w:r>
                    <w:rPr>
                      <w:rFonts w:hint="eastAsia"/>
                      <w:b/>
                      <w:bCs/>
                      <w:szCs w:val="21"/>
                    </w:rPr>
                    <w:t>占标率%</w:t>
                  </w:r>
                </w:p>
              </w:tc>
              <w:tc>
                <w:tcPr>
                  <w:tcW w:w="1080" w:type="dxa"/>
                  <w:vAlign w:val="center"/>
                </w:tcPr>
                <w:p>
                  <w:pPr>
                    <w:jc w:val="center"/>
                    <w:rPr>
                      <w:b/>
                      <w:bCs/>
                      <w:szCs w:val="21"/>
                    </w:rPr>
                  </w:pPr>
                  <w:r>
                    <w:rPr>
                      <w:rFonts w:hint="eastAsia"/>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SO</w:t>
                  </w:r>
                  <w:r>
                    <w:rPr>
                      <w:rFonts w:hint="eastAsia"/>
                      <w:szCs w:val="21"/>
                      <w:vertAlign w:val="subscript"/>
                    </w:rPr>
                    <w:t>2</w:t>
                  </w:r>
                </w:p>
              </w:tc>
              <w:tc>
                <w:tcPr>
                  <w:tcW w:w="2211" w:type="dxa"/>
                  <w:vAlign w:val="center"/>
                </w:tcPr>
                <w:p>
                  <w:pPr>
                    <w:jc w:val="center"/>
                    <w:rPr>
                      <w:szCs w:val="21"/>
                    </w:rPr>
                  </w:pPr>
                  <w:r>
                    <w:rPr>
                      <w:rFonts w:hint="eastAsia"/>
                      <w:szCs w:val="21"/>
                    </w:rPr>
                    <w:t>年平均质量浓度</w:t>
                  </w:r>
                </w:p>
              </w:tc>
              <w:tc>
                <w:tcPr>
                  <w:tcW w:w="1185" w:type="dxa"/>
                  <w:vAlign w:val="center"/>
                </w:tcPr>
                <w:p>
                  <w:pPr>
                    <w:jc w:val="center"/>
                    <w:rPr>
                      <w:szCs w:val="21"/>
                    </w:rPr>
                  </w:pPr>
                  <w:r>
                    <w:rPr>
                      <w:rFonts w:hint="eastAsia"/>
                      <w:szCs w:val="21"/>
                    </w:rPr>
                    <w:t>7</w:t>
                  </w:r>
                </w:p>
              </w:tc>
              <w:tc>
                <w:tcPr>
                  <w:tcW w:w="1185" w:type="dxa"/>
                  <w:vAlign w:val="center"/>
                </w:tcPr>
                <w:p>
                  <w:pPr>
                    <w:jc w:val="center"/>
                    <w:rPr>
                      <w:szCs w:val="21"/>
                    </w:rPr>
                  </w:pPr>
                  <w:r>
                    <w:rPr>
                      <w:rFonts w:hint="eastAsia"/>
                      <w:szCs w:val="21"/>
                    </w:rPr>
                    <w:t>60</w:t>
                  </w:r>
                </w:p>
              </w:tc>
              <w:tc>
                <w:tcPr>
                  <w:tcW w:w="1215" w:type="dxa"/>
                  <w:vAlign w:val="center"/>
                </w:tcPr>
                <w:p>
                  <w:pPr>
                    <w:jc w:val="center"/>
                    <w:rPr>
                      <w:szCs w:val="21"/>
                    </w:rPr>
                  </w:pPr>
                  <w:r>
                    <w:rPr>
                      <w:rFonts w:hint="eastAsia"/>
                      <w:szCs w:val="21"/>
                    </w:rPr>
                    <w:t>11.7</w:t>
                  </w:r>
                </w:p>
              </w:tc>
              <w:tc>
                <w:tcPr>
                  <w:tcW w:w="1080"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NO</w:t>
                  </w:r>
                  <w:r>
                    <w:rPr>
                      <w:rFonts w:hint="eastAsia"/>
                      <w:szCs w:val="21"/>
                      <w:vertAlign w:val="subscript"/>
                    </w:rPr>
                    <w:t>2</w:t>
                  </w:r>
                </w:p>
              </w:tc>
              <w:tc>
                <w:tcPr>
                  <w:tcW w:w="2211" w:type="dxa"/>
                  <w:vAlign w:val="center"/>
                </w:tcPr>
                <w:p>
                  <w:pPr>
                    <w:jc w:val="center"/>
                    <w:rPr>
                      <w:szCs w:val="21"/>
                    </w:rPr>
                  </w:pPr>
                  <w:r>
                    <w:rPr>
                      <w:rFonts w:hint="eastAsia"/>
                      <w:szCs w:val="21"/>
                    </w:rPr>
                    <w:t>年平均质量浓度</w:t>
                  </w:r>
                </w:p>
              </w:tc>
              <w:tc>
                <w:tcPr>
                  <w:tcW w:w="1185" w:type="dxa"/>
                  <w:vAlign w:val="center"/>
                </w:tcPr>
                <w:p>
                  <w:pPr>
                    <w:jc w:val="center"/>
                    <w:rPr>
                      <w:szCs w:val="21"/>
                    </w:rPr>
                  </w:pPr>
                  <w:r>
                    <w:rPr>
                      <w:rFonts w:hint="eastAsia"/>
                      <w:szCs w:val="21"/>
                    </w:rPr>
                    <w:t>23</w:t>
                  </w:r>
                </w:p>
              </w:tc>
              <w:tc>
                <w:tcPr>
                  <w:tcW w:w="1185" w:type="dxa"/>
                  <w:vAlign w:val="center"/>
                </w:tcPr>
                <w:p>
                  <w:pPr>
                    <w:jc w:val="center"/>
                    <w:rPr>
                      <w:szCs w:val="21"/>
                    </w:rPr>
                  </w:pPr>
                  <w:r>
                    <w:rPr>
                      <w:rFonts w:hint="eastAsia"/>
                      <w:szCs w:val="21"/>
                    </w:rPr>
                    <w:t>40</w:t>
                  </w:r>
                </w:p>
              </w:tc>
              <w:tc>
                <w:tcPr>
                  <w:tcW w:w="1215" w:type="dxa"/>
                  <w:vAlign w:val="center"/>
                </w:tcPr>
                <w:p>
                  <w:pPr>
                    <w:jc w:val="center"/>
                    <w:rPr>
                      <w:szCs w:val="21"/>
                    </w:rPr>
                  </w:pPr>
                  <w:r>
                    <w:rPr>
                      <w:rFonts w:hint="eastAsia"/>
                      <w:szCs w:val="21"/>
                    </w:rPr>
                    <w:t>57.5</w:t>
                  </w:r>
                </w:p>
              </w:tc>
              <w:tc>
                <w:tcPr>
                  <w:tcW w:w="1080"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PM</w:t>
                  </w:r>
                  <w:r>
                    <w:rPr>
                      <w:rFonts w:hint="eastAsia"/>
                      <w:szCs w:val="21"/>
                      <w:vertAlign w:val="subscript"/>
                    </w:rPr>
                    <w:t>10</w:t>
                  </w:r>
                </w:p>
              </w:tc>
              <w:tc>
                <w:tcPr>
                  <w:tcW w:w="2211" w:type="dxa"/>
                  <w:vAlign w:val="center"/>
                </w:tcPr>
                <w:p>
                  <w:pPr>
                    <w:jc w:val="center"/>
                    <w:rPr>
                      <w:szCs w:val="21"/>
                    </w:rPr>
                  </w:pPr>
                  <w:r>
                    <w:rPr>
                      <w:rFonts w:hint="eastAsia"/>
                      <w:szCs w:val="21"/>
                    </w:rPr>
                    <w:t>年平均质量浓度</w:t>
                  </w:r>
                </w:p>
              </w:tc>
              <w:tc>
                <w:tcPr>
                  <w:tcW w:w="1185" w:type="dxa"/>
                  <w:vAlign w:val="center"/>
                </w:tcPr>
                <w:p>
                  <w:pPr>
                    <w:jc w:val="center"/>
                    <w:rPr>
                      <w:szCs w:val="21"/>
                    </w:rPr>
                  </w:pPr>
                  <w:r>
                    <w:rPr>
                      <w:rFonts w:hint="eastAsia"/>
                      <w:szCs w:val="21"/>
                    </w:rPr>
                    <w:t>84</w:t>
                  </w:r>
                </w:p>
              </w:tc>
              <w:tc>
                <w:tcPr>
                  <w:tcW w:w="1185" w:type="dxa"/>
                  <w:vAlign w:val="center"/>
                </w:tcPr>
                <w:p>
                  <w:pPr>
                    <w:jc w:val="center"/>
                    <w:rPr>
                      <w:szCs w:val="21"/>
                    </w:rPr>
                  </w:pPr>
                  <w:r>
                    <w:rPr>
                      <w:rFonts w:hint="eastAsia"/>
                      <w:szCs w:val="21"/>
                    </w:rPr>
                    <w:t>70</w:t>
                  </w:r>
                </w:p>
              </w:tc>
              <w:tc>
                <w:tcPr>
                  <w:tcW w:w="1215" w:type="dxa"/>
                  <w:vAlign w:val="center"/>
                </w:tcPr>
                <w:p>
                  <w:pPr>
                    <w:jc w:val="center"/>
                    <w:rPr>
                      <w:szCs w:val="21"/>
                    </w:rPr>
                  </w:pPr>
                  <w:r>
                    <w:rPr>
                      <w:rFonts w:hint="eastAsia"/>
                      <w:szCs w:val="21"/>
                    </w:rPr>
                    <w:t>120.0</w:t>
                  </w:r>
                </w:p>
              </w:tc>
              <w:tc>
                <w:tcPr>
                  <w:tcW w:w="1080" w:type="dxa"/>
                  <w:vAlign w:val="center"/>
                </w:tcPr>
                <w:p>
                  <w:pPr>
                    <w:jc w:val="center"/>
                    <w:rPr>
                      <w:szCs w:val="21"/>
                    </w:rPr>
                  </w:pPr>
                  <w:r>
                    <w:rPr>
                      <w:rFonts w:hint="eastAsia"/>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PM</w:t>
                  </w:r>
                  <w:r>
                    <w:rPr>
                      <w:rFonts w:hint="eastAsia"/>
                      <w:szCs w:val="21"/>
                      <w:vertAlign w:val="subscript"/>
                    </w:rPr>
                    <w:t>2.5</w:t>
                  </w:r>
                </w:p>
              </w:tc>
              <w:tc>
                <w:tcPr>
                  <w:tcW w:w="2211" w:type="dxa"/>
                  <w:vAlign w:val="center"/>
                </w:tcPr>
                <w:p>
                  <w:pPr>
                    <w:jc w:val="center"/>
                    <w:rPr>
                      <w:szCs w:val="21"/>
                    </w:rPr>
                  </w:pPr>
                  <w:r>
                    <w:rPr>
                      <w:rFonts w:hint="eastAsia"/>
                      <w:szCs w:val="21"/>
                    </w:rPr>
                    <w:t>年平均质量浓度</w:t>
                  </w:r>
                </w:p>
              </w:tc>
              <w:tc>
                <w:tcPr>
                  <w:tcW w:w="1185" w:type="dxa"/>
                  <w:vAlign w:val="center"/>
                </w:tcPr>
                <w:p>
                  <w:pPr>
                    <w:jc w:val="center"/>
                    <w:rPr>
                      <w:szCs w:val="21"/>
                    </w:rPr>
                  </w:pPr>
                  <w:r>
                    <w:rPr>
                      <w:rFonts w:hint="eastAsia"/>
                      <w:szCs w:val="21"/>
                    </w:rPr>
                    <w:t>50</w:t>
                  </w:r>
                </w:p>
              </w:tc>
              <w:tc>
                <w:tcPr>
                  <w:tcW w:w="1185" w:type="dxa"/>
                  <w:vAlign w:val="center"/>
                </w:tcPr>
                <w:p>
                  <w:pPr>
                    <w:jc w:val="center"/>
                    <w:rPr>
                      <w:szCs w:val="21"/>
                    </w:rPr>
                  </w:pPr>
                  <w:r>
                    <w:rPr>
                      <w:rFonts w:hint="eastAsia"/>
                      <w:szCs w:val="21"/>
                    </w:rPr>
                    <w:t>35</w:t>
                  </w:r>
                </w:p>
              </w:tc>
              <w:tc>
                <w:tcPr>
                  <w:tcW w:w="1215" w:type="dxa"/>
                  <w:vAlign w:val="center"/>
                </w:tcPr>
                <w:p>
                  <w:pPr>
                    <w:jc w:val="center"/>
                    <w:rPr>
                      <w:szCs w:val="21"/>
                    </w:rPr>
                  </w:pPr>
                  <w:r>
                    <w:rPr>
                      <w:rFonts w:hint="eastAsia"/>
                      <w:szCs w:val="21"/>
                    </w:rPr>
                    <w:t>142.9</w:t>
                  </w:r>
                </w:p>
              </w:tc>
              <w:tc>
                <w:tcPr>
                  <w:tcW w:w="1080" w:type="dxa"/>
                  <w:vAlign w:val="center"/>
                </w:tcPr>
                <w:p>
                  <w:pPr>
                    <w:jc w:val="center"/>
                    <w:rPr>
                      <w:szCs w:val="21"/>
                    </w:rPr>
                  </w:pPr>
                  <w:r>
                    <w:rPr>
                      <w:rFonts w:hint="eastAsia"/>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CO</w:t>
                  </w:r>
                </w:p>
              </w:tc>
              <w:tc>
                <w:tcPr>
                  <w:tcW w:w="2211" w:type="dxa"/>
                  <w:vAlign w:val="center"/>
                </w:tcPr>
                <w:p>
                  <w:pPr>
                    <w:jc w:val="center"/>
                    <w:rPr>
                      <w:szCs w:val="21"/>
                    </w:rPr>
                  </w:pPr>
                  <w:r>
                    <w:rPr>
                      <w:rFonts w:hint="eastAsia"/>
                      <w:szCs w:val="21"/>
                    </w:rPr>
                    <w:t>24小时平均第95百分位数</w:t>
                  </w:r>
                </w:p>
              </w:tc>
              <w:tc>
                <w:tcPr>
                  <w:tcW w:w="1185" w:type="dxa"/>
                  <w:vAlign w:val="center"/>
                </w:tcPr>
                <w:p>
                  <w:pPr>
                    <w:jc w:val="center"/>
                    <w:rPr>
                      <w:szCs w:val="21"/>
                    </w:rPr>
                  </w:pPr>
                  <w:r>
                    <w:rPr>
                      <w:rFonts w:hint="eastAsia"/>
                      <w:szCs w:val="21"/>
                    </w:rPr>
                    <w:t>1100</w:t>
                  </w:r>
                </w:p>
              </w:tc>
              <w:tc>
                <w:tcPr>
                  <w:tcW w:w="1185" w:type="dxa"/>
                  <w:vAlign w:val="center"/>
                </w:tcPr>
                <w:p>
                  <w:pPr>
                    <w:jc w:val="center"/>
                    <w:rPr>
                      <w:szCs w:val="21"/>
                    </w:rPr>
                  </w:pPr>
                  <w:r>
                    <w:rPr>
                      <w:rFonts w:hint="eastAsia"/>
                      <w:szCs w:val="21"/>
                    </w:rPr>
                    <w:t>4000</w:t>
                  </w:r>
                </w:p>
              </w:tc>
              <w:tc>
                <w:tcPr>
                  <w:tcW w:w="1215" w:type="dxa"/>
                  <w:vAlign w:val="center"/>
                </w:tcPr>
                <w:p>
                  <w:pPr>
                    <w:jc w:val="center"/>
                    <w:rPr>
                      <w:szCs w:val="21"/>
                    </w:rPr>
                  </w:pPr>
                  <w:r>
                    <w:rPr>
                      <w:rFonts w:hint="eastAsia"/>
                      <w:szCs w:val="21"/>
                    </w:rPr>
                    <w:t>27.5</w:t>
                  </w:r>
                </w:p>
              </w:tc>
              <w:tc>
                <w:tcPr>
                  <w:tcW w:w="1080"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szCs w:val="21"/>
                    </w:rPr>
                  </w:pPr>
                  <w:r>
                    <w:rPr>
                      <w:rFonts w:hint="eastAsia"/>
                      <w:szCs w:val="21"/>
                    </w:rPr>
                    <w:t>O</w:t>
                  </w:r>
                  <w:r>
                    <w:rPr>
                      <w:rFonts w:hint="eastAsia"/>
                      <w:szCs w:val="21"/>
                      <w:vertAlign w:val="subscript"/>
                    </w:rPr>
                    <w:t>3</w:t>
                  </w:r>
                </w:p>
              </w:tc>
              <w:tc>
                <w:tcPr>
                  <w:tcW w:w="2211" w:type="dxa"/>
                  <w:vAlign w:val="center"/>
                </w:tcPr>
                <w:p>
                  <w:pPr>
                    <w:jc w:val="center"/>
                    <w:rPr>
                      <w:szCs w:val="21"/>
                    </w:rPr>
                  </w:pPr>
                  <w:r>
                    <w:rPr>
                      <w:rFonts w:hint="eastAsia"/>
                      <w:szCs w:val="21"/>
                    </w:rPr>
                    <w:t>日最大8小时平均值的第90百分位数</w:t>
                  </w:r>
                </w:p>
              </w:tc>
              <w:tc>
                <w:tcPr>
                  <w:tcW w:w="1185" w:type="dxa"/>
                  <w:vAlign w:val="center"/>
                </w:tcPr>
                <w:p>
                  <w:pPr>
                    <w:jc w:val="center"/>
                    <w:rPr>
                      <w:szCs w:val="21"/>
                    </w:rPr>
                  </w:pPr>
                  <w:r>
                    <w:rPr>
                      <w:rFonts w:hint="eastAsia"/>
                      <w:szCs w:val="21"/>
                    </w:rPr>
                    <w:t>179</w:t>
                  </w:r>
                </w:p>
              </w:tc>
              <w:tc>
                <w:tcPr>
                  <w:tcW w:w="1185" w:type="dxa"/>
                  <w:vAlign w:val="center"/>
                </w:tcPr>
                <w:p>
                  <w:pPr>
                    <w:jc w:val="center"/>
                    <w:rPr>
                      <w:szCs w:val="21"/>
                    </w:rPr>
                  </w:pPr>
                  <w:r>
                    <w:rPr>
                      <w:rFonts w:hint="eastAsia"/>
                      <w:szCs w:val="21"/>
                    </w:rPr>
                    <w:t>160</w:t>
                  </w:r>
                </w:p>
              </w:tc>
              <w:tc>
                <w:tcPr>
                  <w:tcW w:w="1215" w:type="dxa"/>
                  <w:vAlign w:val="center"/>
                </w:tcPr>
                <w:p>
                  <w:pPr>
                    <w:jc w:val="center"/>
                    <w:rPr>
                      <w:szCs w:val="21"/>
                    </w:rPr>
                  </w:pPr>
                  <w:r>
                    <w:rPr>
                      <w:rFonts w:hint="eastAsia"/>
                      <w:szCs w:val="21"/>
                    </w:rPr>
                    <w:t>111.9</w:t>
                  </w:r>
                </w:p>
              </w:tc>
              <w:tc>
                <w:tcPr>
                  <w:tcW w:w="1080" w:type="dxa"/>
                  <w:vAlign w:val="center"/>
                </w:tcPr>
                <w:p>
                  <w:pPr>
                    <w:jc w:val="center"/>
                    <w:rPr>
                      <w:szCs w:val="21"/>
                    </w:rPr>
                  </w:pPr>
                  <w:r>
                    <w:rPr>
                      <w:rFonts w:hint="eastAsia"/>
                      <w:szCs w:val="21"/>
                    </w:rPr>
                    <w:t>不达标</w:t>
                  </w:r>
                </w:p>
              </w:tc>
            </w:tr>
          </w:tbl>
          <w:p>
            <w:pPr>
              <w:spacing w:line="360" w:lineRule="auto"/>
              <w:ind w:firstLine="480" w:firstLineChars="200"/>
              <w:rPr>
                <w:sz w:val="24"/>
              </w:rPr>
            </w:pPr>
            <w:r>
              <w:rPr>
                <w:rFonts w:hint="eastAsia"/>
                <w:sz w:val="24"/>
              </w:rPr>
              <w:t>由上表统计结果可知，区域内二氧化硫、二氧化氮年平均浓度均达标；CO 24小时平均第95百分位数浓度达标；可吸入颗粒物、细颗粒物年平均浓度均不达标，日最大8小时平均值的第90百分位数不达标；由此判断项目所在区域为不达标区。</w:t>
            </w:r>
          </w:p>
          <w:p>
            <w:pPr>
              <w:spacing w:line="360" w:lineRule="auto"/>
              <w:ind w:firstLine="480" w:firstLineChars="200"/>
              <w:jc w:val="left"/>
              <w:rPr>
                <w:kern w:val="0"/>
                <w:sz w:val="24"/>
              </w:rPr>
            </w:pPr>
            <w:r>
              <w:rPr>
                <w:sz w:val="24"/>
              </w:rP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该措施能够使得大气环境质量得到有效改善。</w:t>
            </w:r>
          </w:p>
          <w:p>
            <w:pPr>
              <w:widowControl/>
              <w:spacing w:line="360" w:lineRule="auto"/>
              <w:ind w:firstLine="480" w:firstLineChars="200"/>
              <w:jc w:val="left"/>
              <w:rPr>
                <w:sz w:val="24"/>
              </w:rPr>
            </w:pPr>
            <w:r>
              <w:rPr>
                <w:sz w:val="24"/>
              </w:rPr>
              <w:t>依据2020年《安徽泗县经济开发区环境影响区域评估报告》关于大气的现状监测数据。</w:t>
            </w:r>
            <w:r>
              <w:rPr>
                <w:rFonts w:hint="eastAsia"/>
                <w:sz w:val="24"/>
              </w:rPr>
              <w:t>在</w:t>
            </w:r>
            <w:r>
              <w:rPr>
                <w:sz w:val="24"/>
              </w:rPr>
              <w:t>2020年1月8日~2020年1月14日</w:t>
            </w:r>
            <w:r>
              <w:rPr>
                <w:rFonts w:hint="eastAsia"/>
                <w:sz w:val="24"/>
                <w:lang w:bidi="ar"/>
              </w:rPr>
              <w:t>对区域大气环境质量进行了连续</w:t>
            </w:r>
            <w:r>
              <w:rPr>
                <w:sz w:val="24"/>
                <w:lang w:bidi="ar"/>
              </w:rPr>
              <w:t>7</w:t>
            </w:r>
            <w:r>
              <w:rPr>
                <w:rFonts w:hint="eastAsia"/>
                <w:sz w:val="24"/>
                <w:lang w:bidi="ar"/>
              </w:rPr>
              <w:t>天采样监测结果汇总见下表所示：</w:t>
            </w:r>
          </w:p>
          <w:p>
            <w:pPr>
              <w:pStyle w:val="17"/>
              <w:spacing w:before="0" w:beforeAutospacing="0" w:after="0" w:afterAutospacing="0" w:line="360" w:lineRule="auto"/>
              <w:jc w:val="center"/>
              <w:rPr>
                <w:rFonts w:ascii="Times New Roman" w:hAnsi="Times New Roman"/>
                <w:szCs w:val="24"/>
              </w:rPr>
            </w:pPr>
            <w:r>
              <w:rPr>
                <w:rFonts w:ascii="Times New Roman" w:hAnsi="Times New Roman"/>
                <w:b/>
                <w:bCs/>
                <w:color w:val="000000"/>
                <w:kern w:val="2"/>
                <w:szCs w:val="24"/>
                <w:lang w:bidi="ar"/>
              </w:rPr>
              <w:t xml:space="preserve">表3-2  </w:t>
            </w:r>
            <w:r>
              <w:rPr>
                <w:rFonts w:ascii="Times New Roman" w:hAnsi="Times New Roman"/>
                <w:b/>
                <w:bCs/>
                <w:szCs w:val="24"/>
                <w:lang w:val="zh-CN" w:bidi="zh-CN"/>
              </w:rPr>
              <w:t>环</w:t>
            </w:r>
            <w:r>
              <w:rPr>
                <w:rFonts w:cs="宋体"/>
                <w:b/>
                <w:bCs/>
                <w:szCs w:val="24"/>
                <w:lang w:val="zh-CN" w:bidi="zh-CN"/>
              </w:rPr>
              <w:t>境空气质量现状监测结果一览表</w:t>
            </w:r>
          </w:p>
          <w:tbl>
            <w:tblPr>
              <w:tblStyle w:val="23"/>
              <w:tblW w:w="7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22"/>
              <w:gridCol w:w="744"/>
              <w:gridCol w:w="672"/>
              <w:gridCol w:w="840"/>
              <w:gridCol w:w="588"/>
              <w:gridCol w:w="684"/>
              <w:gridCol w:w="756"/>
              <w:gridCol w:w="732"/>
              <w:gridCol w:w="51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restart"/>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监测点位</w:t>
                  </w:r>
                </w:p>
              </w:tc>
              <w:tc>
                <w:tcPr>
                  <w:tcW w:w="722" w:type="dxa"/>
                  <w:vMerge w:val="restart"/>
                  <w:vAlign w:val="center"/>
                </w:tcPr>
                <w:p>
                  <w:pPr>
                    <w:pStyle w:val="17"/>
                    <w:spacing w:before="0" w:beforeAutospacing="0" w:after="0" w:afterAutospacing="0"/>
                    <w:jc w:val="center"/>
                    <w:rPr>
                      <w:rFonts w:ascii="Times New Roman" w:hAnsi="Times New Roman"/>
                      <w:b/>
                      <w:bCs/>
                      <w:color w:val="000000"/>
                      <w:kern w:val="2"/>
                      <w:sz w:val="21"/>
                      <w:szCs w:val="21"/>
                      <w:lang w:bidi="ar"/>
                    </w:rPr>
                  </w:pPr>
                  <w:r>
                    <w:rPr>
                      <w:rFonts w:ascii="Times New Roman" w:hAnsi="Times New Roman"/>
                      <w:b/>
                      <w:bCs/>
                      <w:color w:val="000000"/>
                      <w:kern w:val="2"/>
                      <w:sz w:val="21"/>
                      <w:szCs w:val="21"/>
                      <w:lang w:bidi="ar"/>
                    </w:rPr>
                    <w:t>方位距离（m）</w:t>
                  </w:r>
                </w:p>
              </w:tc>
              <w:tc>
                <w:tcPr>
                  <w:tcW w:w="744" w:type="dxa"/>
                  <w:vMerge w:val="restart"/>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监测项目</w:t>
                  </w:r>
                </w:p>
              </w:tc>
              <w:tc>
                <w:tcPr>
                  <w:tcW w:w="2784" w:type="dxa"/>
                  <w:gridSpan w:val="4"/>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时均（或一次）浓度值</w:t>
                  </w:r>
                </w:p>
              </w:tc>
              <w:tc>
                <w:tcPr>
                  <w:tcW w:w="2684" w:type="dxa"/>
                  <w:gridSpan w:val="4"/>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日平均浓度值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pStyle w:val="17"/>
                    <w:spacing w:before="0" w:beforeAutospacing="0" w:after="0" w:afterAutospacing="0"/>
                    <w:jc w:val="center"/>
                    <w:rPr>
                      <w:rFonts w:ascii="Times New Roman" w:hAnsi="Times New Roman"/>
                      <w:sz w:val="21"/>
                      <w:szCs w:val="21"/>
                    </w:rPr>
                  </w:pPr>
                </w:p>
              </w:tc>
              <w:tc>
                <w:tcPr>
                  <w:tcW w:w="722" w:type="dxa"/>
                  <w:vMerge w:val="continue"/>
                  <w:vAlign w:val="center"/>
                </w:tcPr>
                <w:p>
                  <w:pPr>
                    <w:pStyle w:val="17"/>
                    <w:spacing w:before="0" w:beforeAutospacing="0" w:after="0" w:afterAutospacing="0"/>
                    <w:jc w:val="center"/>
                    <w:rPr>
                      <w:rFonts w:ascii="Times New Roman" w:hAnsi="Times New Roman"/>
                      <w:sz w:val="21"/>
                      <w:szCs w:val="21"/>
                    </w:rPr>
                  </w:pPr>
                </w:p>
              </w:tc>
              <w:tc>
                <w:tcPr>
                  <w:tcW w:w="744" w:type="dxa"/>
                  <w:vMerge w:val="continue"/>
                  <w:vAlign w:val="center"/>
                </w:tcPr>
                <w:p>
                  <w:pPr>
                    <w:pStyle w:val="17"/>
                    <w:spacing w:before="0" w:beforeAutospacing="0" w:after="0" w:afterAutospacing="0"/>
                    <w:jc w:val="center"/>
                    <w:rPr>
                      <w:rFonts w:ascii="Times New Roman" w:hAnsi="Times New Roman"/>
                      <w:sz w:val="21"/>
                      <w:szCs w:val="21"/>
                    </w:rPr>
                  </w:pPr>
                </w:p>
              </w:tc>
              <w:tc>
                <w:tcPr>
                  <w:tcW w:w="1512" w:type="dxa"/>
                  <w:gridSpan w:val="2"/>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浓度范围（mg/m</w:t>
                  </w:r>
                  <w:r>
                    <w:rPr>
                      <w:rFonts w:ascii="Times New Roman" w:hAnsi="Times New Roman"/>
                      <w:b/>
                      <w:bCs/>
                      <w:color w:val="000000"/>
                      <w:kern w:val="2"/>
                      <w:sz w:val="21"/>
                      <w:szCs w:val="21"/>
                      <w:vertAlign w:val="superscript"/>
                      <w:lang w:bidi="ar"/>
                    </w:rPr>
                    <w:t>3</w:t>
                  </w:r>
                  <w:r>
                    <w:rPr>
                      <w:rFonts w:ascii="Times New Roman" w:hAnsi="Times New Roman"/>
                      <w:b/>
                      <w:bCs/>
                      <w:color w:val="000000"/>
                      <w:kern w:val="2"/>
                      <w:sz w:val="21"/>
                      <w:szCs w:val="21"/>
                      <w:lang w:bidi="ar"/>
                    </w:rPr>
                    <w:t>）</w:t>
                  </w:r>
                </w:p>
              </w:tc>
              <w:tc>
                <w:tcPr>
                  <w:tcW w:w="588" w:type="dxa"/>
                  <w:vMerge w:val="restart"/>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超标数</w:t>
                  </w:r>
                </w:p>
              </w:tc>
              <w:tc>
                <w:tcPr>
                  <w:tcW w:w="684" w:type="dxa"/>
                  <w:vMerge w:val="restart"/>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超标率（%）</w:t>
                  </w:r>
                </w:p>
              </w:tc>
              <w:tc>
                <w:tcPr>
                  <w:tcW w:w="1488" w:type="dxa"/>
                  <w:gridSpan w:val="2"/>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浓度范围（mg/m</w:t>
                  </w:r>
                  <w:r>
                    <w:rPr>
                      <w:rFonts w:hint="eastAsia" w:ascii="Times New Roman" w:hAnsi="Times New Roman"/>
                      <w:b/>
                      <w:bCs/>
                      <w:color w:val="000000"/>
                      <w:kern w:val="2"/>
                      <w:sz w:val="21"/>
                      <w:szCs w:val="21"/>
                      <w:vertAlign w:val="superscript"/>
                      <w:lang w:bidi="ar"/>
                    </w:rPr>
                    <w:t>3</w:t>
                  </w:r>
                  <w:r>
                    <w:rPr>
                      <w:rFonts w:hint="eastAsia" w:ascii="Times New Roman" w:hAnsi="Times New Roman"/>
                      <w:b/>
                      <w:bCs/>
                      <w:color w:val="000000"/>
                      <w:kern w:val="2"/>
                      <w:sz w:val="21"/>
                      <w:szCs w:val="21"/>
                      <w:lang w:bidi="ar"/>
                    </w:rPr>
                    <w:t>）</w:t>
                  </w:r>
                </w:p>
              </w:tc>
              <w:tc>
                <w:tcPr>
                  <w:tcW w:w="516" w:type="dxa"/>
                  <w:vMerge w:val="restart"/>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超标数</w:t>
                  </w:r>
                </w:p>
              </w:tc>
              <w:tc>
                <w:tcPr>
                  <w:tcW w:w="680" w:type="dxa"/>
                  <w:vMerge w:val="restart"/>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Merge w:val="continue"/>
                  <w:vAlign w:val="center"/>
                </w:tcPr>
                <w:p>
                  <w:pPr>
                    <w:pStyle w:val="17"/>
                    <w:spacing w:before="0" w:beforeAutospacing="0" w:after="0" w:afterAutospacing="0"/>
                    <w:jc w:val="center"/>
                    <w:rPr>
                      <w:rFonts w:ascii="Times New Roman" w:hAnsi="Times New Roman"/>
                      <w:sz w:val="21"/>
                      <w:szCs w:val="21"/>
                    </w:rPr>
                  </w:pPr>
                </w:p>
              </w:tc>
              <w:tc>
                <w:tcPr>
                  <w:tcW w:w="722" w:type="dxa"/>
                  <w:vMerge w:val="continue"/>
                  <w:vAlign w:val="center"/>
                </w:tcPr>
                <w:p>
                  <w:pPr>
                    <w:pStyle w:val="17"/>
                    <w:spacing w:before="0" w:beforeAutospacing="0" w:after="0" w:afterAutospacing="0"/>
                    <w:jc w:val="center"/>
                    <w:rPr>
                      <w:rFonts w:ascii="Times New Roman" w:hAnsi="Times New Roman"/>
                      <w:sz w:val="21"/>
                      <w:szCs w:val="21"/>
                    </w:rPr>
                  </w:pPr>
                </w:p>
              </w:tc>
              <w:tc>
                <w:tcPr>
                  <w:tcW w:w="744" w:type="dxa"/>
                  <w:vMerge w:val="continue"/>
                  <w:vAlign w:val="center"/>
                </w:tcPr>
                <w:p>
                  <w:pPr>
                    <w:pStyle w:val="17"/>
                    <w:spacing w:before="0" w:beforeAutospacing="0" w:after="0" w:afterAutospacing="0"/>
                    <w:jc w:val="center"/>
                    <w:rPr>
                      <w:rFonts w:ascii="Times New Roman" w:hAnsi="Times New Roman"/>
                      <w:sz w:val="21"/>
                      <w:szCs w:val="21"/>
                    </w:rPr>
                  </w:pPr>
                </w:p>
              </w:tc>
              <w:tc>
                <w:tcPr>
                  <w:tcW w:w="672" w:type="dxa"/>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最小值</w:t>
                  </w:r>
                </w:p>
              </w:tc>
              <w:tc>
                <w:tcPr>
                  <w:tcW w:w="840" w:type="dxa"/>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b/>
                      <w:bCs/>
                      <w:color w:val="000000"/>
                      <w:kern w:val="2"/>
                      <w:sz w:val="21"/>
                      <w:szCs w:val="21"/>
                      <w:lang w:bidi="ar"/>
                    </w:rPr>
                    <w:t>最大值</w:t>
                  </w:r>
                </w:p>
              </w:tc>
              <w:tc>
                <w:tcPr>
                  <w:tcW w:w="588" w:type="dxa"/>
                  <w:vMerge w:val="continue"/>
                  <w:vAlign w:val="center"/>
                </w:tcPr>
                <w:p>
                  <w:pPr>
                    <w:pStyle w:val="17"/>
                    <w:spacing w:before="0" w:beforeAutospacing="0" w:after="0" w:afterAutospacing="0"/>
                    <w:jc w:val="center"/>
                    <w:rPr>
                      <w:rFonts w:ascii="Times New Roman" w:hAnsi="Times New Roman"/>
                      <w:sz w:val="21"/>
                      <w:szCs w:val="21"/>
                    </w:rPr>
                  </w:pPr>
                </w:p>
              </w:tc>
              <w:tc>
                <w:tcPr>
                  <w:tcW w:w="684" w:type="dxa"/>
                  <w:vMerge w:val="continue"/>
                  <w:vAlign w:val="center"/>
                </w:tcPr>
                <w:p>
                  <w:pPr>
                    <w:pStyle w:val="17"/>
                    <w:spacing w:before="0" w:beforeAutospacing="0" w:after="0" w:afterAutospacing="0"/>
                    <w:jc w:val="center"/>
                    <w:rPr>
                      <w:rFonts w:ascii="Times New Roman" w:hAnsi="Times New Roman"/>
                      <w:sz w:val="21"/>
                      <w:szCs w:val="21"/>
                    </w:rPr>
                  </w:pPr>
                </w:p>
              </w:tc>
              <w:tc>
                <w:tcPr>
                  <w:tcW w:w="756" w:type="dxa"/>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最小值</w:t>
                  </w:r>
                </w:p>
              </w:tc>
              <w:tc>
                <w:tcPr>
                  <w:tcW w:w="732" w:type="dxa"/>
                  <w:vAlign w:val="center"/>
                </w:tcPr>
                <w:p>
                  <w:pPr>
                    <w:pStyle w:val="17"/>
                    <w:spacing w:before="0" w:beforeAutospacing="0" w:after="0" w:afterAutospacing="0"/>
                    <w:jc w:val="center"/>
                    <w:rPr>
                      <w:rFonts w:ascii="Times New Roman" w:hAnsi="Times New Roman"/>
                      <w:sz w:val="21"/>
                      <w:szCs w:val="21"/>
                    </w:rPr>
                  </w:pPr>
                  <w:r>
                    <w:rPr>
                      <w:rFonts w:hint="eastAsia" w:ascii="Times New Roman" w:hAnsi="Times New Roman"/>
                      <w:b/>
                      <w:bCs/>
                      <w:color w:val="000000"/>
                      <w:kern w:val="2"/>
                      <w:sz w:val="21"/>
                      <w:szCs w:val="21"/>
                      <w:lang w:bidi="ar"/>
                    </w:rPr>
                    <w:t>最大值</w:t>
                  </w:r>
                </w:p>
              </w:tc>
              <w:tc>
                <w:tcPr>
                  <w:tcW w:w="516" w:type="dxa"/>
                  <w:vMerge w:val="continue"/>
                  <w:vAlign w:val="center"/>
                </w:tcPr>
                <w:p>
                  <w:pPr>
                    <w:pStyle w:val="17"/>
                    <w:spacing w:before="0" w:beforeAutospacing="0" w:after="0" w:afterAutospacing="0"/>
                    <w:jc w:val="center"/>
                    <w:rPr>
                      <w:rFonts w:ascii="Times New Roman" w:hAnsi="Times New Roman"/>
                      <w:sz w:val="21"/>
                      <w:szCs w:val="21"/>
                    </w:rPr>
                  </w:pPr>
                </w:p>
              </w:tc>
              <w:tc>
                <w:tcPr>
                  <w:tcW w:w="680" w:type="dxa"/>
                  <w:vMerge w:val="continue"/>
                  <w:vAlign w:val="center"/>
                </w:tcPr>
                <w:p>
                  <w:pPr>
                    <w:pStyle w:val="17"/>
                    <w:spacing w:before="0" w:beforeAutospacing="0" w:after="0" w:afterAutospacing="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G1原丁大庄</w:t>
                  </w:r>
                </w:p>
              </w:tc>
              <w:tc>
                <w:tcPr>
                  <w:tcW w:w="722" w:type="dxa"/>
                  <w:vAlign w:val="center"/>
                </w:tcPr>
                <w:p>
                  <w:pPr>
                    <w:pStyle w:val="17"/>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南2478</w:t>
                  </w:r>
                </w:p>
              </w:tc>
              <w:tc>
                <w:tcPr>
                  <w:tcW w:w="744" w:type="dxa"/>
                  <w:vAlign w:val="center"/>
                </w:tcPr>
                <w:p>
                  <w:pPr>
                    <w:pStyle w:val="57"/>
                    <w:rPr>
                      <w:kern w:val="2"/>
                      <w:sz w:val="21"/>
                      <w:szCs w:val="21"/>
                      <w:lang w:eastAsia="zh-CN"/>
                    </w:rPr>
                  </w:pPr>
                  <w:r>
                    <w:rPr>
                      <w:rFonts w:hint="eastAsia"/>
                      <w:kern w:val="2"/>
                      <w:sz w:val="21"/>
                      <w:szCs w:val="21"/>
                      <w:lang w:eastAsia="zh-CN"/>
                    </w:rPr>
                    <w:t>非甲烷总烃</w:t>
                  </w:r>
                </w:p>
              </w:tc>
              <w:tc>
                <w:tcPr>
                  <w:tcW w:w="672" w:type="dxa"/>
                  <w:vAlign w:val="center"/>
                </w:tcPr>
                <w:p>
                  <w:pPr>
                    <w:pStyle w:val="57"/>
                    <w:rPr>
                      <w:sz w:val="21"/>
                      <w:szCs w:val="21"/>
                      <w:lang w:eastAsia="zh-CN"/>
                    </w:rPr>
                  </w:pPr>
                  <w:r>
                    <w:rPr>
                      <w:sz w:val="21"/>
                      <w:szCs w:val="21"/>
                      <w:lang w:eastAsia="zh-CN"/>
                    </w:rPr>
                    <w:t>0.65</w:t>
                  </w:r>
                </w:p>
              </w:tc>
              <w:tc>
                <w:tcPr>
                  <w:tcW w:w="840" w:type="dxa"/>
                  <w:vAlign w:val="center"/>
                </w:tcPr>
                <w:p>
                  <w:pPr>
                    <w:pStyle w:val="57"/>
                    <w:rPr>
                      <w:sz w:val="21"/>
                      <w:szCs w:val="21"/>
                      <w:lang w:eastAsia="zh-CN"/>
                    </w:rPr>
                  </w:pPr>
                  <w:r>
                    <w:rPr>
                      <w:sz w:val="21"/>
                      <w:szCs w:val="21"/>
                      <w:lang w:eastAsia="zh-CN"/>
                    </w:rPr>
                    <w:t>0.81</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G2赵魏小学</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西南2640</w:t>
                  </w:r>
                </w:p>
              </w:tc>
              <w:tc>
                <w:tcPr>
                  <w:tcW w:w="744" w:type="dxa"/>
                  <w:vAlign w:val="center"/>
                </w:tcPr>
                <w:p>
                  <w:pPr>
                    <w:jc w:val="center"/>
                    <w:rPr>
                      <w:szCs w:val="21"/>
                    </w:rPr>
                  </w:pPr>
                  <w:r>
                    <w:rPr>
                      <w:rFonts w:hint="eastAsia"/>
                      <w:szCs w:val="21"/>
                    </w:rPr>
                    <w:t>非甲烷总烃</w:t>
                  </w:r>
                </w:p>
              </w:tc>
              <w:tc>
                <w:tcPr>
                  <w:tcW w:w="672" w:type="dxa"/>
                  <w:vAlign w:val="center"/>
                </w:tcPr>
                <w:p>
                  <w:pPr>
                    <w:pStyle w:val="57"/>
                    <w:rPr>
                      <w:sz w:val="21"/>
                      <w:szCs w:val="21"/>
                      <w:lang w:eastAsia="zh-CN"/>
                    </w:rPr>
                  </w:pPr>
                  <w:r>
                    <w:rPr>
                      <w:sz w:val="21"/>
                      <w:szCs w:val="21"/>
                      <w:lang w:eastAsia="zh-CN"/>
                    </w:rPr>
                    <w:t>0.56</w:t>
                  </w:r>
                </w:p>
              </w:tc>
              <w:tc>
                <w:tcPr>
                  <w:tcW w:w="840" w:type="dxa"/>
                  <w:vAlign w:val="center"/>
                </w:tcPr>
                <w:p>
                  <w:pPr>
                    <w:pStyle w:val="57"/>
                    <w:rPr>
                      <w:sz w:val="21"/>
                      <w:szCs w:val="21"/>
                      <w:lang w:eastAsia="zh-CN"/>
                    </w:rPr>
                  </w:pPr>
                  <w:r>
                    <w:rPr>
                      <w:sz w:val="21"/>
                      <w:szCs w:val="21"/>
                      <w:lang w:eastAsia="zh-CN"/>
                    </w:rPr>
                    <w:t>0.75</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G3原小王庄</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西南2003</w:t>
                  </w:r>
                </w:p>
              </w:tc>
              <w:tc>
                <w:tcPr>
                  <w:tcW w:w="744" w:type="dxa"/>
                  <w:vAlign w:val="center"/>
                </w:tcPr>
                <w:p>
                  <w:pPr>
                    <w:jc w:val="center"/>
                    <w:rPr>
                      <w:szCs w:val="21"/>
                    </w:rPr>
                  </w:pPr>
                  <w:r>
                    <w:rPr>
                      <w:rFonts w:hint="eastAsia"/>
                      <w:szCs w:val="21"/>
                    </w:rPr>
                    <w:t>非甲烷总烃</w:t>
                  </w:r>
                </w:p>
              </w:tc>
              <w:tc>
                <w:tcPr>
                  <w:tcW w:w="672" w:type="dxa"/>
                  <w:vAlign w:val="center"/>
                </w:tcPr>
                <w:p>
                  <w:pPr>
                    <w:pStyle w:val="57"/>
                    <w:rPr>
                      <w:sz w:val="21"/>
                      <w:szCs w:val="21"/>
                      <w:lang w:eastAsia="zh-CN"/>
                    </w:rPr>
                  </w:pPr>
                  <w:r>
                    <w:rPr>
                      <w:sz w:val="21"/>
                      <w:szCs w:val="21"/>
                      <w:lang w:eastAsia="zh-CN"/>
                    </w:rPr>
                    <w:t>0.57</w:t>
                  </w:r>
                </w:p>
              </w:tc>
              <w:tc>
                <w:tcPr>
                  <w:tcW w:w="840" w:type="dxa"/>
                  <w:vAlign w:val="center"/>
                </w:tcPr>
                <w:p>
                  <w:pPr>
                    <w:pStyle w:val="57"/>
                    <w:rPr>
                      <w:sz w:val="21"/>
                      <w:szCs w:val="21"/>
                      <w:lang w:eastAsia="zh-CN"/>
                    </w:rPr>
                  </w:pPr>
                  <w:r>
                    <w:rPr>
                      <w:sz w:val="21"/>
                      <w:szCs w:val="21"/>
                      <w:lang w:eastAsia="zh-CN"/>
                    </w:rPr>
                    <w:t>0.78</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G6曹苗村</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西北2322</w:t>
                  </w:r>
                </w:p>
              </w:tc>
              <w:tc>
                <w:tcPr>
                  <w:tcW w:w="744" w:type="dxa"/>
                  <w:vAlign w:val="center"/>
                </w:tcPr>
                <w:p>
                  <w:pPr>
                    <w:jc w:val="center"/>
                    <w:rPr>
                      <w:szCs w:val="21"/>
                    </w:rPr>
                  </w:pPr>
                  <w:r>
                    <w:rPr>
                      <w:rFonts w:hint="eastAsia"/>
                      <w:szCs w:val="21"/>
                    </w:rPr>
                    <w:t>非甲烷总烃</w:t>
                  </w:r>
                </w:p>
              </w:tc>
              <w:tc>
                <w:tcPr>
                  <w:tcW w:w="672" w:type="dxa"/>
                  <w:vAlign w:val="center"/>
                </w:tcPr>
                <w:p>
                  <w:pPr>
                    <w:pStyle w:val="57"/>
                    <w:rPr>
                      <w:sz w:val="21"/>
                      <w:szCs w:val="21"/>
                      <w:lang w:eastAsia="zh-CN"/>
                    </w:rPr>
                  </w:pPr>
                  <w:r>
                    <w:rPr>
                      <w:sz w:val="21"/>
                      <w:szCs w:val="21"/>
                      <w:lang w:eastAsia="zh-CN"/>
                    </w:rPr>
                    <w:t>0.59</w:t>
                  </w:r>
                </w:p>
              </w:tc>
              <w:tc>
                <w:tcPr>
                  <w:tcW w:w="840" w:type="dxa"/>
                  <w:vAlign w:val="center"/>
                </w:tcPr>
                <w:p>
                  <w:pPr>
                    <w:pStyle w:val="57"/>
                    <w:rPr>
                      <w:sz w:val="21"/>
                      <w:szCs w:val="21"/>
                      <w:lang w:eastAsia="zh-CN"/>
                    </w:rPr>
                  </w:pPr>
                  <w:r>
                    <w:rPr>
                      <w:sz w:val="21"/>
                      <w:szCs w:val="21"/>
                      <w:lang w:eastAsia="zh-CN"/>
                    </w:rPr>
                    <w:t>0.74</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G8原东发社区</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西南805</w:t>
                  </w:r>
                </w:p>
              </w:tc>
              <w:tc>
                <w:tcPr>
                  <w:tcW w:w="744" w:type="dxa"/>
                  <w:vAlign w:val="center"/>
                </w:tcPr>
                <w:p>
                  <w:pPr>
                    <w:jc w:val="center"/>
                    <w:rPr>
                      <w:szCs w:val="21"/>
                    </w:rPr>
                  </w:pPr>
                  <w:r>
                    <w:rPr>
                      <w:rFonts w:hint="eastAsia"/>
                      <w:szCs w:val="21"/>
                    </w:rPr>
                    <w:t>非甲烷总烃</w:t>
                  </w:r>
                </w:p>
              </w:tc>
              <w:tc>
                <w:tcPr>
                  <w:tcW w:w="672" w:type="dxa"/>
                  <w:vAlign w:val="center"/>
                </w:tcPr>
                <w:p>
                  <w:pPr>
                    <w:pStyle w:val="57"/>
                    <w:rPr>
                      <w:sz w:val="21"/>
                      <w:szCs w:val="21"/>
                      <w:lang w:eastAsia="zh-CN"/>
                    </w:rPr>
                  </w:pPr>
                  <w:r>
                    <w:rPr>
                      <w:sz w:val="21"/>
                      <w:szCs w:val="21"/>
                      <w:lang w:eastAsia="zh-CN"/>
                    </w:rPr>
                    <w:t>0.52</w:t>
                  </w:r>
                </w:p>
              </w:tc>
              <w:tc>
                <w:tcPr>
                  <w:tcW w:w="840" w:type="dxa"/>
                  <w:vAlign w:val="center"/>
                </w:tcPr>
                <w:p>
                  <w:pPr>
                    <w:pStyle w:val="57"/>
                    <w:rPr>
                      <w:sz w:val="21"/>
                      <w:szCs w:val="21"/>
                      <w:lang w:eastAsia="zh-CN"/>
                    </w:rPr>
                  </w:pPr>
                  <w:r>
                    <w:rPr>
                      <w:sz w:val="21"/>
                      <w:szCs w:val="21"/>
                      <w:lang w:eastAsia="zh-CN"/>
                    </w:rPr>
                    <w:t>0.67</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G10府前广场</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西北2368</w:t>
                  </w:r>
                </w:p>
              </w:tc>
              <w:tc>
                <w:tcPr>
                  <w:tcW w:w="744" w:type="dxa"/>
                  <w:vAlign w:val="center"/>
                </w:tcPr>
                <w:p>
                  <w:pPr>
                    <w:jc w:val="center"/>
                    <w:rPr>
                      <w:szCs w:val="21"/>
                    </w:rPr>
                  </w:pPr>
                  <w:r>
                    <w:rPr>
                      <w:rFonts w:hint="eastAsia"/>
                      <w:szCs w:val="21"/>
                    </w:rPr>
                    <w:t>非甲烷总烃</w:t>
                  </w:r>
                </w:p>
              </w:tc>
              <w:tc>
                <w:tcPr>
                  <w:tcW w:w="672" w:type="dxa"/>
                  <w:vAlign w:val="center"/>
                </w:tcPr>
                <w:p>
                  <w:pPr>
                    <w:pStyle w:val="57"/>
                    <w:rPr>
                      <w:sz w:val="21"/>
                      <w:szCs w:val="21"/>
                      <w:lang w:eastAsia="zh-CN"/>
                    </w:rPr>
                  </w:pPr>
                  <w:r>
                    <w:rPr>
                      <w:sz w:val="21"/>
                      <w:szCs w:val="21"/>
                      <w:lang w:eastAsia="zh-CN"/>
                    </w:rPr>
                    <w:t>0.58</w:t>
                  </w:r>
                </w:p>
              </w:tc>
              <w:tc>
                <w:tcPr>
                  <w:tcW w:w="840" w:type="dxa"/>
                  <w:vAlign w:val="center"/>
                </w:tcPr>
                <w:p>
                  <w:pPr>
                    <w:pStyle w:val="57"/>
                    <w:rPr>
                      <w:sz w:val="21"/>
                      <w:szCs w:val="21"/>
                      <w:lang w:eastAsia="zh-CN"/>
                    </w:rPr>
                  </w:pPr>
                  <w:r>
                    <w:rPr>
                      <w:sz w:val="21"/>
                      <w:szCs w:val="21"/>
                      <w:lang w:eastAsia="zh-CN"/>
                    </w:rPr>
                    <w:t>0.68</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pStyle w:val="17"/>
                    <w:spacing w:before="0" w:beforeAutospacing="0" w:after="0" w:afterAutospacing="0"/>
                    <w:jc w:val="center"/>
                    <w:rPr>
                      <w:rFonts w:ascii="Times New Roman" w:hAnsi="Times New Roman"/>
                      <w:sz w:val="21"/>
                      <w:szCs w:val="21"/>
                    </w:rPr>
                  </w:pPr>
                  <w:r>
                    <w:rPr>
                      <w:rFonts w:ascii="Times New Roman" w:hAnsi="Times New Roman"/>
                      <w:color w:val="000000"/>
                      <w:kern w:val="2"/>
                      <w:sz w:val="21"/>
                      <w:szCs w:val="21"/>
                      <w:lang w:bidi="ar"/>
                    </w:rPr>
                    <w:t>G11汴光社区</w:t>
                  </w:r>
                </w:p>
              </w:tc>
              <w:tc>
                <w:tcPr>
                  <w:tcW w:w="722" w:type="dxa"/>
                  <w:vAlign w:val="center"/>
                </w:tcPr>
                <w:p>
                  <w:pPr>
                    <w:pStyle w:val="17"/>
                    <w:spacing w:before="0" w:beforeAutospacing="0" w:after="0" w:afterAutospacing="0"/>
                    <w:jc w:val="center"/>
                    <w:rPr>
                      <w:rFonts w:ascii="Times New Roman" w:hAnsi="Times New Roman"/>
                      <w:color w:val="000000"/>
                      <w:kern w:val="2"/>
                      <w:sz w:val="21"/>
                      <w:szCs w:val="21"/>
                      <w:lang w:bidi="ar"/>
                    </w:rPr>
                  </w:pPr>
                  <w:r>
                    <w:rPr>
                      <w:rFonts w:ascii="Times New Roman" w:hAnsi="Times New Roman"/>
                      <w:color w:val="000000"/>
                      <w:kern w:val="2"/>
                      <w:sz w:val="21"/>
                      <w:szCs w:val="21"/>
                      <w:lang w:bidi="ar"/>
                    </w:rPr>
                    <w:t>西北3474</w:t>
                  </w:r>
                </w:p>
              </w:tc>
              <w:tc>
                <w:tcPr>
                  <w:tcW w:w="744" w:type="dxa"/>
                  <w:vAlign w:val="center"/>
                </w:tcPr>
                <w:p>
                  <w:pPr>
                    <w:pStyle w:val="57"/>
                    <w:rPr>
                      <w:sz w:val="21"/>
                      <w:szCs w:val="21"/>
                      <w:lang w:eastAsia="zh-CN"/>
                    </w:rPr>
                  </w:pPr>
                  <w:r>
                    <w:rPr>
                      <w:rFonts w:hint="eastAsia"/>
                      <w:kern w:val="2"/>
                      <w:sz w:val="21"/>
                      <w:szCs w:val="21"/>
                      <w:lang w:eastAsia="zh-CN"/>
                    </w:rPr>
                    <w:t>非甲烷总烃</w:t>
                  </w:r>
                </w:p>
              </w:tc>
              <w:tc>
                <w:tcPr>
                  <w:tcW w:w="672" w:type="dxa"/>
                  <w:vAlign w:val="center"/>
                </w:tcPr>
                <w:p>
                  <w:pPr>
                    <w:pStyle w:val="57"/>
                    <w:rPr>
                      <w:sz w:val="21"/>
                      <w:szCs w:val="21"/>
                      <w:lang w:eastAsia="zh-CN"/>
                    </w:rPr>
                  </w:pPr>
                  <w:r>
                    <w:rPr>
                      <w:sz w:val="21"/>
                      <w:szCs w:val="21"/>
                      <w:lang w:eastAsia="zh-CN"/>
                    </w:rPr>
                    <w:t>0.55</w:t>
                  </w:r>
                </w:p>
              </w:tc>
              <w:tc>
                <w:tcPr>
                  <w:tcW w:w="840" w:type="dxa"/>
                  <w:vAlign w:val="center"/>
                </w:tcPr>
                <w:p>
                  <w:pPr>
                    <w:pStyle w:val="57"/>
                    <w:rPr>
                      <w:sz w:val="21"/>
                      <w:szCs w:val="21"/>
                      <w:lang w:eastAsia="zh-CN"/>
                    </w:rPr>
                  </w:pPr>
                  <w:r>
                    <w:rPr>
                      <w:sz w:val="21"/>
                      <w:szCs w:val="21"/>
                      <w:lang w:eastAsia="zh-CN"/>
                    </w:rPr>
                    <w:t>0.71</w:t>
                  </w:r>
                </w:p>
              </w:tc>
              <w:tc>
                <w:tcPr>
                  <w:tcW w:w="588" w:type="dxa"/>
                  <w:vAlign w:val="center"/>
                </w:tcPr>
                <w:p>
                  <w:pPr>
                    <w:pStyle w:val="57"/>
                    <w:rPr>
                      <w:sz w:val="21"/>
                      <w:szCs w:val="21"/>
                      <w:lang w:eastAsia="zh-CN"/>
                    </w:rPr>
                  </w:pPr>
                  <w:r>
                    <w:rPr>
                      <w:w w:val="98"/>
                      <w:sz w:val="21"/>
                      <w:szCs w:val="21"/>
                      <w:lang w:eastAsia="zh-CN"/>
                    </w:rPr>
                    <w:t>0</w:t>
                  </w:r>
                </w:p>
              </w:tc>
              <w:tc>
                <w:tcPr>
                  <w:tcW w:w="684" w:type="dxa"/>
                  <w:vAlign w:val="center"/>
                </w:tcPr>
                <w:p>
                  <w:pPr>
                    <w:pStyle w:val="57"/>
                    <w:rPr>
                      <w:sz w:val="21"/>
                      <w:szCs w:val="21"/>
                      <w:lang w:eastAsia="zh-CN"/>
                    </w:rPr>
                  </w:pPr>
                  <w:r>
                    <w:rPr>
                      <w:w w:val="98"/>
                      <w:sz w:val="21"/>
                      <w:szCs w:val="21"/>
                      <w:lang w:eastAsia="zh-CN"/>
                    </w:rPr>
                    <w:t>0</w:t>
                  </w:r>
                </w:p>
              </w:tc>
              <w:tc>
                <w:tcPr>
                  <w:tcW w:w="756" w:type="dxa"/>
                  <w:vAlign w:val="center"/>
                </w:tcPr>
                <w:p>
                  <w:pPr>
                    <w:pStyle w:val="57"/>
                    <w:rPr>
                      <w:sz w:val="21"/>
                      <w:szCs w:val="21"/>
                      <w:lang w:eastAsia="zh-CN"/>
                    </w:rPr>
                  </w:pPr>
                  <w:r>
                    <w:rPr>
                      <w:w w:val="98"/>
                      <w:sz w:val="21"/>
                      <w:szCs w:val="21"/>
                      <w:lang w:eastAsia="zh-CN"/>
                    </w:rPr>
                    <w:t>/</w:t>
                  </w:r>
                </w:p>
              </w:tc>
              <w:tc>
                <w:tcPr>
                  <w:tcW w:w="732" w:type="dxa"/>
                  <w:vAlign w:val="center"/>
                </w:tcPr>
                <w:p>
                  <w:pPr>
                    <w:pStyle w:val="57"/>
                    <w:rPr>
                      <w:sz w:val="21"/>
                      <w:szCs w:val="21"/>
                      <w:lang w:eastAsia="zh-CN"/>
                    </w:rPr>
                  </w:pPr>
                  <w:r>
                    <w:rPr>
                      <w:w w:val="98"/>
                      <w:sz w:val="21"/>
                      <w:szCs w:val="21"/>
                      <w:lang w:eastAsia="zh-CN"/>
                    </w:rPr>
                    <w:t>/</w:t>
                  </w:r>
                </w:p>
              </w:tc>
              <w:tc>
                <w:tcPr>
                  <w:tcW w:w="516" w:type="dxa"/>
                  <w:vAlign w:val="center"/>
                </w:tcPr>
                <w:p>
                  <w:pPr>
                    <w:pStyle w:val="57"/>
                    <w:rPr>
                      <w:sz w:val="21"/>
                      <w:szCs w:val="21"/>
                      <w:lang w:eastAsia="zh-CN"/>
                    </w:rPr>
                  </w:pPr>
                  <w:r>
                    <w:rPr>
                      <w:w w:val="98"/>
                      <w:sz w:val="21"/>
                      <w:szCs w:val="21"/>
                      <w:lang w:eastAsia="zh-CN"/>
                    </w:rPr>
                    <w:t>/</w:t>
                  </w:r>
                </w:p>
              </w:tc>
              <w:tc>
                <w:tcPr>
                  <w:tcW w:w="680" w:type="dxa"/>
                  <w:vAlign w:val="center"/>
                </w:tcPr>
                <w:p>
                  <w:pPr>
                    <w:pStyle w:val="57"/>
                    <w:rPr>
                      <w:sz w:val="21"/>
                      <w:szCs w:val="21"/>
                      <w:lang w:eastAsia="zh-CN"/>
                    </w:rPr>
                  </w:pPr>
                  <w:r>
                    <w:rPr>
                      <w:w w:val="98"/>
                      <w:sz w:val="21"/>
                      <w:szCs w:val="21"/>
                      <w:lang w:eastAsia="zh-CN"/>
                    </w:rPr>
                    <w:t>/</w:t>
                  </w:r>
                </w:p>
              </w:tc>
            </w:tr>
          </w:tbl>
          <w:p>
            <w:pPr>
              <w:spacing w:line="360" w:lineRule="auto"/>
              <w:ind w:firstLine="480" w:firstLineChars="200"/>
              <w:rPr>
                <w:sz w:val="24"/>
              </w:rPr>
            </w:pPr>
            <w:r>
              <w:rPr>
                <w:rFonts w:hint="eastAsia"/>
                <w:sz w:val="24"/>
                <w:lang w:bidi="ar"/>
              </w:rPr>
              <w:t>区域空气中的非甲烷总烃</w:t>
            </w:r>
            <w:r>
              <w:rPr>
                <w:sz w:val="24"/>
                <w:lang w:bidi="ar"/>
              </w:rPr>
              <w:t>满</w:t>
            </w:r>
            <w:r>
              <w:rPr>
                <w:color w:val="000000"/>
                <w:sz w:val="24"/>
                <w:lang w:bidi="ar"/>
              </w:rPr>
              <w:t>足《大气污染物综合排放标准详解》中数值规定</w:t>
            </w:r>
            <w:r>
              <w:rPr>
                <w:rFonts w:hint="eastAsia"/>
                <w:color w:val="000000"/>
                <w:sz w:val="24"/>
                <w:lang w:bidi="ar"/>
              </w:rPr>
              <w:t>。</w:t>
            </w:r>
          </w:p>
          <w:p>
            <w:pPr>
              <w:spacing w:line="360" w:lineRule="auto"/>
              <w:ind w:firstLine="480" w:firstLineChars="200"/>
              <w:jc w:val="left"/>
              <w:rPr>
                <w:sz w:val="24"/>
              </w:rPr>
            </w:pPr>
            <w:r>
              <w:rPr>
                <w:sz w:val="24"/>
              </w:rPr>
              <w:t>2、地表水环境质量现状</w:t>
            </w:r>
          </w:p>
          <w:p>
            <w:pPr>
              <w:pStyle w:val="17"/>
              <w:widowControl w:val="0"/>
              <w:spacing w:before="0" w:beforeAutospacing="0" w:after="0" w:afterAutospacing="0" w:line="360" w:lineRule="auto"/>
              <w:ind w:firstLine="480" w:firstLineChars="200"/>
              <w:rPr>
                <w:rFonts w:ascii="Times New Roman" w:hAnsi="Times New Roman"/>
              </w:rPr>
            </w:pPr>
            <w:r>
              <w:rPr>
                <w:rFonts w:ascii="Times New Roman" w:hAnsi="Times New Roman"/>
                <w:szCs w:val="24"/>
              </w:rPr>
              <w:t>地表水环境质量现状本</w:t>
            </w:r>
            <w:r>
              <w:rPr>
                <w:rFonts w:ascii="Times New Roman" w:hAnsi="Times New Roman"/>
              </w:rPr>
              <w:t>项目</w:t>
            </w:r>
            <w:r>
              <w:rPr>
                <w:rFonts w:ascii="Times New Roman" w:hAnsi="Times New Roman"/>
                <w:kern w:val="2"/>
                <w:szCs w:val="24"/>
                <w:lang w:bidi="ar"/>
              </w:rPr>
              <w:t>引用2020年《安徽泗县经济开发区环境影响区域评估报告》关于地表水现状监测数据。</w:t>
            </w:r>
          </w:p>
          <w:p>
            <w:pPr>
              <w:pStyle w:val="17"/>
              <w:widowControl w:val="0"/>
              <w:spacing w:before="0" w:beforeAutospacing="0" w:after="0" w:afterAutospacing="0" w:line="360" w:lineRule="auto"/>
              <w:ind w:firstLine="480" w:firstLineChars="200"/>
              <w:rPr>
                <w:rFonts w:ascii="Times New Roman" w:hAnsi="Times New Roman"/>
              </w:rPr>
            </w:pPr>
            <w:r>
              <w:rPr>
                <w:rFonts w:ascii="Times New Roman" w:hAnsi="Times New Roman"/>
                <w:kern w:val="2"/>
                <w:szCs w:val="24"/>
                <w:lang w:bidi="ar"/>
              </w:rPr>
              <w:t>（1）监测布点及监测因子</w:t>
            </w:r>
          </w:p>
          <w:p>
            <w:pPr>
              <w:widowControl/>
              <w:spacing w:before="84" w:after="33"/>
              <w:jc w:val="center"/>
              <w:rPr>
                <w:b/>
                <w:bCs/>
                <w:sz w:val="24"/>
              </w:rPr>
            </w:pPr>
            <w:r>
              <w:rPr>
                <w:b/>
                <w:bCs/>
                <w:sz w:val="24"/>
              </w:rPr>
              <w:t>表3-</w:t>
            </w:r>
            <w:r>
              <w:rPr>
                <w:rFonts w:hint="eastAsia"/>
                <w:b/>
                <w:bCs/>
                <w:sz w:val="24"/>
              </w:rPr>
              <w:t>3</w:t>
            </w:r>
            <w:r>
              <w:rPr>
                <w:b/>
                <w:bCs/>
                <w:sz w:val="24"/>
              </w:rPr>
              <w:t xml:space="preserve">  地表水环境质量现状监测断面及监测因子</w:t>
            </w:r>
          </w:p>
          <w:tbl>
            <w:tblPr>
              <w:tblStyle w:val="23"/>
              <w:tblW w:w="72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27"/>
              <w:gridCol w:w="2319"/>
              <w:gridCol w:w="987"/>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pStyle w:val="17"/>
                    <w:widowControl w:val="0"/>
                    <w:tabs>
                      <w:tab w:val="left" w:pos="670"/>
                    </w:tabs>
                    <w:spacing w:before="20" w:beforeAutospacing="0" w:after="0" w:afterAutospacing="0"/>
                    <w:jc w:val="center"/>
                    <w:rPr>
                      <w:rFonts w:ascii="Times New Roman" w:hAnsi="Times New Roman"/>
                      <w:sz w:val="21"/>
                      <w:szCs w:val="21"/>
                    </w:rPr>
                  </w:pPr>
                  <w:r>
                    <w:rPr>
                      <w:rFonts w:ascii="Times New Roman" w:hAnsi="Times New Roman"/>
                      <w:kern w:val="2"/>
                      <w:sz w:val="21"/>
                      <w:szCs w:val="21"/>
                      <w:lang w:bidi="ar"/>
                    </w:rPr>
                    <w:t>河流</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20" w:beforeAutospacing="0" w:after="0" w:afterAutospacing="0"/>
                    <w:ind w:left="303" w:right="287"/>
                    <w:jc w:val="center"/>
                    <w:rPr>
                      <w:rFonts w:ascii="Times New Roman" w:hAnsi="Times New Roman"/>
                      <w:sz w:val="21"/>
                      <w:szCs w:val="21"/>
                    </w:rPr>
                  </w:pPr>
                  <w:r>
                    <w:rPr>
                      <w:rFonts w:ascii="Times New Roman" w:hAnsi="Times New Roman"/>
                      <w:kern w:val="2"/>
                      <w:sz w:val="21"/>
                      <w:szCs w:val="21"/>
                      <w:lang w:bidi="ar"/>
                    </w:rPr>
                    <w:t>断面编号</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7"/>
                    <w:widowControl w:val="0"/>
                    <w:tabs>
                      <w:tab w:val="left" w:pos="432"/>
                      <w:tab w:val="left" w:pos="854"/>
                      <w:tab w:val="left" w:pos="1277"/>
                    </w:tabs>
                    <w:spacing w:before="20" w:beforeAutospacing="0" w:after="0" w:afterAutospacing="0"/>
                    <w:ind w:left="15"/>
                    <w:jc w:val="center"/>
                    <w:rPr>
                      <w:rFonts w:ascii="Times New Roman" w:hAnsi="Times New Roman"/>
                      <w:sz w:val="21"/>
                      <w:szCs w:val="21"/>
                    </w:rPr>
                  </w:pPr>
                  <w:r>
                    <w:rPr>
                      <w:rFonts w:ascii="Times New Roman" w:hAnsi="Times New Roman"/>
                      <w:kern w:val="2"/>
                      <w:sz w:val="21"/>
                      <w:szCs w:val="21"/>
                      <w:lang w:bidi="ar"/>
                    </w:rPr>
                    <w:t>断面位置</w:t>
                  </w:r>
                </w:p>
              </w:tc>
              <w:tc>
                <w:tcPr>
                  <w:tcW w:w="987" w:type="dxa"/>
                  <w:tcBorders>
                    <w:top w:val="single" w:color="000000" w:sz="4" w:space="0"/>
                    <w:left w:val="single" w:color="000000" w:sz="4" w:space="0"/>
                    <w:bottom w:val="single" w:color="000000" w:sz="4" w:space="0"/>
                    <w:right w:val="single" w:color="000000" w:sz="4" w:space="0"/>
                  </w:tcBorders>
                  <w:vAlign w:val="center"/>
                </w:tcPr>
                <w:p>
                  <w:pPr>
                    <w:pStyle w:val="17"/>
                    <w:widowControl w:val="0"/>
                    <w:tabs>
                      <w:tab w:val="left" w:pos="636"/>
                    </w:tabs>
                    <w:spacing w:before="20" w:beforeAutospacing="0" w:after="0" w:afterAutospacing="0"/>
                    <w:ind w:left="7"/>
                    <w:jc w:val="center"/>
                    <w:rPr>
                      <w:rFonts w:ascii="Times New Roman" w:hAnsi="Times New Roman"/>
                      <w:sz w:val="21"/>
                      <w:szCs w:val="21"/>
                    </w:rPr>
                  </w:pPr>
                  <w:r>
                    <w:rPr>
                      <w:rFonts w:ascii="Times New Roman" w:hAnsi="Times New Roman"/>
                      <w:kern w:val="2"/>
                      <w:sz w:val="21"/>
                      <w:szCs w:val="21"/>
                      <w:lang w:bidi="ar"/>
                    </w:rPr>
                    <w:t>备注</w:t>
                  </w:r>
                </w:p>
              </w:tc>
              <w:tc>
                <w:tcPr>
                  <w:tcW w:w="1794" w:type="dxa"/>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20" w:beforeAutospacing="0" w:after="0" w:afterAutospacing="0"/>
                    <w:jc w:val="center"/>
                    <w:rPr>
                      <w:rFonts w:ascii="Times New Roman" w:hAnsi="Times New Roman"/>
                      <w:sz w:val="21"/>
                      <w:szCs w:val="21"/>
                    </w:rPr>
                  </w:pPr>
                  <w:r>
                    <w:rPr>
                      <w:rFonts w:ascii="Times New Roman" w:hAnsi="Times New Roman"/>
                      <w:kern w:val="2"/>
                      <w:sz w:val="21"/>
                      <w:szCs w:val="21"/>
                      <w:lang w:bidi="ar"/>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0" w:beforeAutospacing="0" w:after="0" w:afterAutospacing="0"/>
                    <w:jc w:val="center"/>
                    <w:rPr>
                      <w:rFonts w:ascii="Times New Roman" w:hAnsi="Times New Roman"/>
                      <w:sz w:val="21"/>
                      <w:szCs w:val="21"/>
                    </w:rPr>
                  </w:pPr>
                  <w:r>
                    <w:rPr>
                      <w:rFonts w:ascii="Times New Roman" w:hAnsi="Times New Roman"/>
                      <w:kern w:val="2"/>
                      <w:sz w:val="21"/>
                      <w:szCs w:val="21"/>
                      <w:lang w:bidi="ar"/>
                    </w:rPr>
                    <w:t>石梁河</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pacing w:val="-20"/>
                      <w:szCs w:val="21"/>
                    </w:rPr>
                    <w:t>S1</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泗县工业污水处理厂</w:t>
                  </w:r>
                  <w:r>
                    <w:rPr>
                      <w:szCs w:val="21"/>
                    </w:rPr>
                    <w:t>排污口上游500m</w:t>
                  </w:r>
                </w:p>
              </w:tc>
              <w:tc>
                <w:tcPr>
                  <w:tcW w:w="987" w:type="dxa"/>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20" w:beforeAutospacing="0" w:after="0" w:afterAutospacing="0"/>
                    <w:ind w:left="11"/>
                    <w:jc w:val="center"/>
                    <w:rPr>
                      <w:rFonts w:ascii="Times New Roman" w:hAnsi="Times New Roman"/>
                      <w:kern w:val="2"/>
                      <w:sz w:val="21"/>
                      <w:szCs w:val="21"/>
                      <w:lang w:bidi="ar"/>
                    </w:rPr>
                  </w:pPr>
                  <w:r>
                    <w:rPr>
                      <w:rFonts w:ascii="Times New Roman" w:hAnsi="Times New Roman"/>
                      <w:kern w:val="2"/>
                      <w:sz w:val="21"/>
                      <w:szCs w:val="21"/>
                      <w:lang w:bidi="ar"/>
                    </w:rPr>
                    <w:t>对照断面</w:t>
                  </w:r>
                </w:p>
              </w:tc>
              <w:tc>
                <w:tcPr>
                  <w:tcW w:w="1794"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20" w:beforeAutospacing="0" w:after="0" w:afterAutospacing="0"/>
                    <w:ind w:left="11"/>
                    <w:jc w:val="center"/>
                    <w:rPr>
                      <w:rFonts w:ascii="Times New Roman" w:hAnsi="Times New Roman"/>
                      <w:kern w:val="2"/>
                      <w:sz w:val="21"/>
                      <w:szCs w:val="21"/>
                      <w:lang w:bidi="ar"/>
                    </w:rPr>
                  </w:pPr>
                  <w:r>
                    <w:rPr>
                      <w:rFonts w:hint="eastAsia" w:ascii="Times New Roman" w:hAnsi="Times New Roman"/>
                      <w:kern w:val="2"/>
                      <w:sz w:val="21"/>
                      <w:szCs w:val="21"/>
                      <w:lang w:bidi="ar"/>
                    </w:rPr>
                    <w:t>pH值、CODcr、BOD</w:t>
                  </w:r>
                  <w:r>
                    <w:rPr>
                      <w:rFonts w:hint="eastAsia" w:ascii="Times New Roman" w:hAnsi="Times New Roman"/>
                      <w:kern w:val="2"/>
                      <w:sz w:val="21"/>
                      <w:szCs w:val="21"/>
                      <w:vertAlign w:val="subscript"/>
                      <w:lang w:bidi="ar"/>
                    </w:rPr>
                    <w:t>5</w:t>
                  </w:r>
                  <w:r>
                    <w:rPr>
                      <w:rFonts w:hint="eastAsia" w:ascii="Times New Roman" w:hAnsi="Times New Roman"/>
                      <w:kern w:val="2"/>
                      <w:sz w:val="21"/>
                      <w:szCs w:val="21"/>
                      <w:lang w:bidi="ar"/>
                    </w:rPr>
                    <w:t>、悬浮物、氨氮</w:t>
                  </w:r>
                  <w:r>
                    <w:rPr>
                      <w:rFonts w:hint="eastAsia" w:ascii="Times New Roman" w:hAnsi="Times New Roman"/>
                      <w:kern w:val="2"/>
                      <w:sz w:val="21"/>
                      <w:szCs w:val="21"/>
                      <w:lang w:eastAsia="zh-CN" w:bidi="ar"/>
                    </w:rPr>
                    <w:t>、</w:t>
                  </w:r>
                  <w:r>
                    <w:rPr>
                      <w:rFonts w:hint="eastAsia"/>
                      <w:sz w:val="21"/>
                      <w:szCs w:val="21"/>
                    </w:rPr>
                    <w:t>石油</w:t>
                  </w:r>
                  <w:r>
                    <w:rPr>
                      <w:rFonts w:hint="default" w:ascii="Times New Roman" w:hAnsi="Times New Roman" w:cs="Times New Roman"/>
                      <w:sz w:val="21"/>
                      <w:szCs w:val="21"/>
                    </w:rPr>
                    <w:t>类</w:t>
                  </w:r>
                  <w:r>
                    <w:rPr>
                      <w:rFonts w:hint="default" w:ascii="Times New Roman" w:hAnsi="Times New Roman" w:cs="Times New Roman"/>
                      <w:sz w:val="21"/>
                      <w:szCs w:val="21"/>
                      <w:lang w:val="en-US" w:eastAsia="zh-CN"/>
                    </w:rPr>
                    <w:t>6</w:t>
                  </w:r>
                  <w:r>
                    <w:rPr>
                      <w:rFonts w:hint="eastAsia" w:ascii="Times New Roman" w:hAnsi="Times New Roman"/>
                      <w:kern w:val="2"/>
                      <w:sz w:val="21"/>
                      <w:szCs w:val="21"/>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pacing w:val="-20"/>
                      <w:szCs w:val="21"/>
                    </w:rPr>
                    <w:t>S2</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泗县工业污水处理厂</w:t>
                  </w:r>
                  <w:r>
                    <w:rPr>
                      <w:szCs w:val="21"/>
                    </w:rPr>
                    <w:t>排污口下游500m</w:t>
                  </w:r>
                </w:p>
              </w:tc>
              <w:tc>
                <w:tcPr>
                  <w:tcW w:w="987" w:type="dxa"/>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19" w:beforeAutospacing="0" w:after="0" w:afterAutospacing="0"/>
                    <w:ind w:left="7"/>
                    <w:jc w:val="center"/>
                    <w:rPr>
                      <w:rFonts w:ascii="Times New Roman" w:hAnsi="Times New Roman"/>
                      <w:sz w:val="21"/>
                      <w:szCs w:val="21"/>
                    </w:rPr>
                  </w:pPr>
                  <w:r>
                    <w:rPr>
                      <w:rFonts w:ascii="Times New Roman" w:hAnsi="Times New Roman"/>
                      <w:kern w:val="2"/>
                      <w:sz w:val="21"/>
                      <w:szCs w:val="21"/>
                      <w:lang w:bidi="ar"/>
                    </w:rPr>
                    <w:t>混合断面</w:t>
                  </w:r>
                </w:p>
              </w:tc>
              <w:tc>
                <w:tcPr>
                  <w:tcW w:w="179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pacing w:val="-20"/>
                      <w:szCs w:val="21"/>
                    </w:rPr>
                    <w:t>S3</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石梁河地下涵</w:t>
                  </w:r>
                </w:p>
              </w:tc>
              <w:tc>
                <w:tcPr>
                  <w:tcW w:w="987" w:type="dxa"/>
                  <w:tcBorders>
                    <w:top w:val="single" w:color="000000" w:sz="4" w:space="0"/>
                    <w:left w:val="single" w:color="000000" w:sz="4" w:space="0"/>
                    <w:bottom w:val="single" w:color="000000" w:sz="4" w:space="0"/>
                    <w:right w:val="single" w:color="000000" w:sz="4" w:space="0"/>
                  </w:tcBorders>
                  <w:vAlign w:val="center"/>
                </w:tcPr>
                <w:p>
                  <w:pPr>
                    <w:pStyle w:val="17"/>
                    <w:widowControl w:val="0"/>
                    <w:spacing w:before="19" w:beforeAutospacing="0" w:after="0" w:afterAutospacing="0"/>
                    <w:ind w:left="7"/>
                    <w:jc w:val="center"/>
                    <w:rPr>
                      <w:rFonts w:ascii="Times New Roman" w:hAnsi="Times New Roman"/>
                      <w:sz w:val="21"/>
                      <w:szCs w:val="21"/>
                    </w:rPr>
                  </w:pPr>
                  <w:r>
                    <w:rPr>
                      <w:rFonts w:ascii="Times New Roman" w:hAnsi="Times New Roman"/>
                      <w:kern w:val="2"/>
                      <w:sz w:val="21"/>
                      <w:szCs w:val="21"/>
                      <w:lang w:bidi="ar"/>
                    </w:rPr>
                    <w:t>削减断面</w:t>
                  </w:r>
                </w:p>
              </w:tc>
              <w:tc>
                <w:tcPr>
                  <w:tcW w:w="179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spacing w:before="50" w:after="50" w:line="360" w:lineRule="auto"/>
              <w:ind w:firstLine="480" w:firstLineChars="200"/>
              <w:jc w:val="left"/>
              <w:rPr>
                <w:sz w:val="24"/>
              </w:rPr>
            </w:pPr>
            <w:r>
              <w:rPr>
                <w:sz w:val="24"/>
                <w:lang w:bidi="ar"/>
              </w:rPr>
              <w:t>（2）监测结果。</w:t>
            </w:r>
          </w:p>
          <w:p>
            <w:pPr>
              <w:pStyle w:val="17"/>
              <w:spacing w:before="0" w:beforeAutospacing="0" w:after="0" w:afterAutospacing="0" w:line="360" w:lineRule="auto"/>
              <w:jc w:val="center"/>
              <w:rPr>
                <w:rFonts w:ascii="Times New Roman" w:hAnsi="Times New Roman"/>
                <w:b/>
                <w:bCs/>
                <w:kern w:val="2"/>
                <w:szCs w:val="24"/>
                <w:lang w:bidi="ar"/>
              </w:rPr>
            </w:pPr>
            <w:r>
              <w:rPr>
                <w:rFonts w:ascii="Times New Roman" w:hAnsi="Times New Roman"/>
                <w:b/>
                <w:bCs/>
                <w:kern w:val="2"/>
                <w:szCs w:val="24"/>
                <w:lang w:bidi="ar"/>
              </w:rPr>
              <w:t>表3-</w:t>
            </w:r>
            <w:r>
              <w:rPr>
                <w:rFonts w:hint="eastAsia" w:ascii="Times New Roman" w:hAnsi="Times New Roman"/>
                <w:b/>
                <w:bCs/>
                <w:kern w:val="2"/>
                <w:szCs w:val="24"/>
                <w:lang w:bidi="ar"/>
              </w:rPr>
              <w:t>4</w:t>
            </w:r>
            <w:r>
              <w:rPr>
                <w:rFonts w:ascii="Times New Roman" w:hAnsi="Times New Roman"/>
                <w:b/>
                <w:bCs/>
                <w:kern w:val="2"/>
                <w:szCs w:val="24"/>
                <w:lang w:bidi="ar"/>
              </w:rPr>
              <w:t xml:space="preserve">  地表水环境现状监测结果一览表（单位：mg/L，pH除外）</w:t>
            </w:r>
          </w:p>
          <w:tbl>
            <w:tblPr>
              <w:tblStyle w:val="24"/>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000"/>
              <w:gridCol w:w="930"/>
              <w:gridCol w:w="840"/>
              <w:gridCol w:w="953"/>
              <w:gridCol w:w="8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spacing w:line="240" w:lineRule="auto"/>
                    <w:jc w:val="center"/>
                    <w:rPr>
                      <w:sz w:val="21"/>
                      <w:szCs w:val="21"/>
                    </w:rPr>
                  </w:pPr>
                  <w:r>
                    <w:rPr>
                      <w:b/>
                      <w:bCs/>
                      <w:spacing w:val="-20"/>
                      <w:sz w:val="21"/>
                      <w:szCs w:val="21"/>
                    </w:rPr>
                    <w:t>监</w:t>
                  </w:r>
                  <w:r>
                    <w:rPr>
                      <w:rFonts w:hint="eastAsia"/>
                      <w:b/>
                      <w:bCs/>
                      <w:spacing w:val="-20"/>
                      <w:sz w:val="21"/>
                      <w:szCs w:val="21"/>
                    </w:rPr>
                    <w:t xml:space="preserve"> </w:t>
                  </w:r>
                  <w:r>
                    <w:rPr>
                      <w:b/>
                      <w:bCs/>
                      <w:spacing w:val="-20"/>
                      <w:sz w:val="21"/>
                      <w:szCs w:val="21"/>
                    </w:rPr>
                    <w:t>测</w:t>
                  </w:r>
                  <w:r>
                    <w:rPr>
                      <w:rFonts w:hint="eastAsia"/>
                      <w:b/>
                      <w:bCs/>
                      <w:spacing w:val="-20"/>
                      <w:sz w:val="21"/>
                      <w:szCs w:val="21"/>
                    </w:rPr>
                    <w:t xml:space="preserve">  </w:t>
                  </w:r>
                  <w:r>
                    <w:rPr>
                      <w:b/>
                      <w:bCs/>
                      <w:spacing w:val="-20"/>
                      <w:sz w:val="21"/>
                      <w:szCs w:val="21"/>
                    </w:rPr>
                    <w:t>时</w:t>
                  </w:r>
                  <w:r>
                    <w:rPr>
                      <w:rFonts w:hint="eastAsia"/>
                      <w:b/>
                      <w:bCs/>
                      <w:spacing w:val="-20"/>
                      <w:sz w:val="21"/>
                      <w:szCs w:val="21"/>
                    </w:rPr>
                    <w:t xml:space="preserve"> </w:t>
                  </w:r>
                  <w:r>
                    <w:rPr>
                      <w:b/>
                      <w:bCs/>
                      <w:spacing w:val="-20"/>
                      <w:sz w:val="21"/>
                      <w:szCs w:val="21"/>
                    </w:rPr>
                    <w:t>间</w:t>
                  </w:r>
                </w:p>
              </w:tc>
              <w:tc>
                <w:tcPr>
                  <w:tcW w:w="797" w:type="dxa"/>
                  <w:vAlign w:val="center"/>
                </w:tcPr>
                <w:p>
                  <w:pPr>
                    <w:spacing w:line="240" w:lineRule="auto"/>
                    <w:jc w:val="center"/>
                    <w:rPr>
                      <w:sz w:val="21"/>
                      <w:szCs w:val="21"/>
                    </w:rPr>
                  </w:pPr>
                  <w:r>
                    <w:rPr>
                      <w:b/>
                      <w:bCs/>
                      <w:spacing w:val="-20"/>
                      <w:sz w:val="21"/>
                      <w:szCs w:val="21"/>
                    </w:rPr>
                    <w:t>河</w:t>
                  </w:r>
                  <w:r>
                    <w:rPr>
                      <w:rFonts w:hint="eastAsia"/>
                      <w:b/>
                      <w:bCs/>
                      <w:spacing w:val="-20"/>
                      <w:sz w:val="21"/>
                      <w:szCs w:val="21"/>
                    </w:rPr>
                    <w:t xml:space="preserve"> </w:t>
                  </w:r>
                  <w:r>
                    <w:rPr>
                      <w:b/>
                      <w:bCs/>
                      <w:spacing w:val="-20"/>
                      <w:sz w:val="21"/>
                      <w:szCs w:val="21"/>
                    </w:rPr>
                    <w:t>流</w:t>
                  </w:r>
                </w:p>
              </w:tc>
              <w:tc>
                <w:tcPr>
                  <w:tcW w:w="797" w:type="dxa"/>
                  <w:vAlign w:val="center"/>
                </w:tcPr>
                <w:p>
                  <w:pPr>
                    <w:spacing w:line="240" w:lineRule="auto"/>
                    <w:jc w:val="center"/>
                    <w:rPr>
                      <w:sz w:val="21"/>
                      <w:szCs w:val="21"/>
                    </w:rPr>
                  </w:pPr>
                  <w:r>
                    <w:rPr>
                      <w:b/>
                      <w:bCs/>
                      <w:spacing w:val="-20"/>
                      <w:sz w:val="21"/>
                      <w:szCs w:val="21"/>
                    </w:rPr>
                    <w:t>点</w:t>
                  </w:r>
                  <w:r>
                    <w:rPr>
                      <w:rFonts w:hint="eastAsia"/>
                      <w:b/>
                      <w:bCs/>
                      <w:spacing w:val="-20"/>
                      <w:sz w:val="21"/>
                      <w:szCs w:val="21"/>
                    </w:rPr>
                    <w:t xml:space="preserve"> </w:t>
                  </w:r>
                  <w:r>
                    <w:rPr>
                      <w:b/>
                      <w:bCs/>
                      <w:spacing w:val="-20"/>
                      <w:sz w:val="21"/>
                      <w:szCs w:val="21"/>
                    </w:rPr>
                    <w:t>位</w:t>
                  </w:r>
                </w:p>
              </w:tc>
              <w:tc>
                <w:tcPr>
                  <w:tcW w:w="1000" w:type="dxa"/>
                  <w:vAlign w:val="center"/>
                </w:tcPr>
                <w:p>
                  <w:pPr>
                    <w:spacing w:line="240" w:lineRule="auto"/>
                    <w:jc w:val="center"/>
                    <w:rPr>
                      <w:sz w:val="21"/>
                      <w:szCs w:val="21"/>
                    </w:rPr>
                  </w:pPr>
                  <w:r>
                    <w:rPr>
                      <w:b/>
                      <w:bCs/>
                      <w:spacing w:val="-20"/>
                      <w:sz w:val="21"/>
                      <w:szCs w:val="21"/>
                    </w:rPr>
                    <w:t>pH</w:t>
                  </w:r>
                </w:p>
              </w:tc>
              <w:tc>
                <w:tcPr>
                  <w:tcW w:w="930" w:type="dxa"/>
                  <w:vAlign w:val="center"/>
                </w:tcPr>
                <w:p>
                  <w:pPr>
                    <w:spacing w:line="240" w:lineRule="auto"/>
                    <w:jc w:val="center"/>
                    <w:rPr>
                      <w:sz w:val="21"/>
                      <w:szCs w:val="21"/>
                    </w:rPr>
                  </w:pPr>
                  <w:r>
                    <w:rPr>
                      <w:b/>
                      <w:bCs/>
                      <w:spacing w:val="-20"/>
                      <w:sz w:val="21"/>
                      <w:szCs w:val="21"/>
                    </w:rPr>
                    <w:t>COD</w:t>
                  </w:r>
                </w:p>
              </w:tc>
              <w:tc>
                <w:tcPr>
                  <w:tcW w:w="840" w:type="dxa"/>
                  <w:vAlign w:val="center"/>
                </w:tcPr>
                <w:p>
                  <w:pPr>
                    <w:spacing w:line="240" w:lineRule="auto"/>
                    <w:jc w:val="center"/>
                    <w:rPr>
                      <w:sz w:val="21"/>
                      <w:szCs w:val="21"/>
                    </w:rPr>
                  </w:pPr>
                  <w:r>
                    <w:rPr>
                      <w:b/>
                      <w:bCs/>
                      <w:spacing w:val="-20"/>
                      <w:sz w:val="21"/>
                      <w:szCs w:val="21"/>
                    </w:rPr>
                    <w:t>BOD</w:t>
                  </w:r>
                  <w:r>
                    <w:rPr>
                      <w:b/>
                      <w:bCs/>
                      <w:spacing w:val="-20"/>
                      <w:sz w:val="21"/>
                      <w:szCs w:val="21"/>
                      <w:vertAlign w:val="subscript"/>
                    </w:rPr>
                    <w:t>5</w:t>
                  </w:r>
                </w:p>
              </w:tc>
              <w:tc>
                <w:tcPr>
                  <w:tcW w:w="953" w:type="dxa"/>
                  <w:vAlign w:val="center"/>
                </w:tcPr>
                <w:p>
                  <w:pPr>
                    <w:spacing w:line="240" w:lineRule="auto"/>
                    <w:jc w:val="center"/>
                    <w:rPr>
                      <w:sz w:val="21"/>
                      <w:szCs w:val="21"/>
                    </w:rPr>
                  </w:pPr>
                  <w:r>
                    <w:rPr>
                      <w:rFonts w:hint="eastAsia"/>
                      <w:b/>
                      <w:bCs/>
                      <w:spacing w:val="-20"/>
                      <w:sz w:val="21"/>
                      <w:szCs w:val="21"/>
                    </w:rPr>
                    <w:t>氨 氮</w:t>
                  </w:r>
                </w:p>
              </w:tc>
              <w:tc>
                <w:tcPr>
                  <w:tcW w:w="832" w:type="dxa"/>
                  <w:vAlign w:val="center"/>
                </w:tcPr>
                <w:p>
                  <w:pPr>
                    <w:spacing w:line="240" w:lineRule="auto"/>
                    <w:jc w:val="center"/>
                    <w:rPr>
                      <w:sz w:val="21"/>
                      <w:szCs w:val="21"/>
                    </w:rPr>
                  </w:pPr>
                  <w:r>
                    <w:rPr>
                      <w:b/>
                      <w:bCs/>
                      <w:spacing w:val="-20"/>
                      <w:sz w:val="21"/>
                      <w:szCs w:val="21"/>
                    </w:rPr>
                    <w:t>SS</w:t>
                  </w:r>
                </w:p>
              </w:tc>
              <w:tc>
                <w:tcPr>
                  <w:tcW w:w="990" w:type="dxa"/>
                  <w:vAlign w:val="center"/>
                </w:tcPr>
                <w:p>
                  <w:pPr>
                    <w:spacing w:line="240" w:lineRule="auto"/>
                    <w:jc w:val="center"/>
                    <w:rPr>
                      <w:sz w:val="21"/>
                      <w:szCs w:val="21"/>
                    </w:rPr>
                  </w:pPr>
                  <w:r>
                    <w:rPr>
                      <w:rFonts w:hint="eastAsia"/>
                      <w:b/>
                      <w:bCs/>
                      <w:spacing w:val="-20"/>
                      <w:sz w:val="2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restart"/>
                  <w:vAlign w:val="center"/>
                </w:tcPr>
                <w:p>
                  <w:pPr>
                    <w:spacing w:line="240" w:lineRule="auto"/>
                    <w:jc w:val="center"/>
                    <w:rPr>
                      <w:spacing w:val="-20"/>
                      <w:sz w:val="21"/>
                      <w:szCs w:val="21"/>
                    </w:rPr>
                  </w:pPr>
                  <w:r>
                    <w:rPr>
                      <w:spacing w:val="-20"/>
                      <w:sz w:val="21"/>
                      <w:szCs w:val="21"/>
                    </w:rPr>
                    <w:t>1月</w:t>
                  </w:r>
                </w:p>
                <w:p>
                  <w:pPr>
                    <w:spacing w:line="240" w:lineRule="auto"/>
                    <w:jc w:val="center"/>
                    <w:rPr>
                      <w:sz w:val="21"/>
                      <w:szCs w:val="21"/>
                    </w:rPr>
                  </w:pPr>
                  <w:r>
                    <w:rPr>
                      <w:spacing w:val="-20"/>
                      <w:sz w:val="21"/>
                      <w:szCs w:val="21"/>
                    </w:rPr>
                    <w:t>10日</w:t>
                  </w:r>
                </w:p>
              </w:tc>
              <w:tc>
                <w:tcPr>
                  <w:tcW w:w="797" w:type="dxa"/>
                  <w:vMerge w:val="restart"/>
                  <w:vAlign w:val="center"/>
                </w:tcPr>
                <w:p>
                  <w:pPr>
                    <w:spacing w:line="240" w:lineRule="auto"/>
                    <w:jc w:val="center"/>
                    <w:rPr>
                      <w:sz w:val="21"/>
                      <w:szCs w:val="21"/>
                    </w:rPr>
                  </w:pPr>
                  <w:r>
                    <w:rPr>
                      <w:spacing w:val="-20"/>
                      <w:sz w:val="21"/>
                      <w:szCs w:val="21"/>
                    </w:rPr>
                    <w:t>石梁河</w:t>
                  </w:r>
                </w:p>
              </w:tc>
              <w:tc>
                <w:tcPr>
                  <w:tcW w:w="797" w:type="dxa"/>
                  <w:vAlign w:val="center"/>
                </w:tcPr>
                <w:p>
                  <w:pPr>
                    <w:spacing w:line="240" w:lineRule="auto"/>
                    <w:jc w:val="center"/>
                    <w:rPr>
                      <w:sz w:val="21"/>
                      <w:szCs w:val="21"/>
                    </w:rPr>
                  </w:pPr>
                  <w:r>
                    <w:rPr>
                      <w:spacing w:val="-20"/>
                      <w:sz w:val="21"/>
                      <w:szCs w:val="21"/>
                    </w:rPr>
                    <w:t>S1</w:t>
                  </w:r>
                </w:p>
              </w:tc>
              <w:tc>
                <w:tcPr>
                  <w:tcW w:w="1000" w:type="dxa"/>
                  <w:vAlign w:val="center"/>
                </w:tcPr>
                <w:p>
                  <w:pPr>
                    <w:spacing w:line="240" w:lineRule="auto"/>
                    <w:jc w:val="center"/>
                    <w:rPr>
                      <w:sz w:val="21"/>
                      <w:szCs w:val="21"/>
                    </w:rPr>
                  </w:pPr>
                  <w:r>
                    <w:rPr>
                      <w:spacing w:val="-20"/>
                      <w:sz w:val="21"/>
                      <w:szCs w:val="21"/>
                    </w:rPr>
                    <w:t>7.53</w:t>
                  </w:r>
                </w:p>
              </w:tc>
              <w:tc>
                <w:tcPr>
                  <w:tcW w:w="930" w:type="dxa"/>
                  <w:vAlign w:val="center"/>
                </w:tcPr>
                <w:p>
                  <w:pPr>
                    <w:spacing w:line="240" w:lineRule="auto"/>
                    <w:jc w:val="center"/>
                    <w:rPr>
                      <w:sz w:val="21"/>
                      <w:szCs w:val="21"/>
                    </w:rPr>
                  </w:pPr>
                  <w:r>
                    <w:rPr>
                      <w:spacing w:val="-20"/>
                      <w:sz w:val="21"/>
                      <w:szCs w:val="21"/>
                    </w:rPr>
                    <w:t>21</w:t>
                  </w:r>
                </w:p>
              </w:tc>
              <w:tc>
                <w:tcPr>
                  <w:tcW w:w="840" w:type="dxa"/>
                  <w:vAlign w:val="center"/>
                </w:tcPr>
                <w:p>
                  <w:pPr>
                    <w:spacing w:line="240" w:lineRule="auto"/>
                    <w:jc w:val="center"/>
                    <w:rPr>
                      <w:sz w:val="21"/>
                      <w:szCs w:val="21"/>
                    </w:rPr>
                  </w:pPr>
                  <w:r>
                    <w:rPr>
                      <w:spacing w:val="-20"/>
                      <w:sz w:val="21"/>
                      <w:szCs w:val="21"/>
                    </w:rPr>
                    <w:t>5.5</w:t>
                  </w:r>
                </w:p>
              </w:tc>
              <w:tc>
                <w:tcPr>
                  <w:tcW w:w="953" w:type="dxa"/>
                  <w:vAlign w:val="center"/>
                </w:tcPr>
                <w:p>
                  <w:pPr>
                    <w:spacing w:line="240" w:lineRule="auto"/>
                    <w:jc w:val="center"/>
                    <w:rPr>
                      <w:sz w:val="21"/>
                      <w:szCs w:val="21"/>
                    </w:rPr>
                  </w:pPr>
                  <w:r>
                    <w:rPr>
                      <w:spacing w:val="-20"/>
                      <w:sz w:val="21"/>
                      <w:szCs w:val="21"/>
                    </w:rPr>
                    <w:t>0.427</w:t>
                  </w:r>
                </w:p>
              </w:tc>
              <w:tc>
                <w:tcPr>
                  <w:tcW w:w="832" w:type="dxa"/>
                  <w:vAlign w:val="center"/>
                </w:tcPr>
                <w:p>
                  <w:pPr>
                    <w:spacing w:line="240" w:lineRule="auto"/>
                    <w:jc w:val="center"/>
                    <w:rPr>
                      <w:sz w:val="21"/>
                      <w:szCs w:val="21"/>
                    </w:rPr>
                  </w:pPr>
                  <w:r>
                    <w:rPr>
                      <w:spacing w:val="-20"/>
                      <w:sz w:val="21"/>
                      <w:szCs w:val="21"/>
                    </w:rPr>
                    <w:t>12</w:t>
                  </w:r>
                </w:p>
              </w:tc>
              <w:tc>
                <w:tcPr>
                  <w:tcW w:w="990" w:type="dxa"/>
                  <w:vAlign w:val="center"/>
                </w:tcPr>
                <w:p>
                  <w:pPr>
                    <w:spacing w:line="240" w:lineRule="auto"/>
                    <w:jc w:val="center"/>
                    <w:rPr>
                      <w:sz w:val="21"/>
                      <w:szCs w:val="21"/>
                    </w:rPr>
                  </w:pPr>
                  <w:r>
                    <w:rPr>
                      <w:rFonts w:hint="eastAsia"/>
                      <w:spacing w:val="-20"/>
                      <w:sz w:val="21"/>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continue"/>
                  <w:vAlign w:val="center"/>
                </w:tcPr>
                <w:p>
                  <w:pPr>
                    <w:pStyle w:val="5"/>
                    <w:spacing w:before="84" w:after="33" w:line="240" w:lineRule="auto"/>
                    <w:jc w:val="center"/>
                    <w:rPr>
                      <w:sz w:val="21"/>
                      <w:szCs w:val="21"/>
                    </w:rPr>
                  </w:pPr>
                </w:p>
              </w:tc>
              <w:tc>
                <w:tcPr>
                  <w:tcW w:w="797" w:type="dxa"/>
                  <w:vMerge w:val="continue"/>
                  <w:vAlign w:val="center"/>
                </w:tcPr>
                <w:p>
                  <w:pPr>
                    <w:spacing w:line="240" w:lineRule="auto"/>
                    <w:jc w:val="center"/>
                    <w:rPr>
                      <w:sz w:val="21"/>
                      <w:szCs w:val="21"/>
                    </w:rPr>
                  </w:pPr>
                </w:p>
              </w:tc>
              <w:tc>
                <w:tcPr>
                  <w:tcW w:w="797" w:type="dxa"/>
                  <w:vAlign w:val="center"/>
                </w:tcPr>
                <w:p>
                  <w:pPr>
                    <w:spacing w:line="240" w:lineRule="auto"/>
                    <w:jc w:val="center"/>
                    <w:rPr>
                      <w:sz w:val="21"/>
                      <w:szCs w:val="21"/>
                    </w:rPr>
                  </w:pPr>
                  <w:r>
                    <w:rPr>
                      <w:spacing w:val="-20"/>
                      <w:sz w:val="21"/>
                      <w:szCs w:val="21"/>
                    </w:rPr>
                    <w:t>S2</w:t>
                  </w:r>
                </w:p>
              </w:tc>
              <w:tc>
                <w:tcPr>
                  <w:tcW w:w="1000" w:type="dxa"/>
                  <w:vAlign w:val="center"/>
                </w:tcPr>
                <w:p>
                  <w:pPr>
                    <w:spacing w:line="240" w:lineRule="auto"/>
                    <w:jc w:val="center"/>
                    <w:rPr>
                      <w:sz w:val="21"/>
                      <w:szCs w:val="21"/>
                    </w:rPr>
                  </w:pPr>
                  <w:r>
                    <w:rPr>
                      <w:spacing w:val="-20"/>
                      <w:sz w:val="21"/>
                      <w:szCs w:val="21"/>
                    </w:rPr>
                    <w:t>7.54</w:t>
                  </w:r>
                </w:p>
              </w:tc>
              <w:tc>
                <w:tcPr>
                  <w:tcW w:w="930" w:type="dxa"/>
                  <w:vAlign w:val="center"/>
                </w:tcPr>
                <w:p>
                  <w:pPr>
                    <w:spacing w:line="240" w:lineRule="auto"/>
                    <w:jc w:val="center"/>
                    <w:rPr>
                      <w:sz w:val="21"/>
                      <w:szCs w:val="21"/>
                    </w:rPr>
                  </w:pPr>
                  <w:r>
                    <w:rPr>
                      <w:spacing w:val="-20"/>
                      <w:sz w:val="21"/>
                      <w:szCs w:val="21"/>
                    </w:rPr>
                    <w:t>29</w:t>
                  </w:r>
                </w:p>
              </w:tc>
              <w:tc>
                <w:tcPr>
                  <w:tcW w:w="840" w:type="dxa"/>
                  <w:vAlign w:val="center"/>
                </w:tcPr>
                <w:p>
                  <w:pPr>
                    <w:spacing w:line="240" w:lineRule="auto"/>
                    <w:jc w:val="center"/>
                    <w:rPr>
                      <w:sz w:val="21"/>
                      <w:szCs w:val="21"/>
                    </w:rPr>
                  </w:pPr>
                  <w:r>
                    <w:rPr>
                      <w:spacing w:val="-20"/>
                      <w:sz w:val="21"/>
                      <w:szCs w:val="21"/>
                    </w:rPr>
                    <w:t>7.5</w:t>
                  </w:r>
                </w:p>
              </w:tc>
              <w:tc>
                <w:tcPr>
                  <w:tcW w:w="953" w:type="dxa"/>
                  <w:vAlign w:val="center"/>
                </w:tcPr>
                <w:p>
                  <w:pPr>
                    <w:spacing w:line="240" w:lineRule="auto"/>
                    <w:jc w:val="center"/>
                    <w:rPr>
                      <w:sz w:val="21"/>
                      <w:szCs w:val="21"/>
                    </w:rPr>
                  </w:pPr>
                  <w:r>
                    <w:rPr>
                      <w:spacing w:val="-20"/>
                      <w:sz w:val="21"/>
                      <w:szCs w:val="21"/>
                    </w:rPr>
                    <w:t>0.582</w:t>
                  </w:r>
                </w:p>
              </w:tc>
              <w:tc>
                <w:tcPr>
                  <w:tcW w:w="832" w:type="dxa"/>
                  <w:vAlign w:val="center"/>
                </w:tcPr>
                <w:p>
                  <w:pPr>
                    <w:spacing w:line="240" w:lineRule="auto"/>
                    <w:jc w:val="center"/>
                    <w:rPr>
                      <w:sz w:val="21"/>
                      <w:szCs w:val="21"/>
                    </w:rPr>
                  </w:pPr>
                  <w:r>
                    <w:rPr>
                      <w:spacing w:val="-20"/>
                      <w:sz w:val="21"/>
                      <w:szCs w:val="21"/>
                    </w:rPr>
                    <w:t>18</w:t>
                  </w:r>
                </w:p>
              </w:tc>
              <w:tc>
                <w:tcPr>
                  <w:tcW w:w="990" w:type="dxa"/>
                  <w:vAlign w:val="center"/>
                </w:tcPr>
                <w:p>
                  <w:pPr>
                    <w:spacing w:line="240" w:lineRule="auto"/>
                    <w:jc w:val="center"/>
                    <w:rPr>
                      <w:sz w:val="21"/>
                      <w:szCs w:val="21"/>
                    </w:rPr>
                  </w:pPr>
                  <w:r>
                    <w:rPr>
                      <w:rFonts w:hint="eastAsia"/>
                      <w:spacing w:val="-20"/>
                      <w:sz w:val="21"/>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continue"/>
                  <w:vAlign w:val="center"/>
                </w:tcPr>
                <w:p>
                  <w:pPr>
                    <w:pStyle w:val="5"/>
                    <w:spacing w:before="84" w:after="33" w:line="240" w:lineRule="auto"/>
                    <w:jc w:val="center"/>
                    <w:rPr>
                      <w:sz w:val="21"/>
                      <w:szCs w:val="21"/>
                    </w:rPr>
                  </w:pPr>
                </w:p>
              </w:tc>
              <w:tc>
                <w:tcPr>
                  <w:tcW w:w="797" w:type="dxa"/>
                  <w:vMerge w:val="continue"/>
                  <w:vAlign w:val="center"/>
                </w:tcPr>
                <w:p>
                  <w:pPr>
                    <w:spacing w:line="240" w:lineRule="auto"/>
                    <w:jc w:val="center"/>
                    <w:rPr>
                      <w:sz w:val="21"/>
                      <w:szCs w:val="21"/>
                    </w:rPr>
                  </w:pPr>
                </w:p>
              </w:tc>
              <w:tc>
                <w:tcPr>
                  <w:tcW w:w="797" w:type="dxa"/>
                  <w:vAlign w:val="center"/>
                </w:tcPr>
                <w:p>
                  <w:pPr>
                    <w:spacing w:line="240" w:lineRule="auto"/>
                    <w:jc w:val="center"/>
                    <w:rPr>
                      <w:sz w:val="21"/>
                      <w:szCs w:val="21"/>
                    </w:rPr>
                  </w:pPr>
                  <w:r>
                    <w:rPr>
                      <w:spacing w:val="-20"/>
                      <w:sz w:val="21"/>
                      <w:szCs w:val="21"/>
                    </w:rPr>
                    <w:t>S3</w:t>
                  </w:r>
                </w:p>
              </w:tc>
              <w:tc>
                <w:tcPr>
                  <w:tcW w:w="1000" w:type="dxa"/>
                  <w:vAlign w:val="center"/>
                </w:tcPr>
                <w:p>
                  <w:pPr>
                    <w:spacing w:line="240" w:lineRule="auto"/>
                    <w:jc w:val="center"/>
                    <w:rPr>
                      <w:sz w:val="21"/>
                      <w:szCs w:val="21"/>
                    </w:rPr>
                  </w:pPr>
                  <w:r>
                    <w:rPr>
                      <w:spacing w:val="-20"/>
                      <w:sz w:val="21"/>
                      <w:szCs w:val="21"/>
                    </w:rPr>
                    <w:t>7.59</w:t>
                  </w:r>
                </w:p>
              </w:tc>
              <w:tc>
                <w:tcPr>
                  <w:tcW w:w="930" w:type="dxa"/>
                  <w:vAlign w:val="center"/>
                </w:tcPr>
                <w:p>
                  <w:pPr>
                    <w:spacing w:line="240" w:lineRule="auto"/>
                    <w:jc w:val="center"/>
                    <w:rPr>
                      <w:sz w:val="21"/>
                      <w:szCs w:val="21"/>
                    </w:rPr>
                  </w:pPr>
                  <w:r>
                    <w:rPr>
                      <w:spacing w:val="-20"/>
                      <w:sz w:val="21"/>
                      <w:szCs w:val="21"/>
                    </w:rPr>
                    <w:t>22</w:t>
                  </w:r>
                </w:p>
              </w:tc>
              <w:tc>
                <w:tcPr>
                  <w:tcW w:w="840" w:type="dxa"/>
                  <w:vAlign w:val="center"/>
                </w:tcPr>
                <w:p>
                  <w:pPr>
                    <w:spacing w:line="240" w:lineRule="auto"/>
                    <w:jc w:val="center"/>
                    <w:rPr>
                      <w:sz w:val="21"/>
                      <w:szCs w:val="21"/>
                    </w:rPr>
                  </w:pPr>
                  <w:r>
                    <w:rPr>
                      <w:spacing w:val="-20"/>
                      <w:sz w:val="21"/>
                      <w:szCs w:val="21"/>
                    </w:rPr>
                    <w:t>5.7</w:t>
                  </w:r>
                </w:p>
              </w:tc>
              <w:tc>
                <w:tcPr>
                  <w:tcW w:w="953" w:type="dxa"/>
                  <w:vAlign w:val="center"/>
                </w:tcPr>
                <w:p>
                  <w:pPr>
                    <w:spacing w:line="240" w:lineRule="auto"/>
                    <w:jc w:val="center"/>
                    <w:rPr>
                      <w:sz w:val="21"/>
                      <w:szCs w:val="21"/>
                    </w:rPr>
                  </w:pPr>
                  <w:r>
                    <w:rPr>
                      <w:spacing w:val="-20"/>
                      <w:sz w:val="21"/>
                      <w:szCs w:val="21"/>
                    </w:rPr>
                    <w:t>0.948</w:t>
                  </w:r>
                </w:p>
              </w:tc>
              <w:tc>
                <w:tcPr>
                  <w:tcW w:w="832" w:type="dxa"/>
                  <w:vAlign w:val="center"/>
                </w:tcPr>
                <w:p>
                  <w:pPr>
                    <w:spacing w:line="240" w:lineRule="auto"/>
                    <w:jc w:val="center"/>
                    <w:rPr>
                      <w:sz w:val="21"/>
                      <w:szCs w:val="21"/>
                    </w:rPr>
                  </w:pPr>
                  <w:r>
                    <w:rPr>
                      <w:spacing w:val="-20"/>
                      <w:sz w:val="21"/>
                      <w:szCs w:val="21"/>
                    </w:rPr>
                    <w:t>20</w:t>
                  </w:r>
                </w:p>
              </w:tc>
              <w:tc>
                <w:tcPr>
                  <w:tcW w:w="990" w:type="dxa"/>
                  <w:vAlign w:val="center"/>
                </w:tcPr>
                <w:p>
                  <w:pPr>
                    <w:spacing w:line="240" w:lineRule="auto"/>
                    <w:jc w:val="center"/>
                    <w:rPr>
                      <w:sz w:val="21"/>
                      <w:szCs w:val="21"/>
                    </w:rPr>
                  </w:pPr>
                  <w:r>
                    <w:rPr>
                      <w:rFonts w:hint="eastAsia"/>
                      <w:spacing w:val="-20"/>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restart"/>
                  <w:vAlign w:val="center"/>
                </w:tcPr>
                <w:p>
                  <w:pPr>
                    <w:spacing w:line="240" w:lineRule="auto"/>
                    <w:jc w:val="center"/>
                    <w:rPr>
                      <w:spacing w:val="-20"/>
                      <w:sz w:val="21"/>
                      <w:szCs w:val="21"/>
                    </w:rPr>
                  </w:pPr>
                  <w:r>
                    <w:rPr>
                      <w:spacing w:val="-20"/>
                      <w:sz w:val="21"/>
                      <w:szCs w:val="21"/>
                    </w:rPr>
                    <w:t>1月</w:t>
                  </w:r>
                </w:p>
                <w:p>
                  <w:pPr>
                    <w:spacing w:line="240" w:lineRule="auto"/>
                    <w:jc w:val="center"/>
                    <w:rPr>
                      <w:sz w:val="21"/>
                      <w:szCs w:val="21"/>
                    </w:rPr>
                  </w:pPr>
                  <w:r>
                    <w:rPr>
                      <w:spacing w:val="-20"/>
                      <w:sz w:val="21"/>
                      <w:szCs w:val="21"/>
                    </w:rPr>
                    <w:t>11日</w:t>
                  </w:r>
                </w:p>
              </w:tc>
              <w:tc>
                <w:tcPr>
                  <w:tcW w:w="797" w:type="dxa"/>
                  <w:vMerge w:val="restart"/>
                  <w:vAlign w:val="center"/>
                </w:tcPr>
                <w:p>
                  <w:pPr>
                    <w:spacing w:line="240" w:lineRule="auto"/>
                    <w:jc w:val="center"/>
                    <w:rPr>
                      <w:sz w:val="21"/>
                      <w:szCs w:val="21"/>
                    </w:rPr>
                  </w:pPr>
                  <w:r>
                    <w:rPr>
                      <w:spacing w:val="-20"/>
                      <w:sz w:val="21"/>
                      <w:szCs w:val="21"/>
                    </w:rPr>
                    <w:t>石梁河</w:t>
                  </w:r>
                </w:p>
              </w:tc>
              <w:tc>
                <w:tcPr>
                  <w:tcW w:w="797" w:type="dxa"/>
                  <w:vAlign w:val="center"/>
                </w:tcPr>
                <w:p>
                  <w:pPr>
                    <w:spacing w:line="240" w:lineRule="auto"/>
                    <w:jc w:val="center"/>
                    <w:rPr>
                      <w:sz w:val="21"/>
                      <w:szCs w:val="21"/>
                    </w:rPr>
                  </w:pPr>
                  <w:r>
                    <w:rPr>
                      <w:spacing w:val="-20"/>
                      <w:sz w:val="21"/>
                      <w:szCs w:val="21"/>
                    </w:rPr>
                    <w:t>S1</w:t>
                  </w:r>
                </w:p>
              </w:tc>
              <w:tc>
                <w:tcPr>
                  <w:tcW w:w="1000" w:type="dxa"/>
                  <w:vAlign w:val="center"/>
                </w:tcPr>
                <w:p>
                  <w:pPr>
                    <w:spacing w:line="240" w:lineRule="auto"/>
                    <w:jc w:val="center"/>
                    <w:rPr>
                      <w:sz w:val="21"/>
                      <w:szCs w:val="21"/>
                    </w:rPr>
                  </w:pPr>
                  <w:r>
                    <w:rPr>
                      <w:spacing w:val="-20"/>
                      <w:sz w:val="21"/>
                      <w:szCs w:val="21"/>
                    </w:rPr>
                    <w:t>7.54</w:t>
                  </w:r>
                </w:p>
              </w:tc>
              <w:tc>
                <w:tcPr>
                  <w:tcW w:w="930" w:type="dxa"/>
                  <w:vAlign w:val="center"/>
                </w:tcPr>
                <w:p>
                  <w:pPr>
                    <w:spacing w:line="240" w:lineRule="auto"/>
                    <w:jc w:val="center"/>
                    <w:rPr>
                      <w:sz w:val="21"/>
                      <w:szCs w:val="21"/>
                    </w:rPr>
                  </w:pPr>
                  <w:r>
                    <w:rPr>
                      <w:spacing w:val="-20"/>
                      <w:sz w:val="21"/>
                      <w:szCs w:val="21"/>
                    </w:rPr>
                    <w:t>22</w:t>
                  </w:r>
                </w:p>
              </w:tc>
              <w:tc>
                <w:tcPr>
                  <w:tcW w:w="840" w:type="dxa"/>
                  <w:vAlign w:val="center"/>
                </w:tcPr>
                <w:p>
                  <w:pPr>
                    <w:spacing w:line="240" w:lineRule="auto"/>
                    <w:jc w:val="center"/>
                    <w:rPr>
                      <w:sz w:val="21"/>
                      <w:szCs w:val="21"/>
                    </w:rPr>
                  </w:pPr>
                  <w:r>
                    <w:rPr>
                      <w:spacing w:val="-20"/>
                      <w:sz w:val="21"/>
                      <w:szCs w:val="21"/>
                    </w:rPr>
                    <w:t>5.2</w:t>
                  </w:r>
                </w:p>
              </w:tc>
              <w:tc>
                <w:tcPr>
                  <w:tcW w:w="953" w:type="dxa"/>
                  <w:vAlign w:val="center"/>
                </w:tcPr>
                <w:p>
                  <w:pPr>
                    <w:spacing w:line="240" w:lineRule="auto"/>
                    <w:jc w:val="center"/>
                    <w:rPr>
                      <w:sz w:val="21"/>
                      <w:szCs w:val="21"/>
                    </w:rPr>
                  </w:pPr>
                  <w:r>
                    <w:rPr>
                      <w:spacing w:val="-20"/>
                      <w:sz w:val="21"/>
                      <w:szCs w:val="21"/>
                    </w:rPr>
                    <w:t>0.441</w:t>
                  </w:r>
                </w:p>
              </w:tc>
              <w:tc>
                <w:tcPr>
                  <w:tcW w:w="832" w:type="dxa"/>
                  <w:vAlign w:val="center"/>
                </w:tcPr>
                <w:p>
                  <w:pPr>
                    <w:spacing w:line="240" w:lineRule="auto"/>
                    <w:jc w:val="center"/>
                    <w:rPr>
                      <w:sz w:val="21"/>
                      <w:szCs w:val="21"/>
                    </w:rPr>
                  </w:pPr>
                  <w:r>
                    <w:rPr>
                      <w:spacing w:val="-20"/>
                      <w:sz w:val="21"/>
                      <w:szCs w:val="21"/>
                    </w:rPr>
                    <w:t>13</w:t>
                  </w:r>
                </w:p>
              </w:tc>
              <w:tc>
                <w:tcPr>
                  <w:tcW w:w="990" w:type="dxa"/>
                  <w:vAlign w:val="center"/>
                </w:tcPr>
                <w:p>
                  <w:pPr>
                    <w:spacing w:line="240" w:lineRule="auto"/>
                    <w:jc w:val="center"/>
                    <w:rPr>
                      <w:sz w:val="21"/>
                      <w:szCs w:val="21"/>
                    </w:rPr>
                  </w:pPr>
                  <w:r>
                    <w:rPr>
                      <w:rFonts w:hint="eastAsia"/>
                      <w:spacing w:val="-20"/>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continue"/>
                  <w:vAlign w:val="center"/>
                </w:tcPr>
                <w:p>
                  <w:pPr>
                    <w:spacing w:line="240" w:lineRule="auto"/>
                    <w:jc w:val="center"/>
                    <w:rPr>
                      <w:sz w:val="21"/>
                      <w:szCs w:val="21"/>
                    </w:rPr>
                  </w:pPr>
                </w:p>
              </w:tc>
              <w:tc>
                <w:tcPr>
                  <w:tcW w:w="797" w:type="dxa"/>
                  <w:vMerge w:val="continue"/>
                  <w:vAlign w:val="center"/>
                </w:tcPr>
                <w:p>
                  <w:pPr>
                    <w:spacing w:line="240" w:lineRule="auto"/>
                    <w:jc w:val="center"/>
                    <w:rPr>
                      <w:sz w:val="21"/>
                      <w:szCs w:val="21"/>
                    </w:rPr>
                  </w:pPr>
                </w:p>
              </w:tc>
              <w:tc>
                <w:tcPr>
                  <w:tcW w:w="797" w:type="dxa"/>
                  <w:vAlign w:val="center"/>
                </w:tcPr>
                <w:p>
                  <w:pPr>
                    <w:spacing w:line="240" w:lineRule="auto"/>
                    <w:jc w:val="center"/>
                    <w:rPr>
                      <w:sz w:val="21"/>
                      <w:szCs w:val="21"/>
                    </w:rPr>
                  </w:pPr>
                  <w:r>
                    <w:rPr>
                      <w:spacing w:val="-20"/>
                      <w:sz w:val="21"/>
                      <w:szCs w:val="21"/>
                    </w:rPr>
                    <w:t>S2</w:t>
                  </w:r>
                </w:p>
              </w:tc>
              <w:tc>
                <w:tcPr>
                  <w:tcW w:w="1000" w:type="dxa"/>
                  <w:vAlign w:val="center"/>
                </w:tcPr>
                <w:p>
                  <w:pPr>
                    <w:spacing w:line="240" w:lineRule="auto"/>
                    <w:jc w:val="center"/>
                    <w:rPr>
                      <w:sz w:val="21"/>
                      <w:szCs w:val="21"/>
                    </w:rPr>
                  </w:pPr>
                  <w:r>
                    <w:rPr>
                      <w:spacing w:val="-20"/>
                      <w:sz w:val="21"/>
                      <w:szCs w:val="21"/>
                    </w:rPr>
                    <w:t>7.57</w:t>
                  </w:r>
                </w:p>
              </w:tc>
              <w:tc>
                <w:tcPr>
                  <w:tcW w:w="930" w:type="dxa"/>
                  <w:vAlign w:val="center"/>
                </w:tcPr>
                <w:p>
                  <w:pPr>
                    <w:spacing w:line="240" w:lineRule="auto"/>
                    <w:jc w:val="center"/>
                    <w:rPr>
                      <w:sz w:val="21"/>
                      <w:szCs w:val="21"/>
                    </w:rPr>
                  </w:pPr>
                  <w:r>
                    <w:rPr>
                      <w:spacing w:val="-20"/>
                      <w:sz w:val="21"/>
                      <w:szCs w:val="21"/>
                    </w:rPr>
                    <w:t>27</w:t>
                  </w:r>
                </w:p>
              </w:tc>
              <w:tc>
                <w:tcPr>
                  <w:tcW w:w="840" w:type="dxa"/>
                  <w:vAlign w:val="center"/>
                </w:tcPr>
                <w:p>
                  <w:pPr>
                    <w:spacing w:line="240" w:lineRule="auto"/>
                    <w:jc w:val="center"/>
                    <w:rPr>
                      <w:sz w:val="21"/>
                      <w:szCs w:val="21"/>
                    </w:rPr>
                  </w:pPr>
                  <w:r>
                    <w:rPr>
                      <w:spacing w:val="-20"/>
                      <w:sz w:val="21"/>
                      <w:szCs w:val="21"/>
                    </w:rPr>
                    <w:t>7.4</w:t>
                  </w:r>
                </w:p>
              </w:tc>
              <w:tc>
                <w:tcPr>
                  <w:tcW w:w="953" w:type="dxa"/>
                  <w:vAlign w:val="center"/>
                </w:tcPr>
                <w:p>
                  <w:pPr>
                    <w:spacing w:line="240" w:lineRule="auto"/>
                    <w:jc w:val="center"/>
                    <w:rPr>
                      <w:sz w:val="21"/>
                      <w:szCs w:val="21"/>
                    </w:rPr>
                  </w:pPr>
                  <w:r>
                    <w:rPr>
                      <w:spacing w:val="-20"/>
                      <w:sz w:val="21"/>
                      <w:szCs w:val="21"/>
                    </w:rPr>
                    <w:t>0.601</w:t>
                  </w:r>
                </w:p>
              </w:tc>
              <w:tc>
                <w:tcPr>
                  <w:tcW w:w="832" w:type="dxa"/>
                  <w:vAlign w:val="center"/>
                </w:tcPr>
                <w:p>
                  <w:pPr>
                    <w:spacing w:line="240" w:lineRule="auto"/>
                    <w:jc w:val="center"/>
                    <w:rPr>
                      <w:sz w:val="21"/>
                      <w:szCs w:val="21"/>
                    </w:rPr>
                  </w:pPr>
                  <w:r>
                    <w:rPr>
                      <w:spacing w:val="-20"/>
                      <w:sz w:val="21"/>
                      <w:szCs w:val="21"/>
                    </w:rPr>
                    <w:t>20</w:t>
                  </w:r>
                </w:p>
              </w:tc>
              <w:tc>
                <w:tcPr>
                  <w:tcW w:w="990" w:type="dxa"/>
                  <w:vAlign w:val="center"/>
                </w:tcPr>
                <w:p>
                  <w:pPr>
                    <w:spacing w:line="240" w:lineRule="auto"/>
                    <w:jc w:val="center"/>
                    <w:rPr>
                      <w:sz w:val="21"/>
                      <w:szCs w:val="21"/>
                    </w:rPr>
                  </w:pPr>
                  <w:r>
                    <w:rPr>
                      <w:rFonts w:hint="eastAsia"/>
                      <w:spacing w:val="-20"/>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Merge w:val="continue"/>
                  <w:vAlign w:val="center"/>
                </w:tcPr>
                <w:p>
                  <w:pPr>
                    <w:spacing w:line="240" w:lineRule="auto"/>
                    <w:jc w:val="center"/>
                    <w:rPr>
                      <w:sz w:val="21"/>
                      <w:szCs w:val="21"/>
                    </w:rPr>
                  </w:pPr>
                </w:p>
              </w:tc>
              <w:tc>
                <w:tcPr>
                  <w:tcW w:w="797" w:type="dxa"/>
                  <w:vMerge w:val="continue"/>
                  <w:vAlign w:val="center"/>
                </w:tcPr>
                <w:p>
                  <w:pPr>
                    <w:spacing w:line="240" w:lineRule="auto"/>
                    <w:jc w:val="center"/>
                    <w:rPr>
                      <w:sz w:val="21"/>
                      <w:szCs w:val="21"/>
                    </w:rPr>
                  </w:pPr>
                </w:p>
              </w:tc>
              <w:tc>
                <w:tcPr>
                  <w:tcW w:w="797" w:type="dxa"/>
                  <w:vAlign w:val="center"/>
                </w:tcPr>
                <w:p>
                  <w:pPr>
                    <w:spacing w:line="240" w:lineRule="auto"/>
                    <w:jc w:val="center"/>
                    <w:rPr>
                      <w:sz w:val="21"/>
                      <w:szCs w:val="21"/>
                    </w:rPr>
                  </w:pPr>
                  <w:r>
                    <w:rPr>
                      <w:spacing w:val="-20"/>
                      <w:sz w:val="21"/>
                      <w:szCs w:val="21"/>
                    </w:rPr>
                    <w:t>S3</w:t>
                  </w:r>
                </w:p>
              </w:tc>
              <w:tc>
                <w:tcPr>
                  <w:tcW w:w="1000" w:type="dxa"/>
                  <w:vAlign w:val="center"/>
                </w:tcPr>
                <w:p>
                  <w:pPr>
                    <w:spacing w:line="240" w:lineRule="auto"/>
                    <w:jc w:val="center"/>
                    <w:rPr>
                      <w:sz w:val="21"/>
                      <w:szCs w:val="21"/>
                    </w:rPr>
                  </w:pPr>
                  <w:r>
                    <w:rPr>
                      <w:spacing w:val="-20"/>
                      <w:sz w:val="21"/>
                      <w:szCs w:val="21"/>
                    </w:rPr>
                    <w:t>7.61</w:t>
                  </w:r>
                </w:p>
              </w:tc>
              <w:tc>
                <w:tcPr>
                  <w:tcW w:w="930" w:type="dxa"/>
                  <w:vAlign w:val="center"/>
                </w:tcPr>
                <w:p>
                  <w:pPr>
                    <w:spacing w:line="240" w:lineRule="auto"/>
                    <w:jc w:val="center"/>
                    <w:rPr>
                      <w:sz w:val="21"/>
                      <w:szCs w:val="21"/>
                    </w:rPr>
                  </w:pPr>
                  <w:r>
                    <w:rPr>
                      <w:spacing w:val="-20"/>
                      <w:sz w:val="21"/>
                      <w:szCs w:val="21"/>
                    </w:rPr>
                    <w:t>21</w:t>
                  </w:r>
                </w:p>
              </w:tc>
              <w:tc>
                <w:tcPr>
                  <w:tcW w:w="840" w:type="dxa"/>
                  <w:vAlign w:val="center"/>
                </w:tcPr>
                <w:p>
                  <w:pPr>
                    <w:spacing w:line="240" w:lineRule="auto"/>
                    <w:jc w:val="center"/>
                    <w:rPr>
                      <w:sz w:val="21"/>
                      <w:szCs w:val="21"/>
                    </w:rPr>
                  </w:pPr>
                  <w:r>
                    <w:rPr>
                      <w:spacing w:val="-20"/>
                      <w:sz w:val="21"/>
                      <w:szCs w:val="21"/>
                    </w:rPr>
                    <w:t>5.8</w:t>
                  </w:r>
                </w:p>
              </w:tc>
              <w:tc>
                <w:tcPr>
                  <w:tcW w:w="953" w:type="dxa"/>
                  <w:vAlign w:val="center"/>
                </w:tcPr>
                <w:p>
                  <w:pPr>
                    <w:spacing w:line="240" w:lineRule="auto"/>
                    <w:jc w:val="center"/>
                    <w:rPr>
                      <w:sz w:val="21"/>
                      <w:szCs w:val="21"/>
                    </w:rPr>
                  </w:pPr>
                  <w:r>
                    <w:rPr>
                      <w:spacing w:val="-20"/>
                      <w:sz w:val="21"/>
                      <w:szCs w:val="21"/>
                    </w:rPr>
                    <w:t>0.924</w:t>
                  </w:r>
                </w:p>
              </w:tc>
              <w:tc>
                <w:tcPr>
                  <w:tcW w:w="832" w:type="dxa"/>
                  <w:vAlign w:val="center"/>
                </w:tcPr>
                <w:p>
                  <w:pPr>
                    <w:spacing w:line="240" w:lineRule="auto"/>
                    <w:jc w:val="center"/>
                    <w:rPr>
                      <w:sz w:val="21"/>
                      <w:szCs w:val="21"/>
                    </w:rPr>
                  </w:pPr>
                  <w:r>
                    <w:rPr>
                      <w:spacing w:val="-20"/>
                      <w:sz w:val="21"/>
                      <w:szCs w:val="21"/>
                    </w:rPr>
                    <w:t>23</w:t>
                  </w:r>
                </w:p>
              </w:tc>
              <w:tc>
                <w:tcPr>
                  <w:tcW w:w="990" w:type="dxa"/>
                  <w:vAlign w:val="center"/>
                </w:tcPr>
                <w:p>
                  <w:pPr>
                    <w:spacing w:line="240" w:lineRule="auto"/>
                    <w:jc w:val="center"/>
                    <w:rPr>
                      <w:sz w:val="21"/>
                      <w:szCs w:val="21"/>
                    </w:rPr>
                  </w:pPr>
                  <w:r>
                    <w:rPr>
                      <w:rFonts w:hint="eastAsia"/>
                      <w:spacing w:val="-20"/>
                      <w:sz w:val="21"/>
                      <w:szCs w:val="21"/>
                    </w:rPr>
                    <w:t>0.14</w:t>
                  </w:r>
                </w:p>
              </w:tc>
            </w:tr>
          </w:tbl>
          <w:p>
            <w:pPr>
              <w:spacing w:line="360" w:lineRule="auto"/>
              <w:ind w:firstLine="480" w:firstLineChars="200"/>
              <w:rPr>
                <w:color w:val="000000"/>
                <w:kern w:val="0"/>
                <w:sz w:val="24"/>
              </w:rPr>
            </w:pPr>
            <w:r>
              <w:rPr>
                <w:sz w:val="24"/>
              </w:rPr>
              <w:t>现状监测结果表明：石梁河</w:t>
            </w:r>
            <w:r>
              <w:rPr>
                <w:rFonts w:hint="eastAsia"/>
                <w:sz w:val="24"/>
              </w:rPr>
              <w:t>S</w:t>
            </w:r>
            <w:r>
              <w:rPr>
                <w:sz w:val="24"/>
              </w:rPr>
              <w:t>1、</w:t>
            </w:r>
            <w:r>
              <w:rPr>
                <w:rFonts w:hint="eastAsia"/>
                <w:sz w:val="24"/>
              </w:rPr>
              <w:t>S</w:t>
            </w:r>
            <w:r>
              <w:rPr>
                <w:sz w:val="24"/>
              </w:rPr>
              <w:t>2、</w:t>
            </w:r>
            <w:r>
              <w:rPr>
                <w:rFonts w:hint="eastAsia"/>
                <w:sz w:val="24"/>
              </w:rPr>
              <w:t>S</w:t>
            </w:r>
            <w:r>
              <w:rPr>
                <w:sz w:val="24"/>
              </w:rPr>
              <w:t>3点位水质各监测因子均能够满足《地表水环境质量标准》（GB3838-2002）Ⅳ类水体的要求。</w:t>
            </w:r>
          </w:p>
          <w:p>
            <w:pPr>
              <w:adjustRightInd w:val="0"/>
              <w:snapToGrid w:val="0"/>
              <w:spacing w:line="360" w:lineRule="auto"/>
              <w:ind w:firstLine="480" w:firstLineChars="200"/>
              <w:jc w:val="left"/>
              <w:rPr>
                <w:color w:val="000000"/>
                <w:kern w:val="0"/>
                <w:sz w:val="24"/>
              </w:rPr>
            </w:pPr>
            <w:r>
              <w:rPr>
                <w:color w:val="000000"/>
                <w:kern w:val="0"/>
                <w:sz w:val="24"/>
              </w:rPr>
              <w:t>3、声环境</w:t>
            </w:r>
          </w:p>
          <w:p>
            <w:pPr>
              <w:adjustRightInd w:val="0"/>
              <w:snapToGrid w:val="0"/>
              <w:spacing w:line="360" w:lineRule="auto"/>
              <w:ind w:firstLine="480" w:firstLineChars="200"/>
              <w:jc w:val="left"/>
              <w:rPr>
                <w:sz w:val="24"/>
              </w:rPr>
            </w:pPr>
            <w:r>
              <w:rPr>
                <w:rFonts w:hint="eastAsia" w:cs="宋体"/>
                <w:sz w:val="24"/>
              </w:rPr>
              <w:t>本</w:t>
            </w:r>
            <w:r>
              <w:rPr>
                <w:rFonts w:hint="eastAsia"/>
                <w:sz w:val="24"/>
              </w:rPr>
              <w:t>项目厂界外周边50m范围内不存在声环境保护目标，《安徽泗县经济开发区环境影响区域评估报告》声环境质量现状监测结果及结论，项目所在区域环境质量现状满足《声环境质量标准》（GB3096-2008）中3类标准要求。</w:t>
            </w:r>
          </w:p>
          <w:p>
            <w:pPr>
              <w:adjustRightInd w:val="0"/>
              <w:snapToGrid w:val="0"/>
              <w:spacing w:line="360" w:lineRule="auto"/>
              <w:ind w:firstLine="480" w:firstLineChars="200"/>
              <w:jc w:val="left"/>
              <w:rPr>
                <w:sz w:val="24"/>
              </w:rPr>
            </w:pPr>
          </w:p>
          <w:p>
            <w:pPr>
              <w:pStyle w:val="9"/>
              <w:rPr>
                <w:sz w:val="24"/>
              </w:rPr>
            </w:pPr>
          </w:p>
          <w:p>
            <w:pPr>
              <w:rPr>
                <w:sz w:val="24"/>
              </w:rPr>
            </w:pPr>
          </w:p>
          <w:p>
            <w:pPr>
              <w:pStyle w:val="9"/>
              <w:rPr>
                <w:sz w:val="24"/>
              </w:rPr>
            </w:pPr>
          </w:p>
          <w:p>
            <w:pPr>
              <w:rPr>
                <w:sz w:val="24"/>
              </w:rPr>
            </w:pPr>
          </w:p>
          <w:p>
            <w:pPr>
              <w:pStyle w:val="9"/>
              <w:rPr>
                <w:sz w:val="24"/>
              </w:rPr>
            </w:pPr>
          </w:p>
          <w:p>
            <w:pPr>
              <w:rPr>
                <w:sz w:val="24"/>
              </w:rPr>
            </w:pPr>
          </w:p>
          <w:p>
            <w:pPr>
              <w:pStyle w:val="9"/>
              <w:rPr>
                <w:sz w:val="24"/>
              </w:rPr>
            </w:pPr>
          </w:p>
          <w:p>
            <w:pPr>
              <w:rPr>
                <w:sz w:val="24"/>
              </w:rPr>
            </w:pPr>
          </w:p>
          <w:p>
            <w:pPr>
              <w:pStyle w:val="9"/>
            </w:pPr>
          </w:p>
          <w:p>
            <w:pPr>
              <w:adjustRightInd w:val="0"/>
              <w:snapToGrid w:val="0"/>
              <w:spacing w:line="360" w:lineRule="auto"/>
              <w:jc w:val="lef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800" w:type="dxa"/>
            <w:vAlign w:val="center"/>
          </w:tcPr>
          <w:p>
            <w:pPr>
              <w:adjustRightInd w:val="0"/>
              <w:snapToGrid w:val="0"/>
              <w:jc w:val="center"/>
              <w:rPr>
                <w:color w:val="000000"/>
                <w:kern w:val="0"/>
                <w:sz w:val="24"/>
              </w:rPr>
            </w:pPr>
            <w:r>
              <w:rPr>
                <w:color w:val="000000"/>
                <w:kern w:val="0"/>
                <w:sz w:val="24"/>
              </w:rPr>
              <w:t>环境</w:t>
            </w:r>
          </w:p>
          <w:p>
            <w:pPr>
              <w:adjustRightInd w:val="0"/>
              <w:snapToGrid w:val="0"/>
              <w:jc w:val="center"/>
              <w:rPr>
                <w:color w:val="000000"/>
                <w:kern w:val="0"/>
                <w:sz w:val="24"/>
              </w:rPr>
            </w:pPr>
            <w:r>
              <w:rPr>
                <w:color w:val="000000"/>
                <w:kern w:val="0"/>
                <w:sz w:val="24"/>
              </w:rPr>
              <w:t>保护</w:t>
            </w:r>
          </w:p>
          <w:p>
            <w:pPr>
              <w:adjustRightInd w:val="0"/>
              <w:snapToGrid w:val="0"/>
              <w:jc w:val="center"/>
              <w:rPr>
                <w:color w:val="000000"/>
                <w:kern w:val="0"/>
                <w:sz w:val="24"/>
              </w:rPr>
            </w:pPr>
            <w:r>
              <w:rPr>
                <w:color w:val="000000"/>
                <w:kern w:val="0"/>
                <w:sz w:val="24"/>
              </w:rPr>
              <w:t>目标</w:t>
            </w:r>
          </w:p>
        </w:tc>
        <w:tc>
          <w:tcPr>
            <w:tcW w:w="8190" w:type="dxa"/>
          </w:tcPr>
          <w:p>
            <w:pPr>
              <w:adjustRightInd w:val="0"/>
              <w:snapToGrid w:val="0"/>
              <w:spacing w:line="360" w:lineRule="auto"/>
              <w:ind w:firstLine="480" w:firstLineChars="200"/>
              <w:rPr>
                <w:color w:val="000000"/>
                <w:kern w:val="0"/>
                <w:sz w:val="24"/>
              </w:rPr>
            </w:pPr>
            <w:r>
              <w:rPr>
                <w:color w:val="000000"/>
                <w:kern w:val="0"/>
                <w:sz w:val="24"/>
              </w:rPr>
              <w:t>1、大气环境</w:t>
            </w:r>
          </w:p>
          <w:p>
            <w:pPr>
              <w:pStyle w:val="9"/>
              <w:jc w:val="center"/>
              <w:rPr>
                <w:sz w:val="24"/>
                <w:szCs w:val="24"/>
              </w:rPr>
            </w:pPr>
            <w:r>
              <w:rPr>
                <w:b/>
                <w:bCs/>
                <w:sz w:val="24"/>
                <w:szCs w:val="24"/>
              </w:rPr>
              <w:t>表</w:t>
            </w:r>
            <w:r>
              <w:rPr>
                <w:rFonts w:hint="eastAsia"/>
                <w:b/>
                <w:bCs/>
                <w:sz w:val="24"/>
                <w:szCs w:val="24"/>
              </w:rPr>
              <w:t xml:space="preserve">3-5 </w:t>
            </w:r>
            <w:r>
              <w:rPr>
                <w:b/>
                <w:bCs/>
                <w:sz w:val="24"/>
                <w:szCs w:val="24"/>
              </w:rPr>
              <w:t xml:space="preserve"> 主要环境保护</w:t>
            </w:r>
            <w:r>
              <w:rPr>
                <w:rFonts w:hint="eastAsia"/>
                <w:b/>
                <w:bCs/>
                <w:sz w:val="24"/>
                <w:szCs w:val="24"/>
              </w:rPr>
              <w:t>目标</w:t>
            </w:r>
            <w:r>
              <w:rPr>
                <w:b/>
                <w:bCs/>
                <w:sz w:val="24"/>
                <w:szCs w:val="24"/>
              </w:rPr>
              <w:t>一览表</w:t>
            </w:r>
          </w:p>
          <w:tbl>
            <w:tblPr>
              <w:tblStyle w:val="24"/>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5"/>
              <w:gridCol w:w="832"/>
              <w:gridCol w:w="893"/>
              <w:gridCol w:w="945"/>
              <w:gridCol w:w="1267"/>
              <w:gridCol w:w="102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restart"/>
                  <w:vAlign w:val="center"/>
                </w:tcPr>
                <w:p>
                  <w:pPr>
                    <w:pStyle w:val="9"/>
                    <w:spacing w:before="0" w:after="0" w:line="240" w:lineRule="auto"/>
                    <w:jc w:val="center"/>
                    <w:rPr>
                      <w:b/>
                      <w:sz w:val="21"/>
                      <w:szCs w:val="21"/>
                    </w:rPr>
                  </w:pPr>
                  <w:r>
                    <w:rPr>
                      <w:rFonts w:hint="eastAsia"/>
                      <w:b/>
                      <w:sz w:val="21"/>
                      <w:szCs w:val="21"/>
                    </w:rPr>
                    <w:t>名称</w:t>
                  </w:r>
                </w:p>
              </w:tc>
              <w:tc>
                <w:tcPr>
                  <w:tcW w:w="1687" w:type="dxa"/>
                  <w:gridSpan w:val="2"/>
                  <w:vAlign w:val="center"/>
                </w:tcPr>
                <w:p>
                  <w:pPr>
                    <w:pStyle w:val="9"/>
                    <w:spacing w:before="0" w:after="0" w:line="240" w:lineRule="auto"/>
                    <w:jc w:val="center"/>
                    <w:rPr>
                      <w:b/>
                      <w:sz w:val="21"/>
                      <w:szCs w:val="21"/>
                    </w:rPr>
                  </w:pPr>
                  <w:r>
                    <w:rPr>
                      <w:rFonts w:hint="eastAsia"/>
                      <w:b/>
                      <w:sz w:val="21"/>
                      <w:szCs w:val="21"/>
                    </w:rPr>
                    <w:t>坐标</w:t>
                  </w:r>
                </w:p>
              </w:tc>
              <w:tc>
                <w:tcPr>
                  <w:tcW w:w="893" w:type="dxa"/>
                  <w:vMerge w:val="restart"/>
                  <w:vAlign w:val="center"/>
                </w:tcPr>
                <w:p>
                  <w:pPr>
                    <w:pStyle w:val="9"/>
                    <w:spacing w:before="0" w:after="0" w:line="240" w:lineRule="auto"/>
                    <w:jc w:val="center"/>
                    <w:rPr>
                      <w:b/>
                      <w:sz w:val="21"/>
                      <w:szCs w:val="21"/>
                    </w:rPr>
                  </w:pPr>
                  <w:r>
                    <w:rPr>
                      <w:rFonts w:hint="eastAsia"/>
                      <w:b/>
                      <w:sz w:val="21"/>
                      <w:szCs w:val="21"/>
                    </w:rPr>
                    <w:t>保护对象</w:t>
                  </w:r>
                </w:p>
              </w:tc>
              <w:tc>
                <w:tcPr>
                  <w:tcW w:w="945" w:type="dxa"/>
                  <w:vMerge w:val="restart"/>
                  <w:vAlign w:val="center"/>
                </w:tcPr>
                <w:p>
                  <w:pPr>
                    <w:pStyle w:val="9"/>
                    <w:spacing w:before="0" w:after="0" w:line="240" w:lineRule="auto"/>
                    <w:jc w:val="center"/>
                    <w:rPr>
                      <w:b/>
                      <w:sz w:val="21"/>
                      <w:szCs w:val="21"/>
                    </w:rPr>
                  </w:pPr>
                  <w:r>
                    <w:rPr>
                      <w:rFonts w:hint="eastAsia"/>
                      <w:b/>
                      <w:sz w:val="21"/>
                      <w:szCs w:val="21"/>
                    </w:rPr>
                    <w:t>保护内容</w:t>
                  </w:r>
                </w:p>
              </w:tc>
              <w:tc>
                <w:tcPr>
                  <w:tcW w:w="1267" w:type="dxa"/>
                  <w:vMerge w:val="restart"/>
                  <w:vAlign w:val="center"/>
                </w:tcPr>
                <w:p>
                  <w:pPr>
                    <w:pStyle w:val="9"/>
                    <w:spacing w:before="0" w:after="0" w:line="240" w:lineRule="auto"/>
                    <w:jc w:val="center"/>
                    <w:rPr>
                      <w:b/>
                      <w:sz w:val="21"/>
                      <w:szCs w:val="21"/>
                    </w:rPr>
                  </w:pPr>
                  <w:r>
                    <w:rPr>
                      <w:rFonts w:hint="eastAsia"/>
                      <w:b/>
                      <w:sz w:val="21"/>
                      <w:szCs w:val="21"/>
                    </w:rPr>
                    <w:t>环境功能区</w:t>
                  </w:r>
                </w:p>
              </w:tc>
              <w:tc>
                <w:tcPr>
                  <w:tcW w:w="1020" w:type="dxa"/>
                  <w:vMerge w:val="restart"/>
                  <w:vAlign w:val="center"/>
                </w:tcPr>
                <w:p>
                  <w:pPr>
                    <w:pStyle w:val="9"/>
                    <w:spacing w:before="0" w:after="0" w:line="240" w:lineRule="auto"/>
                    <w:jc w:val="center"/>
                    <w:rPr>
                      <w:b/>
                      <w:sz w:val="21"/>
                      <w:szCs w:val="21"/>
                    </w:rPr>
                  </w:pPr>
                  <w:r>
                    <w:rPr>
                      <w:rFonts w:hint="eastAsia"/>
                      <w:b/>
                      <w:sz w:val="21"/>
                      <w:szCs w:val="21"/>
                    </w:rPr>
                    <w:t>相对厂址方位</w:t>
                  </w:r>
                </w:p>
              </w:tc>
              <w:tc>
                <w:tcPr>
                  <w:tcW w:w="1077" w:type="dxa"/>
                  <w:vMerge w:val="restart"/>
                  <w:vAlign w:val="center"/>
                </w:tcPr>
                <w:p>
                  <w:pPr>
                    <w:pStyle w:val="9"/>
                    <w:spacing w:before="0" w:after="0" w:line="240" w:lineRule="auto"/>
                    <w:jc w:val="center"/>
                    <w:rPr>
                      <w:b/>
                      <w:sz w:val="21"/>
                      <w:szCs w:val="21"/>
                    </w:rPr>
                  </w:pPr>
                  <w:r>
                    <w:rPr>
                      <w:rFonts w:hint="eastAsia"/>
                      <w:b/>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5" w:type="dxa"/>
                  <w:vMerge w:val="continue"/>
                  <w:vAlign w:val="center"/>
                </w:tcPr>
                <w:p>
                  <w:pPr>
                    <w:pStyle w:val="9"/>
                    <w:spacing w:before="0" w:after="0" w:line="240" w:lineRule="auto"/>
                    <w:jc w:val="center"/>
                    <w:rPr>
                      <w:b/>
                      <w:sz w:val="21"/>
                      <w:szCs w:val="21"/>
                    </w:rPr>
                  </w:pPr>
                </w:p>
              </w:tc>
              <w:tc>
                <w:tcPr>
                  <w:tcW w:w="855" w:type="dxa"/>
                  <w:vAlign w:val="center"/>
                </w:tcPr>
                <w:p>
                  <w:pPr>
                    <w:pStyle w:val="9"/>
                    <w:spacing w:before="0" w:after="0" w:line="240" w:lineRule="auto"/>
                    <w:jc w:val="center"/>
                    <w:rPr>
                      <w:b/>
                      <w:sz w:val="21"/>
                      <w:szCs w:val="21"/>
                    </w:rPr>
                  </w:pPr>
                  <w:r>
                    <w:rPr>
                      <w:rFonts w:hint="eastAsia"/>
                      <w:b/>
                      <w:sz w:val="21"/>
                      <w:szCs w:val="21"/>
                    </w:rPr>
                    <w:t>X/m</w:t>
                  </w:r>
                </w:p>
              </w:tc>
              <w:tc>
                <w:tcPr>
                  <w:tcW w:w="832" w:type="dxa"/>
                  <w:vAlign w:val="center"/>
                </w:tcPr>
                <w:p>
                  <w:pPr>
                    <w:pStyle w:val="9"/>
                    <w:spacing w:before="0" w:after="0" w:line="240" w:lineRule="auto"/>
                    <w:jc w:val="center"/>
                    <w:rPr>
                      <w:b/>
                      <w:sz w:val="21"/>
                      <w:szCs w:val="21"/>
                    </w:rPr>
                  </w:pPr>
                  <w:r>
                    <w:rPr>
                      <w:rFonts w:hint="eastAsia"/>
                      <w:b/>
                      <w:sz w:val="21"/>
                      <w:szCs w:val="21"/>
                    </w:rPr>
                    <w:t>Y/m</w:t>
                  </w:r>
                </w:p>
              </w:tc>
              <w:tc>
                <w:tcPr>
                  <w:tcW w:w="893" w:type="dxa"/>
                  <w:vMerge w:val="continue"/>
                  <w:vAlign w:val="center"/>
                </w:tcPr>
                <w:p>
                  <w:pPr>
                    <w:pStyle w:val="9"/>
                    <w:spacing w:before="0" w:after="0" w:line="240" w:lineRule="auto"/>
                    <w:jc w:val="center"/>
                    <w:rPr>
                      <w:sz w:val="21"/>
                      <w:szCs w:val="21"/>
                    </w:rPr>
                  </w:pPr>
                </w:p>
              </w:tc>
              <w:tc>
                <w:tcPr>
                  <w:tcW w:w="945" w:type="dxa"/>
                  <w:vMerge w:val="continue"/>
                  <w:vAlign w:val="center"/>
                </w:tcPr>
                <w:p>
                  <w:pPr>
                    <w:pStyle w:val="9"/>
                    <w:spacing w:before="0" w:after="0" w:line="240" w:lineRule="auto"/>
                    <w:jc w:val="center"/>
                    <w:rPr>
                      <w:sz w:val="21"/>
                      <w:szCs w:val="21"/>
                    </w:rPr>
                  </w:pPr>
                </w:p>
              </w:tc>
              <w:tc>
                <w:tcPr>
                  <w:tcW w:w="1267" w:type="dxa"/>
                  <w:vMerge w:val="continue"/>
                  <w:vAlign w:val="center"/>
                </w:tcPr>
                <w:p>
                  <w:pPr>
                    <w:pStyle w:val="9"/>
                    <w:spacing w:before="0" w:after="0" w:line="240" w:lineRule="auto"/>
                    <w:jc w:val="center"/>
                    <w:rPr>
                      <w:sz w:val="21"/>
                      <w:szCs w:val="21"/>
                    </w:rPr>
                  </w:pPr>
                </w:p>
              </w:tc>
              <w:tc>
                <w:tcPr>
                  <w:tcW w:w="1020" w:type="dxa"/>
                  <w:vMerge w:val="continue"/>
                  <w:vAlign w:val="center"/>
                </w:tcPr>
                <w:p>
                  <w:pPr>
                    <w:pStyle w:val="9"/>
                    <w:spacing w:before="0" w:after="0" w:line="240" w:lineRule="auto"/>
                    <w:jc w:val="center"/>
                    <w:rPr>
                      <w:sz w:val="21"/>
                      <w:szCs w:val="21"/>
                    </w:rPr>
                  </w:pPr>
                </w:p>
              </w:tc>
              <w:tc>
                <w:tcPr>
                  <w:tcW w:w="1077" w:type="dxa"/>
                  <w:vMerge w:val="continue"/>
                  <w:vAlign w:val="center"/>
                </w:tcPr>
                <w:p>
                  <w:pPr>
                    <w:pStyle w:val="9"/>
                    <w:spacing w:before="0" w:after="0"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pStyle w:val="9"/>
                    <w:spacing w:before="0" w:after="0" w:line="240" w:lineRule="auto"/>
                    <w:jc w:val="center"/>
                    <w:rPr>
                      <w:sz w:val="21"/>
                      <w:szCs w:val="21"/>
                    </w:rPr>
                  </w:pPr>
                  <w:r>
                    <w:rPr>
                      <w:rFonts w:hint="eastAsia"/>
                      <w:sz w:val="21"/>
                      <w:szCs w:val="21"/>
                    </w:rPr>
                    <w:t>西城丽苑</w:t>
                  </w:r>
                </w:p>
              </w:tc>
              <w:tc>
                <w:tcPr>
                  <w:tcW w:w="855" w:type="dxa"/>
                  <w:vAlign w:val="center"/>
                </w:tcPr>
                <w:p>
                  <w:pPr>
                    <w:pStyle w:val="9"/>
                    <w:spacing w:before="0" w:after="0" w:line="240" w:lineRule="auto"/>
                    <w:jc w:val="center"/>
                    <w:rPr>
                      <w:sz w:val="21"/>
                      <w:szCs w:val="21"/>
                    </w:rPr>
                  </w:pPr>
                  <w:r>
                    <w:rPr>
                      <w:rFonts w:hint="eastAsia"/>
                      <w:sz w:val="21"/>
                      <w:szCs w:val="21"/>
                    </w:rPr>
                    <w:t>-346</w:t>
                  </w:r>
                </w:p>
              </w:tc>
              <w:tc>
                <w:tcPr>
                  <w:tcW w:w="832" w:type="dxa"/>
                  <w:vAlign w:val="center"/>
                </w:tcPr>
                <w:p>
                  <w:pPr>
                    <w:pStyle w:val="9"/>
                    <w:spacing w:before="0" w:after="0" w:line="240" w:lineRule="auto"/>
                    <w:jc w:val="center"/>
                    <w:rPr>
                      <w:sz w:val="21"/>
                      <w:szCs w:val="21"/>
                    </w:rPr>
                  </w:pPr>
                  <w:r>
                    <w:rPr>
                      <w:rFonts w:hint="eastAsia"/>
                      <w:sz w:val="21"/>
                      <w:szCs w:val="21"/>
                    </w:rPr>
                    <w:t>285</w:t>
                  </w:r>
                </w:p>
              </w:tc>
              <w:tc>
                <w:tcPr>
                  <w:tcW w:w="893" w:type="dxa"/>
                  <w:vAlign w:val="center"/>
                </w:tcPr>
                <w:p>
                  <w:pPr>
                    <w:jc w:val="center"/>
                    <w:rPr>
                      <w:szCs w:val="21"/>
                    </w:rPr>
                  </w:pPr>
                  <w:r>
                    <w:rPr>
                      <w:szCs w:val="21"/>
                    </w:rPr>
                    <w:t>居民</w:t>
                  </w:r>
                </w:p>
              </w:tc>
              <w:tc>
                <w:tcPr>
                  <w:tcW w:w="945" w:type="dxa"/>
                  <w:vAlign w:val="center"/>
                </w:tcPr>
                <w:p>
                  <w:pPr>
                    <w:widowControl/>
                    <w:jc w:val="center"/>
                    <w:rPr>
                      <w:szCs w:val="21"/>
                    </w:rPr>
                  </w:pPr>
                  <w:r>
                    <w:rPr>
                      <w:kern w:val="0"/>
                      <w:szCs w:val="21"/>
                      <w:lang w:bidi="ar"/>
                    </w:rPr>
                    <w:t>约1200人</w:t>
                  </w:r>
                </w:p>
              </w:tc>
              <w:tc>
                <w:tcPr>
                  <w:tcW w:w="1267" w:type="dxa"/>
                  <w:vAlign w:val="center"/>
                </w:tcPr>
                <w:p>
                  <w:pPr>
                    <w:pStyle w:val="9"/>
                    <w:spacing w:before="0" w:after="0" w:line="240" w:lineRule="auto"/>
                    <w:jc w:val="center"/>
                    <w:rPr>
                      <w:sz w:val="21"/>
                      <w:szCs w:val="21"/>
                    </w:rPr>
                  </w:pPr>
                  <w:r>
                    <w:rPr>
                      <w:sz w:val="21"/>
                      <w:szCs w:val="21"/>
                    </w:rPr>
                    <w:t>环境空气质量二类功能区</w:t>
                  </w:r>
                </w:p>
              </w:tc>
              <w:tc>
                <w:tcPr>
                  <w:tcW w:w="1020" w:type="dxa"/>
                  <w:vAlign w:val="center"/>
                </w:tcPr>
                <w:p>
                  <w:pPr>
                    <w:pStyle w:val="9"/>
                    <w:spacing w:before="0" w:after="0" w:line="240" w:lineRule="auto"/>
                    <w:jc w:val="center"/>
                    <w:rPr>
                      <w:sz w:val="21"/>
                      <w:szCs w:val="21"/>
                    </w:rPr>
                  </w:pPr>
                  <w:r>
                    <w:rPr>
                      <w:rFonts w:hint="eastAsia"/>
                      <w:sz w:val="21"/>
                      <w:szCs w:val="21"/>
                    </w:rPr>
                    <w:t>南</w:t>
                  </w:r>
                </w:p>
              </w:tc>
              <w:tc>
                <w:tcPr>
                  <w:tcW w:w="1077" w:type="dxa"/>
                  <w:vAlign w:val="center"/>
                </w:tcPr>
                <w:p>
                  <w:pPr>
                    <w:pStyle w:val="9"/>
                    <w:spacing w:before="0" w:after="0" w:line="240" w:lineRule="auto"/>
                    <w:jc w:val="center"/>
                    <w:rPr>
                      <w:sz w:val="21"/>
                      <w:szCs w:val="21"/>
                    </w:rPr>
                  </w:pPr>
                  <w:r>
                    <w:rPr>
                      <w:rFonts w:hint="eastAsia"/>
                      <w:sz w:val="21"/>
                      <w:szCs w:val="21"/>
                    </w:rPr>
                    <w:t>490</w:t>
                  </w:r>
                </w:p>
              </w:tc>
            </w:tr>
          </w:tbl>
          <w:p>
            <w:pPr>
              <w:adjustRightInd w:val="0"/>
              <w:snapToGrid w:val="0"/>
              <w:spacing w:line="360" w:lineRule="auto"/>
              <w:ind w:firstLine="420" w:firstLineChars="200"/>
              <w:rPr>
                <w:color w:val="000000"/>
                <w:szCs w:val="21"/>
              </w:rPr>
            </w:pPr>
            <w:r>
              <w:rPr>
                <w:rFonts w:hint="eastAsia"/>
                <w:color w:val="000000"/>
                <w:szCs w:val="21"/>
              </w:rPr>
              <w:t>注释：</w:t>
            </w:r>
            <w:r>
              <w:rPr>
                <w:color w:val="000000"/>
                <w:szCs w:val="21"/>
              </w:rPr>
              <w:t>项目以厂区中心点为坐标原点，正东为X轴，正北为Y轴</w:t>
            </w:r>
          </w:p>
          <w:p>
            <w:pPr>
              <w:adjustRightInd w:val="0"/>
              <w:snapToGrid w:val="0"/>
              <w:spacing w:line="360" w:lineRule="auto"/>
              <w:ind w:firstLine="480" w:firstLineChars="200"/>
              <w:rPr>
                <w:color w:val="000000"/>
                <w:kern w:val="0"/>
                <w:sz w:val="24"/>
              </w:rPr>
            </w:pPr>
            <w:r>
              <w:rPr>
                <w:color w:val="000000"/>
                <w:kern w:val="0"/>
                <w:sz w:val="24"/>
              </w:rPr>
              <w:t>2、地表水环境</w:t>
            </w:r>
          </w:p>
          <w:p>
            <w:pPr>
              <w:spacing w:line="360" w:lineRule="auto"/>
              <w:ind w:firstLine="482" w:firstLineChars="200"/>
              <w:jc w:val="center"/>
              <w:rPr>
                <w:sz w:val="24"/>
              </w:rPr>
            </w:pPr>
            <w:r>
              <w:rPr>
                <w:b/>
                <w:sz w:val="24"/>
              </w:rPr>
              <w:t>表3-</w:t>
            </w:r>
            <w:r>
              <w:rPr>
                <w:rFonts w:hint="eastAsia"/>
                <w:b/>
                <w:sz w:val="24"/>
              </w:rPr>
              <w:t>6</w:t>
            </w:r>
            <w:r>
              <w:rPr>
                <w:b/>
                <w:sz w:val="24"/>
              </w:rPr>
              <w:t xml:space="preserve">  水环境保护目标一览表</w:t>
            </w:r>
          </w:p>
          <w:tbl>
            <w:tblPr>
              <w:tblStyle w:val="23"/>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1466"/>
              <w:gridCol w:w="1467"/>
              <w:gridCol w:w="146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23" w:type="dxa"/>
                  <w:vAlign w:val="center"/>
                </w:tcPr>
                <w:p>
                  <w:pPr>
                    <w:jc w:val="center"/>
                    <w:rPr>
                      <w:b/>
                      <w:bCs/>
                      <w:szCs w:val="21"/>
                    </w:rPr>
                  </w:pPr>
                  <w:r>
                    <w:rPr>
                      <w:b/>
                      <w:bCs/>
                      <w:szCs w:val="21"/>
                    </w:rPr>
                    <w:t>环境要素</w:t>
                  </w:r>
                </w:p>
              </w:tc>
              <w:tc>
                <w:tcPr>
                  <w:tcW w:w="1466" w:type="dxa"/>
                  <w:vAlign w:val="center"/>
                </w:tcPr>
                <w:p>
                  <w:pPr>
                    <w:jc w:val="center"/>
                    <w:rPr>
                      <w:b/>
                      <w:bCs/>
                      <w:szCs w:val="21"/>
                    </w:rPr>
                  </w:pPr>
                  <w:r>
                    <w:rPr>
                      <w:b/>
                      <w:bCs/>
                      <w:szCs w:val="21"/>
                    </w:rPr>
                    <w:t>环境保护对象</w:t>
                  </w:r>
                </w:p>
                <w:p>
                  <w:pPr>
                    <w:jc w:val="center"/>
                    <w:rPr>
                      <w:b/>
                      <w:bCs/>
                      <w:szCs w:val="21"/>
                    </w:rPr>
                  </w:pPr>
                  <w:r>
                    <w:rPr>
                      <w:b/>
                      <w:bCs/>
                      <w:szCs w:val="21"/>
                    </w:rPr>
                    <w:t>名称</w:t>
                  </w:r>
                </w:p>
              </w:tc>
              <w:tc>
                <w:tcPr>
                  <w:tcW w:w="1467" w:type="dxa"/>
                  <w:vAlign w:val="center"/>
                </w:tcPr>
                <w:p>
                  <w:pPr>
                    <w:jc w:val="center"/>
                    <w:rPr>
                      <w:b/>
                      <w:bCs/>
                      <w:szCs w:val="21"/>
                    </w:rPr>
                  </w:pPr>
                  <w:r>
                    <w:rPr>
                      <w:b/>
                      <w:bCs/>
                      <w:szCs w:val="21"/>
                    </w:rPr>
                    <w:t>方位/距离(m)</w:t>
                  </w:r>
                </w:p>
              </w:tc>
              <w:tc>
                <w:tcPr>
                  <w:tcW w:w="1467" w:type="dxa"/>
                  <w:vAlign w:val="center"/>
                </w:tcPr>
                <w:p>
                  <w:pPr>
                    <w:jc w:val="center"/>
                    <w:rPr>
                      <w:b/>
                      <w:bCs/>
                      <w:szCs w:val="21"/>
                    </w:rPr>
                  </w:pPr>
                  <w:r>
                    <w:rPr>
                      <w:b/>
                      <w:bCs/>
                      <w:szCs w:val="21"/>
                    </w:rPr>
                    <w:t>规模</w:t>
                  </w:r>
                </w:p>
              </w:tc>
              <w:tc>
                <w:tcPr>
                  <w:tcW w:w="2441" w:type="dxa"/>
                  <w:vAlign w:val="center"/>
                </w:tcPr>
                <w:p>
                  <w:pPr>
                    <w:jc w:val="center"/>
                    <w:rPr>
                      <w:b/>
                      <w:bCs/>
                      <w:szCs w:val="21"/>
                    </w:rPr>
                  </w:pPr>
                  <w:r>
                    <w:rPr>
                      <w:b/>
                      <w:bCs/>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1123" w:type="dxa"/>
                  <w:vAlign w:val="center"/>
                </w:tcPr>
                <w:p>
                  <w:pPr>
                    <w:jc w:val="center"/>
                    <w:rPr>
                      <w:szCs w:val="21"/>
                    </w:rPr>
                  </w:pPr>
                  <w:r>
                    <w:rPr>
                      <w:szCs w:val="21"/>
                    </w:rPr>
                    <w:t>地表水</w:t>
                  </w:r>
                </w:p>
              </w:tc>
              <w:tc>
                <w:tcPr>
                  <w:tcW w:w="1466" w:type="dxa"/>
                  <w:vAlign w:val="center"/>
                </w:tcPr>
                <w:p>
                  <w:pPr>
                    <w:jc w:val="center"/>
                    <w:rPr>
                      <w:szCs w:val="21"/>
                      <w:lang w:bidi="ar"/>
                    </w:rPr>
                  </w:pPr>
                  <w:r>
                    <w:rPr>
                      <w:szCs w:val="21"/>
                      <w:lang w:bidi="ar"/>
                    </w:rPr>
                    <w:t>石梁河</w:t>
                  </w:r>
                </w:p>
              </w:tc>
              <w:tc>
                <w:tcPr>
                  <w:tcW w:w="1467" w:type="dxa"/>
                  <w:vAlign w:val="center"/>
                </w:tcPr>
                <w:p>
                  <w:pPr>
                    <w:jc w:val="center"/>
                    <w:rPr>
                      <w:szCs w:val="21"/>
                      <w:lang w:bidi="ar"/>
                    </w:rPr>
                  </w:pPr>
                  <w:r>
                    <w:rPr>
                      <w:szCs w:val="21"/>
                      <w:lang w:bidi="ar"/>
                    </w:rPr>
                    <w:t>东北</w:t>
                  </w:r>
                  <w:r>
                    <w:rPr>
                      <w:rFonts w:hint="eastAsia"/>
                      <w:szCs w:val="21"/>
                      <w:lang w:bidi="ar"/>
                    </w:rPr>
                    <w:t>1200</w:t>
                  </w:r>
                  <w:r>
                    <w:rPr>
                      <w:szCs w:val="21"/>
                      <w:lang w:bidi="ar"/>
                    </w:rPr>
                    <w:t>米</w:t>
                  </w:r>
                </w:p>
              </w:tc>
              <w:tc>
                <w:tcPr>
                  <w:tcW w:w="1467" w:type="dxa"/>
                  <w:vAlign w:val="center"/>
                </w:tcPr>
                <w:p>
                  <w:pPr>
                    <w:jc w:val="center"/>
                    <w:rPr>
                      <w:szCs w:val="21"/>
                    </w:rPr>
                  </w:pPr>
                  <w:r>
                    <w:rPr>
                      <w:szCs w:val="21"/>
                    </w:rPr>
                    <w:t>小河</w:t>
                  </w:r>
                </w:p>
              </w:tc>
              <w:tc>
                <w:tcPr>
                  <w:tcW w:w="2441" w:type="dxa"/>
                  <w:vAlign w:val="center"/>
                </w:tcPr>
                <w:p>
                  <w:pPr>
                    <w:jc w:val="center"/>
                    <w:rPr>
                      <w:szCs w:val="21"/>
                    </w:rPr>
                  </w:pPr>
                  <w:r>
                    <w:rPr>
                      <w:szCs w:val="21"/>
                    </w:rPr>
                    <w:t>《</w:t>
                  </w:r>
                  <w:r>
                    <w:rPr>
                      <w:color w:val="000000"/>
                      <w:szCs w:val="21"/>
                    </w:rPr>
                    <w:t>地表水环境质量标准》（GB3838-2002）Ⅳ类</w:t>
                  </w:r>
                </w:p>
              </w:tc>
            </w:tr>
          </w:tbl>
          <w:p>
            <w:pPr>
              <w:adjustRightInd w:val="0"/>
              <w:snapToGrid w:val="0"/>
              <w:spacing w:line="360" w:lineRule="auto"/>
              <w:ind w:firstLine="480" w:firstLineChars="200"/>
              <w:rPr>
                <w:color w:val="000000"/>
                <w:kern w:val="0"/>
                <w:sz w:val="24"/>
              </w:rPr>
            </w:pPr>
            <w:r>
              <w:rPr>
                <w:color w:val="000000"/>
                <w:kern w:val="0"/>
                <w:sz w:val="24"/>
              </w:rPr>
              <w:t>3、声环境</w:t>
            </w:r>
          </w:p>
          <w:p>
            <w:pPr>
              <w:adjustRightInd w:val="0"/>
              <w:snapToGrid w:val="0"/>
              <w:spacing w:line="360" w:lineRule="auto"/>
              <w:ind w:firstLine="480" w:firstLineChars="200"/>
              <w:rPr>
                <w:color w:val="000000"/>
                <w:kern w:val="0"/>
                <w:sz w:val="24"/>
              </w:rPr>
            </w:pPr>
            <w:r>
              <w:rPr>
                <w:color w:val="000000"/>
                <w:kern w:val="0"/>
                <w:sz w:val="24"/>
              </w:rPr>
              <w:t>项目50m范围内无环境保护目标。</w:t>
            </w:r>
          </w:p>
          <w:p>
            <w:pPr>
              <w:adjustRightInd w:val="0"/>
              <w:snapToGrid w:val="0"/>
              <w:spacing w:line="360" w:lineRule="auto"/>
              <w:ind w:firstLine="420" w:firstLineChars="200"/>
              <w:rPr>
                <w:color w:val="000000"/>
                <w:kern w:val="0"/>
                <w:sz w:val="24"/>
              </w:rPr>
            </w:pPr>
            <w:r>
              <w:rPr>
                <w:color w:val="000000"/>
                <w:szCs w:val="21"/>
              </w:rPr>
              <w:t>4、</w:t>
            </w:r>
            <w:r>
              <w:rPr>
                <w:color w:val="000000"/>
                <w:kern w:val="0"/>
                <w:sz w:val="24"/>
              </w:rPr>
              <w:t>地下水环境</w:t>
            </w:r>
          </w:p>
          <w:p>
            <w:pPr>
              <w:adjustRightInd w:val="0"/>
              <w:snapToGrid w:val="0"/>
              <w:spacing w:line="360" w:lineRule="auto"/>
              <w:ind w:firstLine="480" w:firstLineChars="200"/>
              <w:rPr>
                <w:color w:val="000000"/>
                <w:kern w:val="0"/>
                <w:sz w:val="24"/>
              </w:rPr>
            </w:pPr>
            <w:r>
              <w:rPr>
                <w:color w:val="000000"/>
                <w:kern w:val="0"/>
                <w:sz w:val="24"/>
              </w:rPr>
              <w:t>项目厂界外500米范围内无地下水集中式饮用水水源和热水、矿泉水、温泉等特殊地下水资源。</w:t>
            </w:r>
          </w:p>
          <w:p>
            <w:pPr>
              <w:adjustRightInd w:val="0"/>
              <w:snapToGrid w:val="0"/>
              <w:spacing w:line="360" w:lineRule="auto"/>
              <w:ind w:firstLine="480" w:firstLineChars="200"/>
              <w:rPr>
                <w:color w:val="000000"/>
                <w:kern w:val="0"/>
                <w:sz w:val="24"/>
              </w:rPr>
            </w:pPr>
            <w:r>
              <w:rPr>
                <w:color w:val="000000"/>
                <w:kern w:val="0"/>
                <w:sz w:val="24"/>
              </w:rPr>
              <w:t>5、生态环境</w:t>
            </w:r>
          </w:p>
          <w:p>
            <w:pPr>
              <w:adjustRightInd w:val="0"/>
              <w:snapToGrid w:val="0"/>
              <w:spacing w:line="360" w:lineRule="auto"/>
              <w:ind w:firstLine="480" w:firstLineChars="200"/>
              <w:rPr>
                <w:color w:val="000000"/>
                <w:kern w:val="0"/>
                <w:sz w:val="24"/>
              </w:rPr>
            </w:pPr>
            <w:r>
              <w:rPr>
                <w:color w:val="000000"/>
                <w:kern w:val="0"/>
                <w:sz w:val="24"/>
              </w:rPr>
              <w:t>项目用地范围内无生态环境保护目标。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color w:val="000000"/>
                <w:kern w:val="0"/>
                <w:sz w:val="24"/>
              </w:rPr>
            </w:pPr>
            <w:r>
              <w:rPr>
                <w:color w:val="000000"/>
                <w:kern w:val="0"/>
                <w:sz w:val="24"/>
              </w:rPr>
              <w:t>污染</w:t>
            </w:r>
          </w:p>
          <w:p>
            <w:pPr>
              <w:adjustRightInd w:val="0"/>
              <w:snapToGrid w:val="0"/>
              <w:jc w:val="center"/>
              <w:rPr>
                <w:color w:val="000000"/>
                <w:kern w:val="0"/>
                <w:sz w:val="24"/>
              </w:rPr>
            </w:pPr>
            <w:r>
              <w:rPr>
                <w:color w:val="000000"/>
                <w:kern w:val="0"/>
                <w:sz w:val="24"/>
              </w:rPr>
              <w:t>物排</w:t>
            </w:r>
          </w:p>
          <w:p>
            <w:pPr>
              <w:adjustRightInd w:val="0"/>
              <w:snapToGrid w:val="0"/>
              <w:jc w:val="center"/>
              <w:rPr>
                <w:color w:val="000000"/>
                <w:kern w:val="0"/>
                <w:sz w:val="24"/>
              </w:rPr>
            </w:pPr>
            <w:r>
              <w:rPr>
                <w:color w:val="000000"/>
                <w:kern w:val="0"/>
                <w:sz w:val="24"/>
              </w:rPr>
              <w:t>放控</w:t>
            </w:r>
          </w:p>
          <w:p>
            <w:pPr>
              <w:adjustRightInd w:val="0"/>
              <w:snapToGrid w:val="0"/>
              <w:jc w:val="center"/>
              <w:rPr>
                <w:color w:val="000000"/>
                <w:kern w:val="0"/>
                <w:sz w:val="24"/>
              </w:rPr>
            </w:pPr>
            <w:r>
              <w:rPr>
                <w:color w:val="000000"/>
                <w:kern w:val="0"/>
                <w:sz w:val="24"/>
              </w:rPr>
              <w:t>制标</w:t>
            </w:r>
          </w:p>
          <w:p>
            <w:pPr>
              <w:adjustRightInd w:val="0"/>
              <w:snapToGrid w:val="0"/>
              <w:jc w:val="center"/>
              <w:rPr>
                <w:color w:val="000000"/>
                <w:kern w:val="0"/>
                <w:sz w:val="24"/>
              </w:rPr>
            </w:pPr>
            <w:r>
              <w:rPr>
                <w:color w:val="000000"/>
                <w:kern w:val="0"/>
                <w:sz w:val="24"/>
              </w:rPr>
              <w:t>准</w:t>
            </w:r>
          </w:p>
        </w:tc>
        <w:tc>
          <w:tcPr>
            <w:tcW w:w="8190" w:type="dxa"/>
            <w:vAlign w:val="center"/>
          </w:tcPr>
          <w:p>
            <w:pPr>
              <w:spacing w:line="360" w:lineRule="auto"/>
              <w:ind w:left="482"/>
              <w:rPr>
                <w:b/>
                <w:bCs/>
                <w:color w:val="000000"/>
                <w:sz w:val="24"/>
              </w:rPr>
            </w:pPr>
            <w:r>
              <w:rPr>
                <w:b/>
                <w:bCs/>
                <w:color w:val="000000"/>
                <w:sz w:val="24"/>
              </w:rPr>
              <w:t>一、水污染物排放标准</w:t>
            </w:r>
          </w:p>
          <w:p>
            <w:pPr>
              <w:spacing w:line="360" w:lineRule="auto"/>
              <w:ind w:firstLine="480"/>
              <w:rPr>
                <w:b/>
                <w:bCs/>
                <w:sz w:val="24"/>
              </w:rPr>
            </w:pPr>
            <w:r>
              <w:rPr>
                <w:color w:val="000000"/>
                <w:sz w:val="24"/>
                <w:lang w:bidi="ar"/>
              </w:rPr>
              <w:t>本</w:t>
            </w:r>
            <w:r>
              <w:rPr>
                <w:sz w:val="24"/>
              </w:rPr>
              <w:t>项目废水执行《污水综合排放标准》（GB8978-1996）中的三级标准，并满足泗县工业污水处理厂的接管要求，详见表3-7。</w:t>
            </w:r>
          </w:p>
          <w:p>
            <w:pPr>
              <w:spacing w:line="360" w:lineRule="auto"/>
              <w:jc w:val="center"/>
              <w:rPr>
                <w:sz w:val="24"/>
              </w:rPr>
            </w:pPr>
            <w:r>
              <w:rPr>
                <w:b/>
                <w:bCs/>
                <w:sz w:val="24"/>
              </w:rPr>
              <w:t>表3-</w:t>
            </w:r>
            <w:r>
              <w:rPr>
                <w:rFonts w:hint="eastAsia"/>
                <w:b/>
                <w:bCs/>
                <w:sz w:val="24"/>
              </w:rPr>
              <w:t>7</w:t>
            </w:r>
            <w:r>
              <w:rPr>
                <w:b/>
                <w:bCs/>
                <w:sz w:val="24"/>
              </w:rPr>
              <w:t xml:space="preserve">  污水排放限值一览表  单位：mg/L（pH  无量纲）</w:t>
            </w:r>
          </w:p>
          <w:tbl>
            <w:tblPr>
              <w:tblStyle w:val="23"/>
              <w:tblW w:w="7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887"/>
              <w:gridCol w:w="839"/>
              <w:gridCol w:w="811"/>
              <w:gridCol w:w="838"/>
              <w:gridCol w:w="88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项目名称</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pH</w:t>
                  </w:r>
                </w:p>
              </w:tc>
              <w:tc>
                <w:tcPr>
                  <w:tcW w:w="839" w:type="dxa"/>
                  <w:tcBorders>
                    <w:top w:val="single" w:color="auto" w:sz="4" w:space="0"/>
                    <w:left w:val="nil"/>
                    <w:bottom w:val="single" w:color="auto" w:sz="4" w:space="0"/>
                    <w:right w:val="single" w:color="auto" w:sz="4" w:space="0"/>
                  </w:tcBorders>
                  <w:vAlign w:val="center"/>
                </w:tcPr>
                <w:p>
                  <w:pPr>
                    <w:jc w:val="center"/>
                    <w:rPr>
                      <w:szCs w:val="21"/>
                    </w:rPr>
                  </w:pPr>
                  <w:r>
                    <w:rPr>
                      <w:szCs w:val="21"/>
                    </w:rPr>
                    <w:t>CODcr</w:t>
                  </w:r>
                </w:p>
              </w:tc>
              <w:tc>
                <w:tcPr>
                  <w:tcW w:w="811" w:type="dxa"/>
                  <w:tcBorders>
                    <w:top w:val="single" w:color="auto" w:sz="4" w:space="0"/>
                    <w:left w:val="nil"/>
                    <w:bottom w:val="single" w:color="auto" w:sz="4" w:space="0"/>
                    <w:right w:val="single" w:color="auto" w:sz="4" w:space="0"/>
                  </w:tcBorders>
                  <w:vAlign w:val="center"/>
                </w:tcPr>
                <w:p>
                  <w:pPr>
                    <w:jc w:val="center"/>
                    <w:rPr>
                      <w:szCs w:val="21"/>
                    </w:rPr>
                  </w:pPr>
                  <w:r>
                    <w:rPr>
                      <w:szCs w:val="21"/>
                    </w:rPr>
                    <w:t>BOD</w:t>
                  </w:r>
                  <w:r>
                    <w:rPr>
                      <w:szCs w:val="21"/>
                      <w:vertAlign w:val="subscript"/>
                    </w:rPr>
                    <w:t>5</w:t>
                  </w:r>
                </w:p>
              </w:tc>
              <w:tc>
                <w:tcPr>
                  <w:tcW w:w="838" w:type="dxa"/>
                  <w:tcBorders>
                    <w:top w:val="single" w:color="auto" w:sz="4" w:space="0"/>
                    <w:left w:val="nil"/>
                    <w:bottom w:val="single" w:color="auto" w:sz="4" w:space="0"/>
                    <w:right w:val="single" w:color="auto" w:sz="4" w:space="0"/>
                  </w:tcBorders>
                  <w:vAlign w:val="center"/>
                </w:tcPr>
                <w:p>
                  <w:pPr>
                    <w:pStyle w:val="18"/>
                    <w:rPr>
                      <w:szCs w:val="21"/>
                    </w:rPr>
                  </w:pPr>
                  <w:r>
                    <w:rPr>
                      <w:szCs w:val="21"/>
                    </w:rPr>
                    <w:t>SS</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NH</w:t>
                  </w:r>
                  <w:r>
                    <w:rPr>
                      <w:szCs w:val="21"/>
                      <w:vertAlign w:val="subscript"/>
                    </w:rPr>
                    <w:t>3</w:t>
                  </w:r>
                  <w:r>
                    <w:rPr>
                      <w:szCs w:val="21"/>
                    </w:rPr>
                    <w:t>-N</w:t>
                  </w:r>
                </w:p>
              </w:tc>
              <w:tc>
                <w:tcPr>
                  <w:tcW w:w="666" w:type="dxa"/>
                  <w:tcBorders>
                    <w:top w:val="single" w:color="auto" w:sz="4" w:space="0"/>
                    <w:left w:val="nil"/>
                    <w:bottom w:val="single" w:color="auto" w:sz="4" w:space="0"/>
                    <w:right w:val="single" w:color="auto" w:sz="4" w:space="0"/>
                  </w:tcBorders>
                  <w:vAlign w:val="center"/>
                </w:tcPr>
                <w:p>
                  <w:pPr>
                    <w:jc w:val="center"/>
                    <w:rPr>
                      <w:szCs w:val="21"/>
                    </w:rPr>
                  </w:pPr>
                  <w:r>
                    <w:rPr>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《污水综合排放标准》（GB8978-1996）三级标准</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Cs w:val="21"/>
                    </w:rPr>
                  </w:pPr>
                  <w:r>
                    <w:rPr>
                      <w:szCs w:val="21"/>
                    </w:rPr>
                    <w:t>500</w:t>
                  </w:r>
                </w:p>
              </w:tc>
              <w:tc>
                <w:tcPr>
                  <w:tcW w:w="811" w:type="dxa"/>
                  <w:tcBorders>
                    <w:top w:val="single" w:color="auto" w:sz="4" w:space="0"/>
                    <w:left w:val="nil"/>
                    <w:bottom w:val="single" w:color="auto" w:sz="4" w:space="0"/>
                    <w:right w:val="single" w:color="auto" w:sz="4" w:space="0"/>
                  </w:tcBorders>
                  <w:vAlign w:val="center"/>
                </w:tcPr>
                <w:p>
                  <w:pPr>
                    <w:jc w:val="center"/>
                    <w:rPr>
                      <w:szCs w:val="21"/>
                    </w:rPr>
                  </w:pPr>
                  <w:r>
                    <w:rPr>
                      <w:szCs w:val="21"/>
                    </w:rPr>
                    <w:t>300</w:t>
                  </w:r>
                </w:p>
              </w:tc>
              <w:tc>
                <w:tcPr>
                  <w:tcW w:w="838" w:type="dxa"/>
                  <w:tcBorders>
                    <w:top w:val="single" w:color="auto" w:sz="4" w:space="0"/>
                    <w:left w:val="nil"/>
                    <w:bottom w:val="single" w:color="auto" w:sz="4" w:space="0"/>
                    <w:right w:val="single" w:color="auto" w:sz="4" w:space="0"/>
                  </w:tcBorders>
                  <w:vAlign w:val="center"/>
                </w:tcPr>
                <w:p>
                  <w:pPr>
                    <w:jc w:val="center"/>
                    <w:rPr>
                      <w:szCs w:val="21"/>
                    </w:rPr>
                  </w:pPr>
                  <w:r>
                    <w:rPr>
                      <w:szCs w:val="21"/>
                    </w:rPr>
                    <w:t>400</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bookmarkStart w:id="2" w:name="OLE_LINK13"/>
                  <w:r>
                    <w:rPr>
                      <w:szCs w:val="21"/>
                    </w:rPr>
                    <w:t>/</w:t>
                  </w:r>
                  <w:bookmarkEnd w:id="2"/>
                </w:p>
              </w:tc>
              <w:tc>
                <w:tcPr>
                  <w:tcW w:w="666"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污水处理厂接管要求</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Cs w:val="21"/>
                    </w:rPr>
                  </w:pPr>
                  <w:r>
                    <w:rPr>
                      <w:szCs w:val="21"/>
                    </w:rPr>
                    <w:t>400</w:t>
                  </w:r>
                </w:p>
              </w:tc>
              <w:tc>
                <w:tcPr>
                  <w:tcW w:w="811" w:type="dxa"/>
                  <w:tcBorders>
                    <w:top w:val="single" w:color="auto" w:sz="4" w:space="0"/>
                    <w:left w:val="nil"/>
                    <w:bottom w:val="single" w:color="auto" w:sz="4" w:space="0"/>
                    <w:right w:val="single" w:color="auto" w:sz="4" w:space="0"/>
                  </w:tcBorders>
                  <w:vAlign w:val="center"/>
                </w:tcPr>
                <w:p>
                  <w:pPr>
                    <w:jc w:val="center"/>
                    <w:rPr>
                      <w:szCs w:val="21"/>
                    </w:rPr>
                  </w:pPr>
                  <w:r>
                    <w:rPr>
                      <w:szCs w:val="21"/>
                    </w:rPr>
                    <w:t>180</w:t>
                  </w:r>
                </w:p>
              </w:tc>
              <w:tc>
                <w:tcPr>
                  <w:tcW w:w="838" w:type="dxa"/>
                  <w:tcBorders>
                    <w:top w:val="single" w:color="auto" w:sz="4" w:space="0"/>
                    <w:left w:val="nil"/>
                    <w:bottom w:val="single" w:color="auto" w:sz="4" w:space="0"/>
                    <w:right w:val="single" w:color="auto" w:sz="4" w:space="0"/>
                  </w:tcBorders>
                  <w:vAlign w:val="center"/>
                </w:tcPr>
                <w:p>
                  <w:pPr>
                    <w:jc w:val="center"/>
                    <w:rPr>
                      <w:szCs w:val="21"/>
                    </w:rPr>
                  </w:pPr>
                  <w:r>
                    <w:rPr>
                      <w:szCs w:val="21"/>
                    </w:rPr>
                    <w:t>200</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25</w:t>
                  </w:r>
                </w:p>
              </w:tc>
              <w:tc>
                <w:tcPr>
                  <w:tcW w:w="666"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本项目执行标准</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Cs w:val="21"/>
                    </w:rPr>
                  </w:pPr>
                  <w:r>
                    <w:rPr>
                      <w:szCs w:val="21"/>
                    </w:rPr>
                    <w:t>400</w:t>
                  </w:r>
                </w:p>
              </w:tc>
              <w:tc>
                <w:tcPr>
                  <w:tcW w:w="811" w:type="dxa"/>
                  <w:tcBorders>
                    <w:top w:val="single" w:color="auto" w:sz="4" w:space="0"/>
                    <w:left w:val="nil"/>
                    <w:bottom w:val="single" w:color="auto" w:sz="4" w:space="0"/>
                    <w:right w:val="single" w:color="auto" w:sz="4" w:space="0"/>
                  </w:tcBorders>
                  <w:vAlign w:val="center"/>
                </w:tcPr>
                <w:p>
                  <w:pPr>
                    <w:jc w:val="center"/>
                    <w:rPr>
                      <w:szCs w:val="21"/>
                    </w:rPr>
                  </w:pPr>
                  <w:r>
                    <w:rPr>
                      <w:szCs w:val="21"/>
                    </w:rPr>
                    <w:t>180</w:t>
                  </w:r>
                </w:p>
              </w:tc>
              <w:tc>
                <w:tcPr>
                  <w:tcW w:w="838" w:type="dxa"/>
                  <w:tcBorders>
                    <w:top w:val="single" w:color="auto" w:sz="4" w:space="0"/>
                    <w:left w:val="nil"/>
                    <w:bottom w:val="single" w:color="auto" w:sz="4" w:space="0"/>
                    <w:right w:val="single" w:color="auto" w:sz="4" w:space="0"/>
                  </w:tcBorders>
                  <w:vAlign w:val="center"/>
                </w:tcPr>
                <w:p>
                  <w:pPr>
                    <w:jc w:val="center"/>
                    <w:rPr>
                      <w:szCs w:val="21"/>
                    </w:rPr>
                  </w:pPr>
                  <w:r>
                    <w:rPr>
                      <w:szCs w:val="21"/>
                    </w:rPr>
                    <w:t>200</w:t>
                  </w:r>
                </w:p>
              </w:tc>
              <w:tc>
                <w:tcPr>
                  <w:tcW w:w="887" w:type="dxa"/>
                  <w:tcBorders>
                    <w:top w:val="single" w:color="auto" w:sz="4" w:space="0"/>
                    <w:left w:val="nil"/>
                    <w:bottom w:val="single" w:color="auto" w:sz="4" w:space="0"/>
                    <w:right w:val="single" w:color="auto" w:sz="4" w:space="0"/>
                  </w:tcBorders>
                  <w:vAlign w:val="center"/>
                </w:tcPr>
                <w:p>
                  <w:pPr>
                    <w:jc w:val="center"/>
                    <w:rPr>
                      <w:szCs w:val="21"/>
                    </w:rPr>
                  </w:pPr>
                  <w:r>
                    <w:rPr>
                      <w:szCs w:val="21"/>
                    </w:rPr>
                    <w:t>25</w:t>
                  </w:r>
                </w:p>
              </w:tc>
              <w:tc>
                <w:tcPr>
                  <w:tcW w:w="666"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p>
              </w:tc>
            </w:tr>
          </w:tbl>
          <w:p>
            <w:pPr>
              <w:spacing w:line="360" w:lineRule="auto"/>
              <w:ind w:firstLine="482"/>
              <w:rPr>
                <w:b/>
                <w:bCs/>
                <w:color w:val="000000"/>
                <w:sz w:val="24"/>
              </w:rPr>
            </w:pPr>
            <w:r>
              <w:rPr>
                <w:b/>
                <w:bCs/>
                <w:color w:val="000000"/>
                <w:sz w:val="24"/>
              </w:rPr>
              <w:t>二、废气排放标准</w:t>
            </w:r>
          </w:p>
          <w:p>
            <w:pPr>
              <w:spacing w:line="360" w:lineRule="auto"/>
              <w:ind w:firstLine="480" w:firstLineChars="200"/>
              <w:jc w:val="left"/>
              <w:rPr>
                <w:color w:val="000000"/>
                <w:sz w:val="24"/>
              </w:rPr>
            </w:pPr>
            <w:r>
              <w:rPr>
                <w:rFonts w:hint="eastAsia"/>
                <w:color w:val="000000"/>
                <w:sz w:val="24"/>
                <w:lang w:bidi="ar"/>
              </w:rPr>
              <w:t>本</w:t>
            </w:r>
            <w:r>
              <w:rPr>
                <w:rFonts w:hint="eastAsia"/>
                <w:sz w:val="24"/>
              </w:rPr>
              <w:t>项目废气</w:t>
            </w:r>
            <w:r>
              <w:rPr>
                <w:color w:val="000000"/>
                <w:sz w:val="24"/>
              </w:rPr>
              <w:t>执行《加油站大气污染物综合排放标准》（GB20952-2007）二级标准</w:t>
            </w:r>
            <w:r>
              <w:rPr>
                <w:rFonts w:hint="eastAsia"/>
                <w:color w:val="000000"/>
                <w:sz w:val="24"/>
                <w:lang w:val="en-US" w:eastAsia="zh-CN"/>
              </w:rPr>
              <w:t>和</w:t>
            </w:r>
            <w:r>
              <w:rPr>
                <w:rFonts w:hint="eastAsia"/>
                <w:b w:val="0"/>
                <w:bCs w:val="0"/>
                <w:color w:val="000000"/>
                <w:sz w:val="24"/>
              </w:rPr>
              <w:t>《挥发性有机物无组织排放控制标准》（G</w:t>
            </w:r>
            <w:r>
              <w:rPr>
                <w:b w:val="0"/>
                <w:bCs w:val="0"/>
                <w:color w:val="000000"/>
                <w:sz w:val="24"/>
              </w:rPr>
              <w:t>B37822-2019</w:t>
            </w:r>
            <w:r>
              <w:rPr>
                <w:rFonts w:hint="eastAsia"/>
                <w:b w:val="0"/>
                <w:bCs w:val="0"/>
                <w:color w:val="000000"/>
                <w:sz w:val="24"/>
              </w:rPr>
              <w:t>）中相关要求。</w:t>
            </w:r>
          </w:p>
          <w:p>
            <w:pPr>
              <w:widowControl/>
              <w:adjustRightInd w:val="0"/>
              <w:snapToGrid w:val="0"/>
              <w:jc w:val="center"/>
              <w:rPr>
                <w:b/>
                <w:bCs/>
                <w:color w:val="000000"/>
                <w:sz w:val="24"/>
              </w:rPr>
            </w:pPr>
            <w:r>
              <w:rPr>
                <w:b/>
                <w:color w:val="000000"/>
                <w:sz w:val="24"/>
              </w:rPr>
              <w:t>表3-</w:t>
            </w:r>
            <w:r>
              <w:rPr>
                <w:rFonts w:hint="eastAsia"/>
                <w:b/>
                <w:color w:val="000000"/>
                <w:sz w:val="24"/>
              </w:rPr>
              <w:t>8</w:t>
            </w:r>
            <w:r>
              <w:rPr>
                <w:b/>
                <w:color w:val="000000"/>
                <w:sz w:val="24"/>
              </w:rPr>
              <w:t xml:space="preserve">  </w:t>
            </w:r>
            <w:r>
              <w:rPr>
                <w:b/>
                <w:color w:val="000000"/>
                <w:sz w:val="24"/>
                <w:lang w:bidi="ar"/>
              </w:rPr>
              <w:t>加油站大气污染物排放标准限值一览表</w:t>
            </w:r>
          </w:p>
          <w:tbl>
            <w:tblPr>
              <w:tblStyle w:val="23"/>
              <w:tblW w:w="7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0" w:type="dxa"/>
                  <w:vAlign w:val="center"/>
                </w:tcPr>
                <w:p>
                  <w:pPr>
                    <w:widowControl/>
                    <w:adjustRightInd w:val="0"/>
                    <w:snapToGrid w:val="0"/>
                    <w:jc w:val="center"/>
                    <w:rPr>
                      <w:b/>
                      <w:bCs/>
                      <w:color w:val="000000"/>
                      <w:szCs w:val="21"/>
                    </w:rPr>
                  </w:pPr>
                  <w:r>
                    <w:rPr>
                      <w:b/>
                      <w:bCs/>
                      <w:color w:val="000000"/>
                      <w:szCs w:val="21"/>
                    </w:rPr>
                    <w:t>名称</w:t>
                  </w:r>
                </w:p>
              </w:tc>
              <w:tc>
                <w:tcPr>
                  <w:tcW w:w="3553" w:type="dxa"/>
                  <w:vAlign w:val="center"/>
                </w:tcPr>
                <w:p>
                  <w:pPr>
                    <w:widowControl/>
                    <w:adjustRightInd w:val="0"/>
                    <w:snapToGrid w:val="0"/>
                    <w:spacing w:line="360" w:lineRule="auto"/>
                    <w:jc w:val="center"/>
                    <w:rPr>
                      <w:b/>
                      <w:bCs/>
                      <w:color w:val="000000"/>
                      <w:szCs w:val="21"/>
                    </w:rPr>
                  </w:pPr>
                  <w:r>
                    <w:rPr>
                      <w:b/>
                      <w:bCs/>
                      <w:color w:val="00000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0" w:type="dxa"/>
                  <w:vAlign w:val="center"/>
                </w:tcPr>
                <w:p>
                  <w:pPr>
                    <w:widowControl/>
                    <w:adjustRightInd w:val="0"/>
                    <w:snapToGrid w:val="0"/>
                    <w:jc w:val="center"/>
                    <w:rPr>
                      <w:color w:val="000000"/>
                      <w:szCs w:val="21"/>
                    </w:rPr>
                  </w:pPr>
                  <w:r>
                    <w:rPr>
                      <w:color w:val="000000"/>
                      <w:szCs w:val="21"/>
                    </w:rPr>
                    <w:t>油气回收系统气液比</w:t>
                  </w:r>
                </w:p>
              </w:tc>
              <w:tc>
                <w:tcPr>
                  <w:tcW w:w="3553" w:type="dxa"/>
                  <w:vAlign w:val="center"/>
                </w:tcPr>
                <w:p>
                  <w:pPr>
                    <w:widowControl/>
                    <w:adjustRightInd w:val="0"/>
                    <w:snapToGrid w:val="0"/>
                    <w:jc w:val="center"/>
                    <w:rPr>
                      <w:color w:val="000000"/>
                      <w:szCs w:val="21"/>
                    </w:rPr>
                  </w:pPr>
                  <w:r>
                    <w:rPr>
                      <w:color w:val="000000"/>
                      <w:szCs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0" w:type="dxa"/>
                  <w:vAlign w:val="center"/>
                </w:tcPr>
                <w:p>
                  <w:pPr>
                    <w:widowControl/>
                    <w:adjustRightInd w:val="0"/>
                    <w:snapToGrid w:val="0"/>
                    <w:jc w:val="center"/>
                    <w:rPr>
                      <w:color w:val="000000"/>
                      <w:szCs w:val="21"/>
                    </w:rPr>
                  </w:pPr>
                  <w:r>
                    <w:rPr>
                      <w:color w:val="000000"/>
                      <w:szCs w:val="21"/>
                    </w:rPr>
                    <w:t>处理装置油气排放浓度</w:t>
                  </w:r>
                </w:p>
              </w:tc>
              <w:tc>
                <w:tcPr>
                  <w:tcW w:w="3553" w:type="dxa"/>
                  <w:vAlign w:val="center"/>
                </w:tcPr>
                <w:p>
                  <w:pPr>
                    <w:widowControl/>
                    <w:adjustRightInd w:val="0"/>
                    <w:snapToGrid w:val="0"/>
                    <w:jc w:val="center"/>
                    <w:rPr>
                      <w:color w:val="000000"/>
                      <w:szCs w:val="21"/>
                      <w:vertAlign w:val="superscript"/>
                    </w:rPr>
                  </w:pPr>
                  <w:r>
                    <w:rPr>
                      <w:color w:val="000000"/>
                      <w:szCs w:val="21"/>
                      <w:lang w:bidi="ar"/>
                    </w:rPr>
                    <w:t>≤25g/m</w:t>
                  </w:r>
                  <w:r>
                    <w:rPr>
                      <w:color w:val="000000"/>
                      <w:szCs w:val="21"/>
                      <w:vertAlign w:val="superscript"/>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0" w:type="dxa"/>
                  <w:vAlign w:val="center"/>
                </w:tcPr>
                <w:p>
                  <w:pPr>
                    <w:widowControl/>
                    <w:adjustRightInd w:val="0"/>
                    <w:snapToGrid w:val="0"/>
                    <w:jc w:val="center"/>
                    <w:rPr>
                      <w:color w:val="000000"/>
                      <w:szCs w:val="21"/>
                    </w:rPr>
                  </w:pPr>
                  <w:r>
                    <w:rPr>
                      <w:color w:val="000000"/>
                      <w:szCs w:val="21"/>
                    </w:rPr>
                    <w:t>排放口距离地面高度</w:t>
                  </w:r>
                </w:p>
              </w:tc>
              <w:tc>
                <w:tcPr>
                  <w:tcW w:w="3553" w:type="dxa"/>
                  <w:vAlign w:val="center"/>
                </w:tcPr>
                <w:p>
                  <w:pPr>
                    <w:widowControl/>
                    <w:adjustRightInd w:val="0"/>
                    <w:snapToGrid w:val="0"/>
                    <w:jc w:val="center"/>
                    <w:rPr>
                      <w:color w:val="000000"/>
                      <w:szCs w:val="21"/>
                    </w:rPr>
                  </w:pPr>
                  <w:r>
                    <w:rPr>
                      <w:color w:val="000000"/>
                      <w:szCs w:val="21"/>
                    </w:rPr>
                    <w:t>≥4m</w:t>
                  </w:r>
                </w:p>
              </w:tc>
            </w:tr>
          </w:tbl>
          <w:p>
            <w:pPr>
              <w:ind w:hanging="130"/>
              <w:jc w:val="center"/>
              <w:rPr>
                <w:b/>
                <w:bCs/>
                <w:color w:val="000000"/>
                <w:sz w:val="24"/>
              </w:rPr>
            </w:pPr>
            <w:r>
              <w:rPr>
                <w:rFonts w:hint="eastAsia"/>
                <w:b/>
                <w:bCs/>
                <w:color w:val="000000"/>
                <w:sz w:val="24"/>
              </w:rPr>
              <w:t>表3-9</w:t>
            </w:r>
            <w:r>
              <w:rPr>
                <w:b/>
                <w:bCs/>
                <w:color w:val="000000"/>
                <w:sz w:val="24"/>
              </w:rPr>
              <w:t xml:space="preserve"> </w:t>
            </w:r>
            <w:r>
              <w:rPr>
                <w:rFonts w:hint="eastAsia"/>
                <w:b/>
                <w:bCs/>
                <w:color w:val="000000"/>
                <w:sz w:val="24"/>
              </w:rPr>
              <w:t>厂区内V</w:t>
            </w:r>
            <w:r>
              <w:rPr>
                <w:b/>
                <w:bCs/>
                <w:color w:val="000000"/>
                <w:sz w:val="24"/>
              </w:rPr>
              <w:t>OCs</w:t>
            </w:r>
            <w:r>
              <w:rPr>
                <w:rFonts w:hint="eastAsia"/>
                <w:b/>
                <w:bCs/>
                <w:color w:val="000000"/>
                <w:sz w:val="24"/>
              </w:rPr>
              <w:t xml:space="preserve">无组织排放限值 </w:t>
            </w:r>
            <w:r>
              <w:rPr>
                <w:b/>
                <w:bCs/>
                <w:color w:val="000000"/>
                <w:sz w:val="24"/>
              </w:rPr>
              <w:t xml:space="preserve"> </w:t>
            </w:r>
            <w:r>
              <w:rPr>
                <w:rFonts w:hint="eastAsia"/>
                <w:b/>
                <w:bCs/>
                <w:color w:val="000000"/>
                <w:sz w:val="24"/>
              </w:rPr>
              <w:t>单位：mg/</w:t>
            </w:r>
            <w:r>
              <w:rPr>
                <w:b/>
                <w:bCs/>
                <w:color w:val="000000"/>
                <w:sz w:val="24"/>
              </w:rPr>
              <w:t>m</w:t>
            </w:r>
            <w:r>
              <w:rPr>
                <w:b/>
                <w:bCs/>
                <w:color w:val="000000"/>
                <w:sz w:val="24"/>
                <w:vertAlign w:val="superscript"/>
              </w:rPr>
              <w:t>3</w:t>
            </w:r>
          </w:p>
          <w:tbl>
            <w:tblPr>
              <w:tblStyle w:val="23"/>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559"/>
              <w:gridCol w:w="2551"/>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7" w:type="dxa"/>
                  <w:vAlign w:val="center"/>
                </w:tcPr>
                <w:p>
                  <w:pPr>
                    <w:spacing w:line="360" w:lineRule="auto"/>
                    <w:jc w:val="center"/>
                    <w:rPr>
                      <w:b/>
                      <w:bCs/>
                      <w:color w:val="000000"/>
                      <w:szCs w:val="21"/>
                    </w:rPr>
                  </w:pPr>
                  <w:r>
                    <w:rPr>
                      <w:rFonts w:hint="eastAsia"/>
                      <w:b/>
                      <w:bCs/>
                      <w:color w:val="000000"/>
                      <w:szCs w:val="21"/>
                    </w:rPr>
                    <w:t>污染物项目</w:t>
                  </w:r>
                </w:p>
              </w:tc>
              <w:tc>
                <w:tcPr>
                  <w:tcW w:w="1559" w:type="dxa"/>
                  <w:vAlign w:val="center"/>
                </w:tcPr>
                <w:p>
                  <w:pPr>
                    <w:spacing w:line="360" w:lineRule="auto"/>
                    <w:jc w:val="center"/>
                    <w:rPr>
                      <w:b/>
                      <w:bCs/>
                      <w:color w:val="000000"/>
                      <w:szCs w:val="21"/>
                    </w:rPr>
                  </w:pPr>
                  <w:r>
                    <w:rPr>
                      <w:rFonts w:hint="eastAsia"/>
                      <w:b/>
                      <w:bCs/>
                      <w:color w:val="000000"/>
                      <w:szCs w:val="21"/>
                    </w:rPr>
                    <w:t>特别排放限值</w:t>
                  </w:r>
                </w:p>
              </w:tc>
              <w:tc>
                <w:tcPr>
                  <w:tcW w:w="2551" w:type="dxa"/>
                  <w:vAlign w:val="center"/>
                </w:tcPr>
                <w:p>
                  <w:pPr>
                    <w:spacing w:line="360" w:lineRule="auto"/>
                    <w:jc w:val="center"/>
                    <w:rPr>
                      <w:b/>
                      <w:bCs/>
                      <w:color w:val="000000"/>
                      <w:szCs w:val="21"/>
                    </w:rPr>
                  </w:pPr>
                  <w:r>
                    <w:rPr>
                      <w:rFonts w:hint="eastAsia"/>
                      <w:b/>
                      <w:bCs/>
                      <w:color w:val="000000"/>
                      <w:szCs w:val="21"/>
                    </w:rPr>
                    <w:t>限值含义</w:t>
                  </w:r>
                </w:p>
              </w:tc>
              <w:tc>
                <w:tcPr>
                  <w:tcW w:w="2512" w:type="dxa"/>
                  <w:vAlign w:val="center"/>
                </w:tcPr>
                <w:p>
                  <w:pPr>
                    <w:spacing w:line="360" w:lineRule="auto"/>
                    <w:jc w:val="center"/>
                    <w:rPr>
                      <w:b/>
                      <w:bCs/>
                      <w:color w:val="000000"/>
                      <w:szCs w:val="21"/>
                    </w:rPr>
                  </w:pPr>
                  <w:r>
                    <w:rPr>
                      <w:rFonts w:hint="eastAsia"/>
                      <w:b/>
                      <w:bCs/>
                      <w:color w:val="000000"/>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7" w:type="dxa"/>
                  <w:vMerge w:val="restart"/>
                  <w:vAlign w:val="center"/>
                </w:tcPr>
                <w:p>
                  <w:pPr>
                    <w:spacing w:line="360" w:lineRule="auto"/>
                    <w:jc w:val="center"/>
                    <w:rPr>
                      <w:color w:val="000000"/>
                      <w:szCs w:val="21"/>
                    </w:rPr>
                  </w:pPr>
                  <w:r>
                    <w:rPr>
                      <w:rFonts w:hint="eastAsia"/>
                      <w:color w:val="000000"/>
                      <w:szCs w:val="21"/>
                    </w:rPr>
                    <w:t>N</w:t>
                  </w:r>
                  <w:r>
                    <w:rPr>
                      <w:color w:val="000000"/>
                      <w:szCs w:val="21"/>
                    </w:rPr>
                    <w:t>MHC</w:t>
                  </w:r>
                </w:p>
              </w:tc>
              <w:tc>
                <w:tcPr>
                  <w:tcW w:w="1559" w:type="dxa"/>
                  <w:vAlign w:val="center"/>
                </w:tcPr>
                <w:p>
                  <w:pPr>
                    <w:spacing w:line="360" w:lineRule="auto"/>
                    <w:jc w:val="center"/>
                    <w:rPr>
                      <w:color w:val="000000"/>
                      <w:szCs w:val="21"/>
                    </w:rPr>
                  </w:pPr>
                  <w:r>
                    <w:rPr>
                      <w:rFonts w:hint="eastAsia"/>
                      <w:color w:val="000000"/>
                      <w:szCs w:val="21"/>
                    </w:rPr>
                    <w:t>6</w:t>
                  </w:r>
                </w:p>
              </w:tc>
              <w:tc>
                <w:tcPr>
                  <w:tcW w:w="2551" w:type="dxa"/>
                  <w:vAlign w:val="center"/>
                </w:tcPr>
                <w:p>
                  <w:pPr>
                    <w:spacing w:line="360" w:lineRule="auto"/>
                    <w:jc w:val="center"/>
                    <w:rPr>
                      <w:color w:val="000000"/>
                      <w:szCs w:val="21"/>
                    </w:rPr>
                  </w:pPr>
                  <w:r>
                    <w:rPr>
                      <w:rFonts w:hint="eastAsia"/>
                      <w:color w:val="000000"/>
                      <w:szCs w:val="21"/>
                    </w:rPr>
                    <w:t>监控点处1</w:t>
                  </w:r>
                  <w:r>
                    <w:rPr>
                      <w:color w:val="000000"/>
                      <w:szCs w:val="21"/>
                    </w:rPr>
                    <w:t>h</w:t>
                  </w:r>
                  <w:r>
                    <w:rPr>
                      <w:rFonts w:hint="eastAsia"/>
                      <w:color w:val="000000"/>
                      <w:szCs w:val="21"/>
                    </w:rPr>
                    <w:t>平均浓度值</w:t>
                  </w:r>
                </w:p>
              </w:tc>
              <w:tc>
                <w:tcPr>
                  <w:tcW w:w="2512" w:type="dxa"/>
                  <w:vMerge w:val="restart"/>
                  <w:vAlign w:val="center"/>
                </w:tcPr>
                <w:p>
                  <w:pPr>
                    <w:spacing w:line="360" w:lineRule="auto"/>
                    <w:jc w:val="center"/>
                    <w:rPr>
                      <w:color w:val="000000"/>
                      <w:szCs w:val="21"/>
                    </w:rPr>
                  </w:pPr>
                  <w:r>
                    <w:rPr>
                      <w:rFonts w:hint="eastAsia"/>
                      <w:color w:val="000000"/>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7" w:type="dxa"/>
                  <w:vMerge w:val="continue"/>
                  <w:vAlign w:val="center"/>
                </w:tcPr>
                <w:p>
                  <w:pPr>
                    <w:spacing w:line="360" w:lineRule="auto"/>
                    <w:jc w:val="center"/>
                    <w:rPr>
                      <w:color w:val="000000"/>
                      <w:szCs w:val="21"/>
                    </w:rPr>
                  </w:pPr>
                </w:p>
              </w:tc>
              <w:tc>
                <w:tcPr>
                  <w:tcW w:w="1559" w:type="dxa"/>
                  <w:vAlign w:val="center"/>
                </w:tcPr>
                <w:p>
                  <w:pPr>
                    <w:spacing w:line="360" w:lineRule="auto"/>
                    <w:jc w:val="center"/>
                    <w:rPr>
                      <w:color w:val="000000"/>
                      <w:szCs w:val="21"/>
                    </w:rPr>
                  </w:pPr>
                  <w:r>
                    <w:rPr>
                      <w:rFonts w:hint="eastAsia"/>
                      <w:color w:val="000000"/>
                      <w:szCs w:val="21"/>
                    </w:rPr>
                    <w:t>2</w:t>
                  </w:r>
                  <w:r>
                    <w:rPr>
                      <w:color w:val="000000"/>
                      <w:szCs w:val="21"/>
                    </w:rPr>
                    <w:t>0</w:t>
                  </w:r>
                </w:p>
              </w:tc>
              <w:tc>
                <w:tcPr>
                  <w:tcW w:w="2551" w:type="dxa"/>
                  <w:vAlign w:val="center"/>
                </w:tcPr>
                <w:p>
                  <w:pPr>
                    <w:spacing w:line="360" w:lineRule="auto"/>
                    <w:jc w:val="center"/>
                    <w:rPr>
                      <w:color w:val="000000"/>
                      <w:szCs w:val="21"/>
                    </w:rPr>
                  </w:pPr>
                  <w:r>
                    <w:rPr>
                      <w:rFonts w:hint="eastAsia"/>
                      <w:color w:val="000000"/>
                      <w:szCs w:val="21"/>
                    </w:rPr>
                    <w:t>监控点处任意一次浓度值</w:t>
                  </w:r>
                </w:p>
              </w:tc>
              <w:tc>
                <w:tcPr>
                  <w:tcW w:w="2512" w:type="dxa"/>
                  <w:vMerge w:val="continue"/>
                  <w:vAlign w:val="center"/>
                </w:tcPr>
                <w:p>
                  <w:pPr>
                    <w:spacing w:line="360" w:lineRule="auto"/>
                    <w:jc w:val="center"/>
                    <w:rPr>
                      <w:b/>
                      <w:bCs/>
                      <w:color w:val="000000"/>
                      <w:szCs w:val="21"/>
                    </w:rPr>
                  </w:pPr>
                </w:p>
              </w:tc>
            </w:tr>
          </w:tbl>
          <w:p>
            <w:pPr>
              <w:spacing w:line="360" w:lineRule="auto"/>
              <w:ind w:firstLine="482"/>
              <w:rPr>
                <w:b/>
                <w:bCs/>
                <w:color w:val="000000"/>
                <w:sz w:val="24"/>
              </w:rPr>
            </w:pPr>
            <w:r>
              <w:rPr>
                <w:b/>
                <w:bCs/>
                <w:color w:val="000000"/>
                <w:sz w:val="24"/>
              </w:rPr>
              <w:t>三、噪声</w:t>
            </w:r>
          </w:p>
          <w:p>
            <w:pPr>
              <w:spacing w:line="360" w:lineRule="auto"/>
              <w:ind w:firstLine="480" w:firstLineChars="200"/>
              <w:jc w:val="left"/>
              <w:rPr>
                <w:b/>
                <w:bCs/>
                <w:color w:val="000000"/>
                <w:sz w:val="24"/>
              </w:rPr>
            </w:pPr>
            <w:r>
              <w:rPr>
                <w:color w:val="000000"/>
                <w:sz w:val="24"/>
              </w:rPr>
              <w:t>运营期</w:t>
            </w:r>
            <w:r>
              <w:rPr>
                <w:rFonts w:hint="eastAsia"/>
                <w:color w:val="000000"/>
                <w:sz w:val="24"/>
              </w:rPr>
              <w:t>西南</w:t>
            </w:r>
            <w:r>
              <w:rPr>
                <w:color w:val="000000"/>
                <w:sz w:val="24"/>
              </w:rPr>
              <w:t>厂界噪声执行《工业企业厂界环境噪声排放标准》（GB12348-2008）中4类标准要求，</w:t>
            </w:r>
            <w:r>
              <w:rPr>
                <w:rFonts w:hint="eastAsia"/>
                <w:color w:val="000000"/>
                <w:sz w:val="24"/>
              </w:rPr>
              <w:t>其他</w:t>
            </w:r>
            <w:r>
              <w:rPr>
                <w:color w:val="000000"/>
                <w:sz w:val="24"/>
              </w:rPr>
              <w:t>厂界噪声执行《工业企业厂界环境噪声排放标准》（GB12348-2008）中</w:t>
            </w:r>
            <w:r>
              <w:rPr>
                <w:rFonts w:hint="eastAsia"/>
                <w:color w:val="000000"/>
                <w:sz w:val="24"/>
              </w:rPr>
              <w:t>3</w:t>
            </w:r>
            <w:r>
              <w:rPr>
                <w:color w:val="000000"/>
                <w:sz w:val="24"/>
              </w:rPr>
              <w:t>类标准要求，具体标准值如下表：</w:t>
            </w:r>
          </w:p>
          <w:p>
            <w:pPr>
              <w:jc w:val="center"/>
              <w:rPr>
                <w:b/>
                <w:bCs/>
                <w:color w:val="000000"/>
                <w:sz w:val="24"/>
              </w:rPr>
            </w:pPr>
            <w:r>
              <w:rPr>
                <w:b/>
                <w:bCs/>
                <w:color w:val="000000"/>
                <w:sz w:val="24"/>
              </w:rPr>
              <w:t>表3-</w:t>
            </w:r>
            <w:r>
              <w:rPr>
                <w:rFonts w:hint="eastAsia"/>
                <w:b/>
                <w:bCs/>
                <w:color w:val="000000"/>
                <w:sz w:val="24"/>
              </w:rPr>
              <w:t>10</w:t>
            </w:r>
            <w:r>
              <w:rPr>
                <w:b/>
                <w:bCs/>
                <w:color w:val="000000"/>
                <w:sz w:val="24"/>
              </w:rPr>
              <w:t xml:space="preserve">  工业企业厂界环境噪声排放标准  单位：dB（A）</w:t>
            </w:r>
          </w:p>
          <w:tbl>
            <w:tblPr>
              <w:tblStyle w:val="23"/>
              <w:tblW w:w="7960" w:type="dxa"/>
              <w:jc w:val="center"/>
              <w:tblInd w:w="0" w:type="dxa"/>
              <w:tblLayout w:type="fixed"/>
              <w:tblCellMar>
                <w:top w:w="0" w:type="dxa"/>
                <w:left w:w="108" w:type="dxa"/>
                <w:bottom w:w="0" w:type="dxa"/>
                <w:right w:w="108" w:type="dxa"/>
              </w:tblCellMar>
            </w:tblPr>
            <w:tblGrid>
              <w:gridCol w:w="3563"/>
              <w:gridCol w:w="1465"/>
              <w:gridCol w:w="1466"/>
              <w:gridCol w:w="1466"/>
            </w:tblGrid>
            <w:tr>
              <w:tblPrEx>
                <w:tblLayout w:type="fixed"/>
                <w:tblCellMar>
                  <w:top w:w="0" w:type="dxa"/>
                  <w:left w:w="108" w:type="dxa"/>
                  <w:bottom w:w="0" w:type="dxa"/>
                  <w:right w:w="108" w:type="dxa"/>
                </w:tblCellMar>
              </w:tblPrEx>
              <w:trPr>
                <w:jc w:val="center"/>
              </w:trPr>
              <w:tc>
                <w:tcPr>
                  <w:tcW w:w="3563" w:type="dxa"/>
                  <w:tcBorders>
                    <w:top w:val="single" w:color="auto" w:sz="6" w:space="0"/>
                    <w:left w:val="single" w:color="auto" w:sz="6" w:space="0"/>
                    <w:bottom w:val="single" w:color="auto" w:sz="6" w:space="0"/>
                    <w:right w:val="single" w:color="auto" w:sz="6" w:space="0"/>
                  </w:tcBorders>
                  <w:vAlign w:val="center"/>
                </w:tcPr>
                <w:p>
                  <w:pPr>
                    <w:jc w:val="center"/>
                    <w:rPr>
                      <w:b/>
                      <w:bCs/>
                      <w:color w:val="000000"/>
                      <w:szCs w:val="21"/>
                    </w:rPr>
                  </w:pPr>
                  <w:r>
                    <w:rPr>
                      <w:b/>
                      <w:bCs/>
                      <w:color w:val="000000"/>
                      <w:szCs w:val="21"/>
                    </w:rPr>
                    <w:t>标准名称</w:t>
                  </w:r>
                </w:p>
              </w:tc>
              <w:tc>
                <w:tcPr>
                  <w:tcW w:w="1465" w:type="dxa"/>
                  <w:tcBorders>
                    <w:top w:val="single" w:color="auto" w:sz="6" w:space="0"/>
                    <w:left w:val="nil"/>
                    <w:bottom w:val="single" w:color="auto" w:sz="6" w:space="0"/>
                    <w:right w:val="single" w:color="auto" w:sz="6" w:space="0"/>
                  </w:tcBorders>
                  <w:vAlign w:val="center"/>
                </w:tcPr>
                <w:p>
                  <w:pPr>
                    <w:jc w:val="center"/>
                    <w:rPr>
                      <w:b/>
                      <w:bCs/>
                      <w:color w:val="000000"/>
                      <w:szCs w:val="21"/>
                    </w:rPr>
                  </w:pPr>
                  <w:r>
                    <w:rPr>
                      <w:b/>
                      <w:bCs/>
                      <w:color w:val="000000"/>
                      <w:szCs w:val="21"/>
                    </w:rPr>
                    <w:t>类别</w:t>
                  </w:r>
                </w:p>
              </w:tc>
              <w:tc>
                <w:tcPr>
                  <w:tcW w:w="1466" w:type="dxa"/>
                  <w:tcBorders>
                    <w:top w:val="single" w:color="auto" w:sz="6" w:space="0"/>
                    <w:left w:val="nil"/>
                    <w:bottom w:val="single" w:color="auto" w:sz="6" w:space="0"/>
                    <w:right w:val="single" w:color="auto" w:sz="6" w:space="0"/>
                  </w:tcBorders>
                  <w:vAlign w:val="center"/>
                </w:tcPr>
                <w:p>
                  <w:pPr>
                    <w:jc w:val="center"/>
                    <w:rPr>
                      <w:b/>
                      <w:bCs/>
                      <w:color w:val="000000"/>
                      <w:szCs w:val="21"/>
                    </w:rPr>
                  </w:pPr>
                  <w:r>
                    <w:rPr>
                      <w:b/>
                      <w:bCs/>
                      <w:color w:val="000000"/>
                      <w:szCs w:val="21"/>
                    </w:rPr>
                    <w:t>昼间</w:t>
                  </w:r>
                </w:p>
              </w:tc>
              <w:tc>
                <w:tcPr>
                  <w:tcW w:w="1466" w:type="dxa"/>
                  <w:tcBorders>
                    <w:top w:val="single" w:color="auto" w:sz="6" w:space="0"/>
                    <w:left w:val="nil"/>
                    <w:bottom w:val="single" w:color="auto" w:sz="6" w:space="0"/>
                    <w:right w:val="single" w:color="auto" w:sz="6" w:space="0"/>
                  </w:tcBorders>
                  <w:vAlign w:val="center"/>
                </w:tcPr>
                <w:p>
                  <w:pPr>
                    <w:jc w:val="center"/>
                    <w:rPr>
                      <w:b/>
                      <w:bCs/>
                      <w:color w:val="000000"/>
                      <w:szCs w:val="21"/>
                    </w:rPr>
                  </w:pPr>
                  <w:r>
                    <w:rPr>
                      <w:b/>
                      <w:bCs/>
                      <w:color w:val="000000"/>
                      <w:szCs w:val="21"/>
                    </w:rPr>
                    <w:t>夜间</w:t>
                  </w:r>
                </w:p>
              </w:tc>
            </w:tr>
            <w:tr>
              <w:tblPrEx>
                <w:tblLayout w:type="fixed"/>
                <w:tblCellMar>
                  <w:top w:w="0" w:type="dxa"/>
                  <w:left w:w="108" w:type="dxa"/>
                  <w:bottom w:w="0" w:type="dxa"/>
                  <w:right w:w="108" w:type="dxa"/>
                </w:tblCellMar>
              </w:tblPrEx>
              <w:trPr>
                <w:jc w:val="center"/>
              </w:trPr>
              <w:tc>
                <w:tcPr>
                  <w:tcW w:w="3563" w:type="dxa"/>
                  <w:vMerge w:val="restart"/>
                  <w:tcBorders>
                    <w:top w:val="single" w:color="auto" w:sz="6" w:space="0"/>
                    <w:left w:val="single" w:color="auto" w:sz="6" w:space="0"/>
                    <w:right w:val="single" w:color="auto" w:sz="6" w:space="0"/>
                  </w:tcBorders>
                  <w:vAlign w:val="center"/>
                </w:tcPr>
                <w:p>
                  <w:pPr>
                    <w:jc w:val="center"/>
                    <w:rPr>
                      <w:color w:val="000000"/>
                      <w:szCs w:val="21"/>
                    </w:rPr>
                  </w:pPr>
                  <w:r>
                    <w:rPr>
                      <w:color w:val="000000"/>
                      <w:szCs w:val="21"/>
                    </w:rPr>
                    <w:t>工业企业厂界环境噪声排放标准</w:t>
                  </w:r>
                </w:p>
              </w:tc>
              <w:tc>
                <w:tcPr>
                  <w:tcW w:w="1465" w:type="dxa"/>
                  <w:tcBorders>
                    <w:top w:val="single" w:color="auto" w:sz="6" w:space="0"/>
                    <w:left w:val="nil"/>
                    <w:bottom w:val="single" w:color="auto" w:sz="6" w:space="0"/>
                    <w:right w:val="single" w:color="auto" w:sz="6" w:space="0"/>
                  </w:tcBorders>
                  <w:vAlign w:val="center"/>
                </w:tcPr>
                <w:p>
                  <w:pPr>
                    <w:jc w:val="center"/>
                    <w:rPr>
                      <w:color w:val="000000"/>
                      <w:szCs w:val="21"/>
                    </w:rPr>
                  </w:pPr>
                  <w:r>
                    <w:rPr>
                      <w:rFonts w:hint="eastAsia"/>
                      <w:color w:val="000000"/>
                      <w:szCs w:val="21"/>
                    </w:rPr>
                    <w:t>3</w:t>
                  </w:r>
                  <w:r>
                    <w:rPr>
                      <w:color w:val="000000"/>
                      <w:szCs w:val="21"/>
                    </w:rPr>
                    <w:t>类</w:t>
                  </w:r>
                </w:p>
              </w:tc>
              <w:tc>
                <w:tcPr>
                  <w:tcW w:w="1466" w:type="dxa"/>
                  <w:tcBorders>
                    <w:top w:val="single" w:color="auto" w:sz="6" w:space="0"/>
                    <w:left w:val="nil"/>
                    <w:bottom w:val="single" w:color="auto" w:sz="6" w:space="0"/>
                    <w:right w:val="single" w:color="auto" w:sz="6" w:space="0"/>
                  </w:tcBorders>
                  <w:vAlign w:val="center"/>
                </w:tcPr>
                <w:p>
                  <w:pPr>
                    <w:jc w:val="center"/>
                    <w:rPr>
                      <w:color w:val="000000"/>
                      <w:szCs w:val="21"/>
                    </w:rPr>
                  </w:pPr>
                  <w:r>
                    <w:rPr>
                      <w:color w:val="000000"/>
                      <w:szCs w:val="21"/>
                    </w:rPr>
                    <w:t>6</w:t>
                  </w:r>
                  <w:r>
                    <w:rPr>
                      <w:rFonts w:hint="eastAsia"/>
                      <w:color w:val="000000"/>
                      <w:szCs w:val="21"/>
                    </w:rPr>
                    <w:t>5</w:t>
                  </w:r>
                </w:p>
              </w:tc>
              <w:tc>
                <w:tcPr>
                  <w:tcW w:w="1466" w:type="dxa"/>
                  <w:tcBorders>
                    <w:top w:val="single" w:color="auto" w:sz="6" w:space="0"/>
                    <w:left w:val="nil"/>
                    <w:bottom w:val="single" w:color="auto" w:sz="6" w:space="0"/>
                    <w:right w:val="single" w:color="auto" w:sz="6" w:space="0"/>
                  </w:tcBorders>
                  <w:vAlign w:val="center"/>
                </w:tcPr>
                <w:p>
                  <w:pPr>
                    <w:jc w:val="center"/>
                    <w:rPr>
                      <w:color w:val="000000"/>
                      <w:szCs w:val="21"/>
                    </w:rPr>
                  </w:pPr>
                  <w:r>
                    <w:rPr>
                      <w:color w:val="000000"/>
                      <w:szCs w:val="21"/>
                    </w:rPr>
                    <w:t>5</w:t>
                  </w:r>
                  <w:r>
                    <w:rPr>
                      <w:rFonts w:hint="eastAsia"/>
                      <w:color w:val="000000"/>
                      <w:szCs w:val="21"/>
                    </w:rPr>
                    <w:t>5</w:t>
                  </w:r>
                </w:p>
              </w:tc>
            </w:tr>
            <w:tr>
              <w:tblPrEx>
                <w:tblLayout w:type="fixed"/>
                <w:tblCellMar>
                  <w:top w:w="0" w:type="dxa"/>
                  <w:left w:w="108" w:type="dxa"/>
                  <w:bottom w:w="0" w:type="dxa"/>
                  <w:right w:w="108" w:type="dxa"/>
                </w:tblCellMar>
              </w:tblPrEx>
              <w:trPr>
                <w:jc w:val="center"/>
              </w:trPr>
              <w:tc>
                <w:tcPr>
                  <w:tcW w:w="3563" w:type="dxa"/>
                  <w:vMerge w:val="continue"/>
                  <w:tcBorders>
                    <w:left w:val="single" w:color="auto" w:sz="6" w:space="0"/>
                    <w:bottom w:val="single" w:color="auto" w:sz="6" w:space="0"/>
                    <w:right w:val="single" w:color="auto" w:sz="6" w:space="0"/>
                  </w:tcBorders>
                  <w:vAlign w:val="center"/>
                </w:tcPr>
                <w:p>
                  <w:pPr>
                    <w:jc w:val="center"/>
                    <w:rPr>
                      <w:color w:val="000000"/>
                      <w:szCs w:val="21"/>
                    </w:rPr>
                  </w:pPr>
                </w:p>
              </w:tc>
              <w:tc>
                <w:tcPr>
                  <w:tcW w:w="1465" w:type="dxa"/>
                  <w:tcBorders>
                    <w:top w:val="single" w:color="auto" w:sz="6" w:space="0"/>
                    <w:left w:val="nil"/>
                    <w:bottom w:val="single" w:color="auto" w:sz="6" w:space="0"/>
                    <w:right w:val="single" w:color="auto" w:sz="6" w:space="0"/>
                  </w:tcBorders>
                  <w:vAlign w:val="center"/>
                </w:tcPr>
                <w:p>
                  <w:pPr>
                    <w:jc w:val="center"/>
                    <w:rPr>
                      <w:color w:val="000000"/>
                      <w:szCs w:val="21"/>
                    </w:rPr>
                  </w:pPr>
                  <w:r>
                    <w:rPr>
                      <w:rFonts w:hint="eastAsia"/>
                      <w:color w:val="000000"/>
                      <w:szCs w:val="21"/>
                    </w:rPr>
                    <w:t>4类</w:t>
                  </w:r>
                </w:p>
              </w:tc>
              <w:tc>
                <w:tcPr>
                  <w:tcW w:w="1466" w:type="dxa"/>
                  <w:tcBorders>
                    <w:top w:val="single" w:color="auto" w:sz="6" w:space="0"/>
                    <w:left w:val="nil"/>
                    <w:bottom w:val="single" w:color="auto" w:sz="6" w:space="0"/>
                    <w:right w:val="single" w:color="auto" w:sz="6" w:space="0"/>
                  </w:tcBorders>
                  <w:vAlign w:val="center"/>
                </w:tcPr>
                <w:p>
                  <w:pPr>
                    <w:jc w:val="center"/>
                    <w:rPr>
                      <w:color w:val="000000"/>
                      <w:szCs w:val="21"/>
                    </w:rPr>
                  </w:pPr>
                  <w:r>
                    <w:rPr>
                      <w:rFonts w:hint="eastAsia"/>
                      <w:color w:val="000000"/>
                      <w:szCs w:val="21"/>
                    </w:rPr>
                    <w:t>7</w:t>
                  </w:r>
                  <w:r>
                    <w:rPr>
                      <w:color w:val="000000"/>
                      <w:szCs w:val="21"/>
                    </w:rPr>
                    <w:t>0</w:t>
                  </w:r>
                </w:p>
              </w:tc>
              <w:tc>
                <w:tcPr>
                  <w:tcW w:w="1466" w:type="dxa"/>
                  <w:tcBorders>
                    <w:top w:val="single" w:color="auto" w:sz="6" w:space="0"/>
                    <w:left w:val="nil"/>
                    <w:bottom w:val="single" w:color="auto" w:sz="6" w:space="0"/>
                    <w:right w:val="single" w:color="auto" w:sz="6" w:space="0"/>
                  </w:tcBorders>
                  <w:vAlign w:val="center"/>
                </w:tcPr>
                <w:p>
                  <w:pPr>
                    <w:jc w:val="center"/>
                    <w:rPr>
                      <w:color w:val="000000"/>
                      <w:szCs w:val="21"/>
                    </w:rPr>
                  </w:pPr>
                  <w:r>
                    <w:rPr>
                      <w:rFonts w:hint="eastAsia"/>
                      <w:color w:val="000000"/>
                      <w:szCs w:val="21"/>
                    </w:rPr>
                    <w:t>5</w:t>
                  </w:r>
                  <w:r>
                    <w:rPr>
                      <w:color w:val="000000"/>
                      <w:szCs w:val="21"/>
                    </w:rPr>
                    <w:t>5</w:t>
                  </w:r>
                </w:p>
              </w:tc>
            </w:tr>
          </w:tbl>
          <w:p>
            <w:pPr>
              <w:spacing w:line="360" w:lineRule="auto"/>
              <w:ind w:firstLine="482" w:firstLineChars="200"/>
              <w:jc w:val="left"/>
              <w:rPr>
                <w:b/>
                <w:bCs/>
                <w:color w:val="000000"/>
                <w:sz w:val="24"/>
              </w:rPr>
            </w:pPr>
            <w:r>
              <w:rPr>
                <w:b/>
                <w:bCs/>
                <w:color w:val="000000"/>
                <w:sz w:val="24"/>
              </w:rPr>
              <w:t>四、固体废物</w:t>
            </w:r>
          </w:p>
          <w:p>
            <w:pPr>
              <w:adjustRightInd w:val="0"/>
              <w:snapToGrid w:val="0"/>
              <w:spacing w:line="360" w:lineRule="auto"/>
              <w:ind w:firstLine="480" w:firstLineChars="200"/>
              <w:jc w:val="left"/>
              <w:rPr>
                <w:color w:val="000000"/>
                <w:kern w:val="0"/>
                <w:sz w:val="24"/>
              </w:rPr>
            </w:pPr>
            <w:r>
              <w:rPr>
                <w:color w:val="000000"/>
                <w:sz w:val="24"/>
              </w:rPr>
              <w:t>一般工业固体废物执行《一般工业固体废物贮存和填埋污染控制标准》（GB18599-2020）中相关要求。危险废物执行《危险废物贮存污染控制标准》（GB18597-2001）以及修改清单中相关要求。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800" w:type="dxa"/>
            <w:vAlign w:val="center"/>
          </w:tcPr>
          <w:p>
            <w:pPr>
              <w:adjustRightInd w:val="0"/>
              <w:snapToGrid w:val="0"/>
              <w:jc w:val="center"/>
              <w:rPr>
                <w:color w:val="000000"/>
                <w:kern w:val="0"/>
                <w:sz w:val="24"/>
              </w:rPr>
            </w:pPr>
            <w:r>
              <w:rPr>
                <w:color w:val="000000"/>
                <w:kern w:val="0"/>
                <w:sz w:val="24"/>
              </w:rPr>
              <w:t>总量</w:t>
            </w:r>
          </w:p>
          <w:p>
            <w:pPr>
              <w:adjustRightInd w:val="0"/>
              <w:snapToGrid w:val="0"/>
              <w:jc w:val="center"/>
              <w:rPr>
                <w:color w:val="000000"/>
                <w:kern w:val="0"/>
                <w:sz w:val="24"/>
              </w:rPr>
            </w:pPr>
            <w:r>
              <w:rPr>
                <w:color w:val="000000"/>
                <w:kern w:val="0"/>
                <w:sz w:val="24"/>
              </w:rPr>
              <w:t>控制</w:t>
            </w:r>
          </w:p>
          <w:p>
            <w:pPr>
              <w:adjustRightInd w:val="0"/>
              <w:snapToGrid w:val="0"/>
              <w:jc w:val="center"/>
              <w:rPr>
                <w:color w:val="000000"/>
                <w:kern w:val="0"/>
                <w:sz w:val="24"/>
              </w:rPr>
            </w:pPr>
            <w:r>
              <w:rPr>
                <w:color w:val="000000"/>
                <w:kern w:val="0"/>
                <w:sz w:val="24"/>
              </w:rPr>
              <w:t>指标</w:t>
            </w:r>
          </w:p>
        </w:tc>
        <w:tc>
          <w:tcPr>
            <w:tcW w:w="8190" w:type="dxa"/>
            <w:vAlign w:val="center"/>
          </w:tcPr>
          <w:p>
            <w:pPr>
              <w:adjustRightInd w:val="0"/>
              <w:snapToGrid w:val="0"/>
              <w:rPr>
                <w:color w:val="000000"/>
                <w:kern w:val="0"/>
                <w:sz w:val="24"/>
              </w:rPr>
            </w:pPr>
          </w:p>
          <w:p>
            <w:pPr>
              <w:adjustRightInd w:val="0"/>
              <w:snapToGrid w:val="0"/>
              <w:jc w:val="center"/>
              <w:rPr>
                <w:color w:val="000000"/>
                <w:kern w:val="0"/>
                <w:sz w:val="24"/>
              </w:rPr>
            </w:pPr>
          </w:p>
          <w:p>
            <w:pPr>
              <w:adjustRightInd w:val="0"/>
              <w:snapToGrid w:val="0"/>
              <w:rPr>
                <w:color w:val="000000"/>
                <w:kern w:val="0"/>
                <w:sz w:val="24"/>
              </w:rPr>
            </w:pPr>
          </w:p>
          <w:p>
            <w:pPr>
              <w:adjustRightInd w:val="0"/>
              <w:snapToGrid w:val="0"/>
              <w:jc w:val="center"/>
              <w:rPr>
                <w:color w:val="000000"/>
                <w:kern w:val="0"/>
                <w:sz w:val="24"/>
              </w:rPr>
            </w:pPr>
          </w:p>
          <w:p>
            <w:pPr>
              <w:adjustRightInd w:val="0"/>
              <w:snapToGrid w:val="0"/>
              <w:jc w:val="center"/>
              <w:rPr>
                <w:color w:val="000000"/>
                <w:kern w:val="0"/>
                <w:sz w:val="24"/>
              </w:rPr>
            </w:pPr>
            <w:r>
              <w:rPr>
                <w:color w:val="000000"/>
                <w:kern w:val="0"/>
                <w:sz w:val="24"/>
              </w:rPr>
              <w:t>无</w:t>
            </w:r>
          </w:p>
          <w:p>
            <w:pPr>
              <w:adjustRightInd w:val="0"/>
              <w:snapToGrid w:val="0"/>
              <w:jc w:val="center"/>
              <w:rPr>
                <w:color w:val="000000"/>
                <w:kern w:val="0"/>
                <w:sz w:val="24"/>
              </w:rPr>
            </w:pPr>
          </w:p>
          <w:p>
            <w:pPr>
              <w:adjustRightInd w:val="0"/>
              <w:snapToGrid w:val="0"/>
              <w:jc w:val="center"/>
              <w:rPr>
                <w:color w:val="000000"/>
                <w:kern w:val="0"/>
                <w:sz w:val="24"/>
              </w:rPr>
            </w:pPr>
          </w:p>
          <w:p>
            <w:pPr>
              <w:adjustRightInd w:val="0"/>
              <w:snapToGrid w:val="0"/>
              <w:jc w:val="center"/>
              <w:rPr>
                <w:color w:val="000000"/>
                <w:kern w:val="0"/>
                <w:sz w:val="24"/>
              </w:rPr>
            </w:pPr>
          </w:p>
          <w:p>
            <w:pPr>
              <w:adjustRightInd w:val="0"/>
              <w:snapToGrid w:val="0"/>
              <w:jc w:val="center"/>
              <w:rPr>
                <w:color w:val="000000"/>
                <w:kern w:val="0"/>
                <w:sz w:val="24"/>
              </w:rPr>
            </w:pPr>
          </w:p>
          <w:p>
            <w:pPr>
              <w:adjustRightInd w:val="0"/>
              <w:snapToGrid w:val="0"/>
              <w:rPr>
                <w:color w:val="000000"/>
                <w:kern w:val="0"/>
                <w:sz w:val="24"/>
              </w:rPr>
            </w:pPr>
          </w:p>
        </w:tc>
      </w:tr>
    </w:tbl>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sz w:val="36"/>
          <w:szCs w:val="36"/>
        </w:rPr>
        <w:br w:type="page"/>
      </w:r>
      <w:r>
        <w:rPr>
          <w:rFonts w:ascii="Times New Roman" w:hAnsi="Times New Roman"/>
          <w:snapToGrid w:val="0"/>
          <w:color w:val="000000"/>
          <w:sz w:val="30"/>
          <w:szCs w:val="30"/>
        </w:rPr>
        <w:t>四、主要环境影响和保护措施</w:t>
      </w:r>
    </w:p>
    <w:tbl>
      <w:tblPr>
        <w:tblStyle w:val="23"/>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color w:val="000000"/>
                <w:kern w:val="2"/>
                <w:sz w:val="24"/>
                <w:szCs w:val="24"/>
              </w:rPr>
            </w:pPr>
            <w:r>
              <w:rPr>
                <w:rFonts w:ascii="Times New Roman" w:hAnsi="Times New Roman"/>
                <w:color w:val="000000"/>
                <w:kern w:val="2"/>
                <w:sz w:val="24"/>
                <w:szCs w:val="24"/>
              </w:rPr>
              <w:t>施工</w:t>
            </w:r>
          </w:p>
          <w:p>
            <w:pPr>
              <w:pStyle w:val="17"/>
              <w:adjustRightInd w:val="0"/>
              <w:snapToGrid w:val="0"/>
              <w:spacing w:before="0" w:beforeAutospacing="0" w:after="0" w:afterAutospacing="0"/>
              <w:jc w:val="center"/>
              <w:rPr>
                <w:rFonts w:ascii="Times New Roman" w:hAnsi="Times New Roman"/>
                <w:color w:val="000000"/>
                <w:kern w:val="2"/>
                <w:sz w:val="24"/>
                <w:szCs w:val="24"/>
              </w:rPr>
            </w:pPr>
            <w:r>
              <w:rPr>
                <w:rFonts w:ascii="Times New Roman" w:hAnsi="Times New Roman"/>
                <w:color w:val="000000"/>
                <w:kern w:val="2"/>
                <w:sz w:val="24"/>
                <w:szCs w:val="24"/>
              </w:rPr>
              <w:t>期环</w:t>
            </w:r>
          </w:p>
          <w:p>
            <w:pPr>
              <w:pStyle w:val="17"/>
              <w:adjustRightInd w:val="0"/>
              <w:snapToGrid w:val="0"/>
              <w:spacing w:before="0" w:beforeAutospacing="0" w:after="0" w:afterAutospacing="0"/>
              <w:jc w:val="center"/>
              <w:rPr>
                <w:rFonts w:ascii="Times New Roman" w:hAnsi="Times New Roman"/>
                <w:color w:val="000000"/>
                <w:kern w:val="2"/>
                <w:sz w:val="24"/>
                <w:szCs w:val="24"/>
              </w:rPr>
            </w:pPr>
            <w:r>
              <w:rPr>
                <w:rFonts w:ascii="Times New Roman" w:hAnsi="Times New Roman"/>
                <w:color w:val="000000"/>
                <w:kern w:val="2"/>
                <w:sz w:val="24"/>
                <w:szCs w:val="24"/>
              </w:rPr>
              <w:t>境保</w:t>
            </w:r>
          </w:p>
          <w:p>
            <w:pPr>
              <w:pStyle w:val="17"/>
              <w:adjustRightInd w:val="0"/>
              <w:snapToGrid w:val="0"/>
              <w:spacing w:before="0" w:beforeAutospacing="0" w:after="0" w:afterAutospacing="0"/>
              <w:jc w:val="center"/>
              <w:rPr>
                <w:rFonts w:ascii="Times New Roman" w:hAnsi="Times New Roman"/>
                <w:color w:val="000000"/>
                <w:kern w:val="2"/>
                <w:sz w:val="24"/>
                <w:szCs w:val="24"/>
              </w:rPr>
            </w:pPr>
            <w:r>
              <w:rPr>
                <w:rFonts w:ascii="Times New Roman" w:hAnsi="Times New Roman"/>
                <w:color w:val="000000"/>
                <w:kern w:val="2"/>
                <w:sz w:val="24"/>
                <w:szCs w:val="24"/>
              </w:rPr>
              <w:t>护措</w:t>
            </w:r>
          </w:p>
          <w:p>
            <w:pPr>
              <w:pStyle w:val="17"/>
              <w:adjustRightInd w:val="0"/>
              <w:snapToGrid w:val="0"/>
              <w:spacing w:before="0" w:beforeAutospacing="0" w:after="0" w:afterAutospacing="0"/>
              <w:jc w:val="center"/>
              <w:rPr>
                <w:rFonts w:ascii="Times New Roman" w:hAnsi="Times New Roman"/>
                <w:bCs/>
                <w:color w:val="000000"/>
                <w:kern w:val="2"/>
                <w:sz w:val="21"/>
                <w:szCs w:val="21"/>
              </w:rPr>
            </w:pPr>
            <w:r>
              <w:rPr>
                <w:rFonts w:ascii="Times New Roman" w:hAnsi="Times New Roman"/>
                <w:color w:val="000000"/>
                <w:kern w:val="2"/>
                <w:sz w:val="24"/>
                <w:szCs w:val="24"/>
              </w:rPr>
              <w:t>施</w:t>
            </w:r>
          </w:p>
        </w:tc>
        <w:tc>
          <w:tcPr>
            <w:tcW w:w="8162"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大气环境影响分析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本项目施工期大气污染物主要为建筑材料运输、基础施工产生的扬尘以及运输车辆产生的汽车尾气等，施工期间产生的粉尘污染主要决定于施工作业方式、材料的堆放及风力等因素，其中受风力因素的影响最大。</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施工扬尘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对大气造成污染的主要是粉尘，应严格按照《关于印发2020年安徽省住建系统大气污染防治工作方案的通知》（建质函（2020)220号）及《宿州市建设工程施工扬尘污染治理工作实施方案》中相关规定控制施工期粉尘，具体措施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eastAsia="宋体" w:cs="Times New Roman"/>
                <w:sz w:val="24"/>
                <w:szCs w:val="24"/>
              </w:rPr>
              <w:t>严格落实建筑施工扬尘污染防治“六个百分之百”措施：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施工现场实现工地周边围挡百分之百：施工现场硬质围挡应连续设置，施工城区主要路段建筑工地围挡高度不低于4m,一般路段建筑工地及其他工地围期环境保挡高度不低于2.5m,做到坚固、平稳、整洁、美观；施工围挡外观必须做到</w:t>
            </w:r>
            <w:r>
              <w:rPr>
                <w:rFonts w:hint="eastAsia" w:ascii="Times New Roman" w:hAnsi="Times New Roman" w:eastAsia="宋体" w:cs="Times New Roman"/>
                <w:sz w:val="24"/>
                <w:szCs w:val="24"/>
                <w:lang w:val="en-US" w:eastAsia="zh-CN"/>
              </w:rPr>
              <w:t>保</w:t>
            </w:r>
            <w:r>
              <w:rPr>
                <w:rFonts w:hint="default" w:ascii="Times New Roman" w:hAnsi="Times New Roman" w:eastAsia="宋体" w:cs="Times New Roman"/>
                <w:sz w:val="24"/>
                <w:szCs w:val="24"/>
              </w:rPr>
              <w:t>护措施美化、亮化，“讲文明树新风”公益广告面积占到30%以上。现场围挡及大门至少每半年清洗或粉饰见新一次；在建工程外防护立面应使用定型化钢网片实现施工全封闭围护，钢网片要定期清理，保持干净、整齐、清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物料堆放覆盖百分之百：非施工作业面的裸露地面、长期存放或超过一天以上的临时存放的土堆应采用防尘网进行覆盖，或采取绿化、固化措施。防尘网纬向密度要求大于3根／厘米；易产生扬尘的细颗粒建筑材料应密闭存放或进行覆盖，使用过程中应采取有效措施防止扬尘。其他施工材料应按相关要求分类码放整齐；对于停止施工的工地，应当对其裸露土地采取覆盖或者临时绿化等有效防尘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③土方开挖湿法作业百分之百：对于土方工程，开挖过程中应采用雾炮降尘、空中喷淋等湿法作业。开挖完毕的裸露地面应及时固化或覆盖；施工现场设专人负责卫生保洁，加大洒水频次，保持地面湿润，确保无浮土扬尘。工程竣工后，施工现场的临设、围挡、垃圾等必须及时清理完毕，清理时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须采取有效的降尘措施。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路面硬化百分之百：1.施工现场主要道路必须进行硬化处理，土层夯实后，面层材料可用混凝土、沥青、细石、钢板等；材料存放区、大模板存放区等场地必须平整夯实，面层材料可用混凝土、细石等；办公区、生活区和施工场地内无需硬化的区域，提倡通过铺设草坪、栽种花草、种植树木等方式进行绿化，建设花园式工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出入车辆清洗百分之百：全区土方施工工地在主要出入口应安装高效洗轮设施，由洗车水池、冲洗设备和草垫三部分组成，洗车水池的长度不少于10米、深度不少于50cm.对不具备安装洗轮机的施工现场出入口，经区住房城乡建设委确认，施工单位要设置冲洗车辆设施和沉淀池，杜绝出入工地车辆带泥上路；2017年9月1日以后新开工的房屋建筑及市政基础设施工程施工现场全部安装视频监控系统，新开工的装饰装修工程施工现场运输车辆出入口安装摄像和车牌抓拍设备，积极利用视频监控系统监督施工工地高效使用洗轮设施；对工程出口两侧各100米路面实行“三包”（包干净、包秩序、包美化），专人进行冲洗保洁，确保“扬尘不出院、路面不见土、车辆不带泥、周边不起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渣土车辆密闭运输百分之百：施工单位在建筑垃圾、土方清运和土方回填阶段，应当在施工现场门口设立检查点，按照“进门查证、出门查车”的原则，安排专人对进出施工现场的运输车辆逐一检查，做好登记；运输车辆驶入施工现场时，施工单位检查人员应当扫描准运证的二维码查验准运证真实与否，无准运证或持无效准运证的运输车辆一律不得驶入施工现场。运输车辆驶出施工现场时，施工单位检查人员应当检查运输车辆号牌是否污损、车箱密闭装置是否闭合、车轮车身是否带泥等情况，未达要求的运输车辆一律不得驶出施工现场。对不符合进出施工现场要求的运输车辆，经施工单位检查人员劝阻拒不及时改正，仍然强行驶入或驶出施工现场的，施工单位应当及时将车辆牌号和违法违规情况向城管执法部门举报；施工现场必须设置封闭式垃圾站，施工垃圾、生活垃圾应分类存放，运输消纳应符合相关规定。施工单位应当按照规定及时清运建筑垃圾，在施工现场暂存的建筑垃圾，应当采取封闭存放、全覆盖等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根据《安徽省重污染天气应急预案》启动III级（黄色）预警以上或气象预报风速达到五级以上时，不得进行土方挖填和转运、拆除、道路路面鼓风机吹灰等易产生扬尘的作业。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建筑施工现场的施工总承包单位和工程监理单位要定期进行扬尘污染防治专项检查，并形成书面记录。对不能有效整改的项目，工程监理单位有向建设行政主管部门报告的义务。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2、汽车尾气的防治措施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（1)使用节能低耗的运输车辆，减少汽车尾气的产生量；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（2)合理安排材料运输时段，减少交通拥挤和堵塞几率，降低汽车尾气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对环境产生的污染。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二、水环境影响分析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间产生的废水主要为施工废水及施工人员生活污水。施工废水不得任意直接排放、应采取现场建造集水池、沉砂池、排水沟等水处理构筑物，对施工期废污水进行收集简单处理后达标排放，施工人员产生的生活废水经化粪池处理进入污水管网。通过采取上述废水治理措施后，项目施工期产生的废水可以得到妥善处理，不会对项目所在区域地表水环境产生影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声环境影响分析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工程施工噪声源主要包括：工程开挖、构筑物砌筑、场地清理和修理等使用施工机械的固定声源噪声以及施工运输车辆的流动噪声声源。噪声源的声压级一般在80~90dB(A)左右。施工方应在施工期采取有效的噪声控制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①在设备选型时尽量采用低噪声设备，采用围栏进行施工。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②合理安排施工时间，高噪声设备禁止在夜间（22:00-6:00)进行施工，尤其是要严格控制施工机械噪声值在大于85dB(A)的作业。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③合理布局施工现场。施工时应将高噪声设备布置在场区中央，同时尽可能避免多台高噪声设备同时作业。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加强管理，尽量减少人为噪声（如钢管、模板等构件的装卸、搬运等）。由于本项目施工工期较短，负面影响只是暂时性的，在采取隔声降噪措施和严格管理下，场界噪声能达到国家《建筑施工场界环境噪声排放标准》（GB12523-2011)的规定，因此在采取以上措施后，施工噪声对周围环境产生的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四、固体废弃物影响分析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施工期产生的固体废物主要有施工场地产生的建筑垃圾和施工人员产生的生活垃圾。施工产生的建筑垃圾应集中堆放，由施工单位运至市政指定建筑废渣专用堆放场，以免影响施工和环境卫生；施工人员产生的生活垃圾应全部及时交由环卫部门进行处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rPr>
              <w:t>在落实以上环保措施后，本项目产生的固体废物不会对区域环境产生不利影响，但值得注意的是建筑垃圾和生活垃圾应分类收集、分类存放、分类运输和分类处置，不得混装。</w:t>
            </w: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spacing w:line="360" w:lineRule="auto"/>
              <w:ind w:firstLine="480"/>
              <w:rPr>
                <w:rFonts w:hint="eastAsia"/>
                <w:color w:val="000000"/>
                <w:sz w:val="24"/>
                <w:lang w:val="en-US" w:eastAsia="zh-CN"/>
              </w:rPr>
            </w:pPr>
          </w:p>
          <w:p>
            <w:pPr>
              <w:tabs>
                <w:tab w:val="left" w:pos="1223"/>
              </w:tabs>
              <w:spacing w:line="360" w:lineRule="auto"/>
              <w:ind w:firstLine="480"/>
              <w:rPr>
                <w:rFonts w:hint="default" w:eastAsia="宋体"/>
                <w:color w:val="000000"/>
                <w:sz w:val="24"/>
                <w:lang w:val="en-US" w:eastAsia="zh-CN"/>
              </w:rPr>
            </w:pPr>
            <w:r>
              <w:rPr>
                <w:rFonts w:hint="eastAsia"/>
                <w:color w:val="000000"/>
                <w:sz w:val="24"/>
                <w:lang w:val="en-US" w:eastAsia="zh-CN"/>
              </w:rPr>
              <w:tab/>
            </w:r>
          </w:p>
          <w:p>
            <w:pPr>
              <w:adjustRightInd w:val="0"/>
              <w:snapToGrid w:val="0"/>
              <w:spacing w:line="360" w:lineRule="auto"/>
              <w:ind w:firstLine="420" w:firstLineChars="200"/>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color w:val="000000"/>
                <w:szCs w:val="21"/>
              </w:rPr>
            </w:pPr>
            <w:r>
              <w:rPr>
                <w:bCs/>
                <w:color w:val="000000"/>
                <w:szCs w:val="21"/>
              </w:rPr>
              <w:t>运营</w:t>
            </w:r>
          </w:p>
          <w:p>
            <w:pPr>
              <w:adjustRightInd w:val="0"/>
              <w:snapToGrid w:val="0"/>
              <w:jc w:val="center"/>
              <w:rPr>
                <w:bCs/>
                <w:color w:val="000000"/>
                <w:szCs w:val="21"/>
              </w:rPr>
            </w:pPr>
            <w:r>
              <w:rPr>
                <w:bCs/>
                <w:color w:val="000000"/>
                <w:szCs w:val="21"/>
              </w:rPr>
              <w:t>期环</w:t>
            </w:r>
          </w:p>
          <w:p>
            <w:pPr>
              <w:adjustRightInd w:val="0"/>
              <w:snapToGrid w:val="0"/>
              <w:jc w:val="center"/>
              <w:rPr>
                <w:bCs/>
                <w:color w:val="000000"/>
                <w:szCs w:val="21"/>
              </w:rPr>
            </w:pPr>
            <w:r>
              <w:rPr>
                <w:bCs/>
                <w:color w:val="000000"/>
                <w:szCs w:val="21"/>
              </w:rPr>
              <w:t>境影</w:t>
            </w:r>
          </w:p>
          <w:p>
            <w:pPr>
              <w:adjustRightInd w:val="0"/>
              <w:snapToGrid w:val="0"/>
              <w:jc w:val="center"/>
              <w:rPr>
                <w:bCs/>
                <w:color w:val="000000"/>
                <w:szCs w:val="21"/>
              </w:rPr>
            </w:pPr>
            <w:r>
              <w:rPr>
                <w:bCs/>
                <w:color w:val="000000"/>
                <w:szCs w:val="21"/>
              </w:rPr>
              <w:t>响和</w:t>
            </w:r>
          </w:p>
          <w:p>
            <w:pPr>
              <w:adjustRightInd w:val="0"/>
              <w:snapToGrid w:val="0"/>
              <w:jc w:val="center"/>
              <w:rPr>
                <w:bCs/>
                <w:color w:val="000000"/>
                <w:szCs w:val="21"/>
              </w:rPr>
            </w:pPr>
            <w:r>
              <w:rPr>
                <w:bCs/>
                <w:color w:val="000000"/>
                <w:szCs w:val="21"/>
              </w:rPr>
              <w:t>保护</w:t>
            </w:r>
          </w:p>
          <w:p>
            <w:pPr>
              <w:adjustRightInd w:val="0"/>
              <w:snapToGrid w:val="0"/>
              <w:jc w:val="center"/>
              <w:rPr>
                <w:bCs/>
                <w:color w:val="000000"/>
                <w:szCs w:val="21"/>
              </w:rPr>
            </w:pPr>
            <w:r>
              <w:rPr>
                <w:bCs/>
                <w:color w:val="000000"/>
                <w:szCs w:val="21"/>
              </w:rPr>
              <w:t>措施</w:t>
            </w:r>
          </w:p>
        </w:tc>
        <w:tc>
          <w:tcPr>
            <w:tcW w:w="8162" w:type="dxa"/>
          </w:tcPr>
          <w:p>
            <w:pPr>
              <w:pStyle w:val="59"/>
              <w:spacing w:line="360" w:lineRule="auto"/>
              <w:ind w:firstLine="0" w:firstLineChars="0"/>
              <w:rPr>
                <w:b/>
                <w:bCs/>
                <w:color w:val="000000"/>
              </w:rPr>
            </w:pPr>
            <w:r>
              <w:rPr>
                <w:b/>
                <w:bCs/>
                <w:color w:val="000000"/>
              </w:rPr>
              <w:t>一、大气</w:t>
            </w:r>
          </w:p>
          <w:p>
            <w:pPr>
              <w:pStyle w:val="59"/>
              <w:spacing w:line="360" w:lineRule="auto"/>
              <w:rPr>
                <w:color w:val="000000"/>
              </w:rPr>
            </w:pPr>
            <w:r>
              <w:rPr>
                <w:color w:val="000000"/>
              </w:rPr>
              <w:t>项目主要大气污染物是油罐车卸料、储油罐呼吸及加油作业等排放的非甲烷总烃。</w:t>
            </w:r>
          </w:p>
          <w:p>
            <w:pPr>
              <w:pStyle w:val="59"/>
              <w:spacing w:line="360" w:lineRule="auto"/>
              <w:rPr>
                <w:color w:val="000000"/>
              </w:rPr>
            </w:pPr>
            <w:r>
              <w:rPr>
                <w:rFonts w:ascii="宋体" w:hAnsi="宋体" w:cs="宋体"/>
              </w:rPr>
              <w:t>本项目</w:t>
            </w:r>
            <w:r>
              <w:rPr>
                <w:rFonts w:hint="eastAsia"/>
                <w:color w:val="000000"/>
              </w:rPr>
              <w:t>采用</w:t>
            </w:r>
            <w:r>
              <w:rPr>
                <w:rFonts w:hint="eastAsia"/>
                <w:kern w:val="0"/>
              </w:rPr>
              <w:t>撬装加油装置</w:t>
            </w:r>
            <w:r>
              <w:rPr>
                <w:rFonts w:hint="eastAsia"/>
                <w:color w:val="000000"/>
              </w:rPr>
              <w:t>，卸油方式为密闭卸油，密闭性较好。为减少</w:t>
            </w:r>
            <w:r>
              <w:rPr>
                <w:rFonts w:hint="eastAsia"/>
                <w:kern w:val="0"/>
              </w:rPr>
              <w:t>撬装加油装置</w:t>
            </w:r>
            <w:r>
              <w:rPr>
                <w:rFonts w:hint="eastAsia"/>
                <w:color w:val="000000"/>
              </w:rPr>
              <w:t>卸油、储油过程造成的非甲烷总烃无组织排放，项目采取以密闭收集为基础的油气回收系统，包括卸油油气回收系统（一次油气回收）、加油油气回收系统（二次油气回收）。其中卸油油气回收系统对汽油的回收效率为95%，加油油气回收系统回收效率为93%。</w:t>
            </w:r>
          </w:p>
          <w:p>
            <w:pPr>
              <w:pStyle w:val="59"/>
              <w:spacing w:line="360" w:lineRule="auto"/>
              <w:rPr>
                <w:color w:val="000000"/>
                <w:lang w:val="zh-CN"/>
              </w:rPr>
            </w:pPr>
            <w:r>
              <w:rPr>
                <w:color w:val="000000"/>
                <w:lang w:val="zh-CN"/>
              </w:rPr>
              <w:t>卸油油气回收系统（一次油气回收）：当装满挥发性油料（如汽油）的储油罐逐渐放空时，空余的空间就会被空气和油蒸气的混合气体所填充。油罐车在加油站装卸油料时，随着新的油料进入</w:t>
            </w:r>
            <w:r>
              <w:rPr>
                <w:rFonts w:hint="eastAsia"/>
                <w:kern w:val="0"/>
              </w:rPr>
              <w:t>撬装加油装置</w:t>
            </w:r>
            <w:r>
              <w:rPr>
                <w:color w:val="000000"/>
                <w:lang w:val="zh-CN"/>
              </w:rPr>
              <w:t>油罐</w:t>
            </w:r>
            <w:r>
              <w:rPr>
                <w:rFonts w:ascii="宋体" w:hAnsi="宋体" w:cs="宋体"/>
              </w:rPr>
              <w:t>内</w:t>
            </w:r>
            <w:r>
              <w:rPr>
                <w:color w:val="000000"/>
                <w:lang w:val="zh-CN"/>
              </w:rPr>
              <w:t>，罐中的油蒸气就会排入空气中。卸油油气回收系统主要是针对这一部分的逃逸蒸气而设计的，它是指在油罐车卸油时采用密封式卸油，减少油气向外界逸散。其基本原理就是用导管将逃逸的油气重新输送回油罐车里，完成油气循环的卸油过程。回收到油罐车的油气，可由油罐车带回油库后再经冷凝、吸附或其它方式处理。卸油油气回收系统回收油气量约为95%。</w:t>
            </w:r>
          </w:p>
          <w:p>
            <w:pPr>
              <w:pStyle w:val="59"/>
              <w:spacing w:line="360" w:lineRule="auto"/>
              <w:rPr>
                <w:color w:val="000000"/>
              </w:rPr>
            </w:pPr>
            <w:r>
              <w:rPr>
                <w:color w:val="000000"/>
                <w:lang w:val="zh-CN"/>
              </w:rPr>
              <w:t>加油油气回收系统（二次油气回收）：这种油气回收系统主要就是指在汽车加油时，利用油枪上的特殊装置，将原来会由汽车油箱逸散于空气中的油气由加油枪、抽气电动机汇入油罐内。常采用“蒸气平衡”加油回收系统，即利用汽油和油气相互交换比例接近于1：1的原理进行回收。该回收系统主要依靠加油枪油管口的面板与机动车油罐口之间的充密封连接来完成。利用一根同轴胶管的连接形成一个回路，可以使机动车加油和油气回收同时进行，并且通过一个导入式的管口形成密闭系统，从而为蒸气平衡提供条件。此系统要求在加油枪和机动车的油罐口之间的接触面具有充分的密闭性。加油油气回收系统回收油气量约为93</w:t>
            </w:r>
            <w:r>
              <w:rPr>
                <w:rFonts w:hint="eastAsia"/>
                <w:color w:val="000000"/>
              </w:rPr>
              <w:t>%。</w:t>
            </w:r>
          </w:p>
          <w:p>
            <w:pPr>
              <w:pStyle w:val="59"/>
              <w:spacing w:line="360" w:lineRule="auto"/>
              <w:rPr>
                <w:color w:val="000000"/>
              </w:rPr>
            </w:pPr>
            <w:r>
              <w:rPr>
                <w:color w:val="000000"/>
              </w:rPr>
              <w:t>（1）卸油废气</w:t>
            </w:r>
          </w:p>
          <w:p>
            <w:pPr>
              <w:pStyle w:val="59"/>
              <w:spacing w:line="360" w:lineRule="auto"/>
              <w:rPr>
                <w:color w:val="000000"/>
              </w:rPr>
            </w:pPr>
            <w:r>
              <w:rPr>
                <w:color w:val="000000"/>
              </w:rPr>
              <w:t>油罐车卸油时，由于油罐车与地下油罐的液位不断变化，气体的吸入与呼出会对油品造成的一定挠动蒸发，另外随着油罐车油罐的液面下降，罐壁蒸发面积扩大，外部的高气温也会对其罐壁和空间造成一定的蒸发。</w:t>
            </w:r>
            <w:r>
              <w:rPr>
                <w:rFonts w:hint="eastAsia"/>
                <w:color w:val="000000"/>
              </w:rPr>
              <w:t>参考《中国加油站VOC排放污染现状及控制》（沈旻嘉，2006年8月）的数据，卸油过程中非甲烷总烃排放因子为：汽油2.3kg/t，柴油0.027kg/t，则算本项目卸油工序非甲烷总烃产生量约为0.695t/a，其中汽油卸油工序约0.69t/a柴油卸油工序约0.005t/a。</w:t>
            </w:r>
          </w:p>
          <w:p>
            <w:pPr>
              <w:pStyle w:val="59"/>
              <w:spacing w:line="360" w:lineRule="auto"/>
              <w:rPr>
                <w:rFonts w:eastAsia="Times New Roman"/>
                <w:color w:val="000000"/>
                <w:lang w:val="zh-CN"/>
              </w:rPr>
            </w:pPr>
            <w:r>
              <w:rPr>
                <w:rFonts w:hint="eastAsia"/>
                <w:color w:val="000000"/>
              </w:rPr>
              <w:t>（2）储油废气：</w:t>
            </w:r>
            <w:r>
              <w:rPr>
                <w:rFonts w:eastAsia="Times New Roman"/>
                <w:color w:val="000000"/>
                <w:lang w:val="zh-CN"/>
              </w:rPr>
              <w:t>参考</w:t>
            </w:r>
            <w:r>
              <w:rPr>
                <w:color w:val="000000"/>
              </w:rPr>
              <w:t>《中国加油站VOC排放污染现状及控制》</w:t>
            </w:r>
            <w:r>
              <w:rPr>
                <w:rFonts w:eastAsia="Times New Roman"/>
                <w:color w:val="000000"/>
                <w:lang w:val="zh-CN"/>
              </w:rPr>
              <w:t>（沈旻嘉，2006年8月）中的数据，储油过程中汽油非甲烷总烃排放因子为0.16kg/t，柴油非甲烷总烃气体排放量较小，可忽略不计，则本项目储油工序非甲烷总烃产生量约为</w:t>
            </w:r>
            <w:r>
              <w:rPr>
                <w:rFonts w:hint="eastAsia"/>
                <w:color w:val="000000"/>
              </w:rPr>
              <w:t>0.048</w:t>
            </w:r>
            <w:r>
              <w:rPr>
                <w:rFonts w:eastAsia="Times New Roman"/>
                <w:color w:val="000000"/>
                <w:lang w:val="zh-CN"/>
              </w:rPr>
              <w:t>t/a。</w:t>
            </w:r>
          </w:p>
          <w:p>
            <w:pPr>
              <w:pStyle w:val="59"/>
              <w:spacing w:line="360" w:lineRule="auto"/>
              <w:rPr>
                <w:rFonts w:eastAsia="Times New Roman"/>
                <w:color w:val="000000"/>
                <w:lang w:val="zh-CN"/>
              </w:rPr>
            </w:pPr>
            <w:r>
              <w:rPr>
                <w:rFonts w:hint="eastAsia" w:eastAsia="Times New Roman"/>
                <w:color w:val="000000"/>
                <w:lang w:val="zh-CN"/>
              </w:rPr>
              <w:t>（</w:t>
            </w:r>
            <w:r>
              <w:rPr>
                <w:rFonts w:hint="eastAsia"/>
                <w:color w:val="000000"/>
              </w:rPr>
              <w:t>3</w:t>
            </w:r>
            <w:r>
              <w:rPr>
                <w:rFonts w:hint="eastAsia" w:eastAsia="Times New Roman"/>
                <w:color w:val="000000"/>
                <w:lang w:val="zh-CN"/>
              </w:rPr>
              <w:t>）</w:t>
            </w:r>
            <w:r>
              <w:rPr>
                <w:rFonts w:eastAsia="Times New Roman"/>
                <w:color w:val="000000"/>
                <w:lang w:val="zh-CN"/>
              </w:rPr>
              <w:t>加油</w:t>
            </w:r>
            <w:r>
              <w:rPr>
                <w:color w:val="000000"/>
                <w:lang w:val="zh-CN"/>
              </w:rPr>
              <w:t>工序</w:t>
            </w:r>
          </w:p>
          <w:p>
            <w:pPr>
              <w:pStyle w:val="59"/>
              <w:spacing w:line="360" w:lineRule="auto"/>
              <w:rPr>
                <w:rFonts w:eastAsia="Times New Roman"/>
                <w:color w:val="000000"/>
                <w:lang w:val="zh-CN"/>
              </w:rPr>
            </w:pPr>
            <w:r>
              <w:rPr>
                <w:rFonts w:eastAsia="Times New Roman"/>
                <w:color w:val="000000"/>
                <w:lang w:val="zh-CN"/>
              </w:rPr>
              <w:t>参考《中国加油站</w:t>
            </w:r>
            <w:r>
              <w:rPr>
                <w:color w:val="000000"/>
                <w:lang w:val="zh-CN"/>
              </w:rPr>
              <w:t>VOC</w:t>
            </w:r>
            <w:r>
              <w:rPr>
                <w:rFonts w:eastAsia="Times New Roman"/>
                <w:color w:val="000000"/>
                <w:lang w:val="zh-CN"/>
              </w:rPr>
              <w:t>排放污染现状及控制》（沈旻嘉，2006年8月）中的数据，加油过程中非甲烷总烃排放因子为：汽油2.49kg/t，柴油0.048kg/t，则估算本项目加油工序非甲烷总烃产生量约为</w:t>
            </w:r>
            <w:r>
              <w:rPr>
                <w:rFonts w:hint="eastAsia"/>
                <w:color w:val="000000"/>
              </w:rPr>
              <w:t>0.756</w:t>
            </w:r>
            <w:r>
              <w:rPr>
                <w:rFonts w:eastAsia="Times New Roman"/>
                <w:color w:val="000000"/>
                <w:lang w:val="zh-CN"/>
              </w:rPr>
              <w:t>t/a。其中汽油加油工序约</w:t>
            </w:r>
            <w:r>
              <w:rPr>
                <w:rFonts w:hint="eastAsia"/>
                <w:color w:val="000000"/>
              </w:rPr>
              <w:t>0.747</w:t>
            </w:r>
            <w:r>
              <w:rPr>
                <w:rFonts w:eastAsia="Times New Roman"/>
                <w:color w:val="000000"/>
                <w:lang w:val="zh-CN"/>
              </w:rPr>
              <w:t>t/a，柴油</w:t>
            </w:r>
            <w:r>
              <w:rPr>
                <w:color w:val="000000"/>
                <w:lang w:val="zh-CN"/>
              </w:rPr>
              <w:t>加油</w:t>
            </w:r>
            <w:r>
              <w:rPr>
                <w:rFonts w:eastAsia="Times New Roman"/>
                <w:color w:val="000000"/>
                <w:lang w:val="zh-CN"/>
              </w:rPr>
              <w:t>工序约0.</w:t>
            </w:r>
            <w:r>
              <w:rPr>
                <w:rFonts w:hint="eastAsia"/>
                <w:color w:val="000000"/>
              </w:rPr>
              <w:t>0087</w:t>
            </w:r>
            <w:r>
              <w:rPr>
                <w:rFonts w:eastAsia="Times New Roman"/>
                <w:color w:val="000000"/>
                <w:lang w:val="zh-CN"/>
              </w:rPr>
              <w:t>t/a。</w:t>
            </w:r>
          </w:p>
          <w:p>
            <w:pPr>
              <w:pStyle w:val="59"/>
              <w:spacing w:line="360" w:lineRule="auto"/>
              <w:rPr>
                <w:rFonts w:eastAsia="Times New Roman"/>
                <w:color w:val="000000"/>
                <w:lang w:val="zh-CN"/>
              </w:rPr>
            </w:pPr>
            <w:r>
              <w:rPr>
                <w:rFonts w:eastAsia="Times New Roman"/>
                <w:color w:val="000000"/>
                <w:lang w:val="zh-CN"/>
              </w:rPr>
              <w:t>综上，本项目非甲烷总烃产生总量为</w:t>
            </w:r>
            <w:r>
              <w:rPr>
                <w:rFonts w:hint="eastAsia"/>
                <w:color w:val="000000"/>
              </w:rPr>
              <w:t>1.5</w:t>
            </w:r>
            <w:r>
              <w:rPr>
                <w:rFonts w:eastAsia="Times New Roman"/>
                <w:color w:val="000000"/>
                <w:lang w:val="zh-CN"/>
              </w:rPr>
              <w:t>t/a。</w:t>
            </w:r>
          </w:p>
          <w:p>
            <w:pPr>
              <w:pStyle w:val="59"/>
              <w:spacing w:line="360" w:lineRule="auto"/>
              <w:rPr>
                <w:color w:val="000000"/>
              </w:rPr>
            </w:pPr>
            <w:r>
              <w:rPr>
                <w:color w:val="000000"/>
              </w:rPr>
              <w:t>本项目（非甲烷总烃）有害气体的排放量见下表：</w:t>
            </w:r>
          </w:p>
          <w:p>
            <w:pPr>
              <w:pStyle w:val="59"/>
              <w:spacing w:line="360" w:lineRule="auto"/>
              <w:ind w:firstLine="0" w:firstLineChars="0"/>
              <w:jc w:val="center"/>
              <w:rPr>
                <w:b/>
                <w:bCs/>
                <w:color w:val="000000"/>
              </w:rPr>
            </w:pPr>
            <w:r>
              <w:rPr>
                <w:b/>
                <w:bCs/>
                <w:color w:val="000000"/>
              </w:rPr>
              <w:t>表4-1 油气（非甲烷总烃）有害气体的排放量</w:t>
            </w:r>
          </w:p>
          <w:tbl>
            <w:tblPr>
              <w:tblStyle w:val="23"/>
              <w:tblW w:w="7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516"/>
              <w:gridCol w:w="2346"/>
              <w:gridCol w:w="1134"/>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pStyle w:val="59"/>
                    <w:spacing w:line="240" w:lineRule="auto"/>
                    <w:ind w:firstLine="0" w:firstLineChars="0"/>
                    <w:jc w:val="center"/>
                    <w:rPr>
                      <w:b/>
                      <w:bCs/>
                      <w:color w:val="000000"/>
                      <w:sz w:val="21"/>
                      <w:szCs w:val="21"/>
                    </w:rPr>
                  </w:pPr>
                  <w:r>
                    <w:rPr>
                      <w:b/>
                      <w:bCs/>
                      <w:color w:val="000000"/>
                      <w:sz w:val="21"/>
                      <w:szCs w:val="21"/>
                    </w:rPr>
                    <w:t>项目</w:t>
                  </w:r>
                </w:p>
              </w:tc>
              <w:tc>
                <w:tcPr>
                  <w:tcW w:w="1516" w:type="dxa"/>
                  <w:vAlign w:val="center"/>
                </w:tcPr>
                <w:p>
                  <w:pPr>
                    <w:pStyle w:val="59"/>
                    <w:spacing w:line="240" w:lineRule="auto"/>
                    <w:ind w:firstLine="0" w:firstLineChars="0"/>
                    <w:jc w:val="center"/>
                    <w:rPr>
                      <w:b/>
                      <w:bCs/>
                      <w:color w:val="000000"/>
                      <w:sz w:val="21"/>
                      <w:szCs w:val="21"/>
                    </w:rPr>
                  </w:pPr>
                  <w:r>
                    <w:rPr>
                      <w:rFonts w:hint="eastAsia"/>
                      <w:b/>
                      <w:bCs/>
                      <w:color w:val="000000"/>
                      <w:sz w:val="21"/>
                      <w:szCs w:val="21"/>
                    </w:rPr>
                    <w:t>排放系数</w:t>
                  </w:r>
                </w:p>
              </w:tc>
              <w:tc>
                <w:tcPr>
                  <w:tcW w:w="2346" w:type="dxa"/>
                  <w:vAlign w:val="center"/>
                </w:tcPr>
                <w:p>
                  <w:pPr>
                    <w:pStyle w:val="59"/>
                    <w:spacing w:line="240" w:lineRule="auto"/>
                    <w:ind w:firstLine="0" w:firstLineChars="0"/>
                    <w:jc w:val="center"/>
                    <w:rPr>
                      <w:b/>
                      <w:bCs/>
                      <w:color w:val="000000"/>
                      <w:sz w:val="21"/>
                      <w:szCs w:val="21"/>
                    </w:rPr>
                  </w:pPr>
                  <w:r>
                    <w:rPr>
                      <w:rFonts w:hint="eastAsia"/>
                      <w:b/>
                      <w:bCs/>
                      <w:color w:val="000000"/>
                      <w:sz w:val="21"/>
                      <w:szCs w:val="21"/>
                    </w:rPr>
                    <w:t>烃类气体产生量（t/a）</w:t>
                  </w:r>
                </w:p>
              </w:tc>
              <w:tc>
                <w:tcPr>
                  <w:tcW w:w="1134" w:type="dxa"/>
                  <w:vAlign w:val="center"/>
                </w:tcPr>
                <w:p>
                  <w:pPr>
                    <w:pStyle w:val="59"/>
                    <w:spacing w:line="240" w:lineRule="auto"/>
                    <w:ind w:firstLine="0" w:firstLineChars="0"/>
                    <w:jc w:val="center"/>
                    <w:rPr>
                      <w:b/>
                      <w:bCs/>
                      <w:color w:val="000000"/>
                      <w:sz w:val="21"/>
                      <w:szCs w:val="21"/>
                    </w:rPr>
                  </w:pPr>
                  <w:r>
                    <w:rPr>
                      <w:b/>
                      <w:bCs/>
                      <w:color w:val="000000"/>
                      <w:sz w:val="21"/>
                      <w:szCs w:val="21"/>
                    </w:rPr>
                    <w:t>回收</w:t>
                  </w:r>
                  <w:r>
                    <w:rPr>
                      <w:rFonts w:hint="eastAsia"/>
                      <w:b/>
                      <w:bCs/>
                      <w:color w:val="000000"/>
                      <w:sz w:val="21"/>
                      <w:szCs w:val="21"/>
                    </w:rPr>
                    <w:t>率（%）</w:t>
                  </w:r>
                </w:p>
              </w:tc>
              <w:tc>
                <w:tcPr>
                  <w:tcW w:w="1840" w:type="dxa"/>
                  <w:vAlign w:val="center"/>
                </w:tcPr>
                <w:p>
                  <w:pPr>
                    <w:pStyle w:val="59"/>
                    <w:spacing w:line="240" w:lineRule="auto"/>
                    <w:ind w:firstLine="0" w:firstLineChars="0"/>
                    <w:jc w:val="center"/>
                    <w:rPr>
                      <w:b/>
                      <w:bCs/>
                      <w:color w:val="000000"/>
                      <w:sz w:val="21"/>
                      <w:szCs w:val="21"/>
                    </w:rPr>
                  </w:pPr>
                  <w:r>
                    <w:rPr>
                      <w:rFonts w:hint="eastAsia"/>
                      <w:b/>
                      <w:bCs/>
                      <w:color w:val="000000"/>
                      <w:sz w:val="21"/>
                      <w:szCs w:val="21"/>
                    </w:rPr>
                    <w:t>烃类气体排放</w:t>
                  </w:r>
                  <w:r>
                    <w:rPr>
                      <w:b/>
                      <w:bCs/>
                      <w:color w:val="000000"/>
                      <w:sz w:val="21"/>
                      <w:szCs w:val="21"/>
                    </w:rPr>
                    <w:t>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56" w:type="dxa"/>
                  <w:vMerge w:val="restart"/>
                  <w:vAlign w:val="center"/>
                </w:tcPr>
                <w:p>
                  <w:pPr>
                    <w:pStyle w:val="59"/>
                    <w:spacing w:line="240" w:lineRule="auto"/>
                    <w:ind w:firstLine="0" w:firstLineChars="0"/>
                    <w:jc w:val="center"/>
                    <w:rPr>
                      <w:color w:val="000000"/>
                      <w:sz w:val="21"/>
                      <w:szCs w:val="21"/>
                    </w:rPr>
                  </w:pPr>
                  <w:r>
                    <w:rPr>
                      <w:rFonts w:hint="eastAsia"/>
                      <w:color w:val="000000"/>
                      <w:sz w:val="21"/>
                      <w:szCs w:val="21"/>
                    </w:rPr>
                    <w:t>卸油工序损失</w:t>
                  </w: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2.3kg/t汽油</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0.69</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95</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pStyle w:val="59"/>
                    <w:spacing w:line="240" w:lineRule="auto"/>
                    <w:ind w:firstLine="0" w:firstLineChars="0"/>
                    <w:jc w:val="center"/>
                    <w:rPr>
                      <w:color w:val="000000"/>
                      <w:sz w:val="21"/>
                      <w:szCs w:val="21"/>
                    </w:rPr>
                  </w:pP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0.027kg/t柴油</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0.005</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restart"/>
                  <w:vAlign w:val="center"/>
                </w:tcPr>
                <w:p>
                  <w:pPr>
                    <w:pStyle w:val="59"/>
                    <w:spacing w:line="240" w:lineRule="auto"/>
                    <w:ind w:firstLine="0" w:firstLineChars="0"/>
                    <w:jc w:val="center"/>
                    <w:rPr>
                      <w:color w:val="000000"/>
                      <w:sz w:val="21"/>
                      <w:szCs w:val="21"/>
                    </w:rPr>
                  </w:pPr>
                  <w:r>
                    <w:rPr>
                      <w:rFonts w:hint="eastAsia"/>
                      <w:color w:val="000000"/>
                      <w:sz w:val="21"/>
                      <w:szCs w:val="21"/>
                    </w:rPr>
                    <w:t>储油工序损失</w:t>
                  </w: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0.16kg/t汽油</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0.048</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pStyle w:val="59"/>
                    <w:spacing w:line="240" w:lineRule="auto"/>
                    <w:ind w:firstLine="0" w:firstLineChars="0"/>
                    <w:jc w:val="center"/>
                    <w:rPr>
                      <w:color w:val="000000"/>
                      <w:sz w:val="21"/>
                      <w:szCs w:val="21"/>
                    </w:rPr>
                  </w:pP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柴油忽略不计</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restart"/>
                  <w:vAlign w:val="center"/>
                </w:tcPr>
                <w:p>
                  <w:pPr>
                    <w:pStyle w:val="59"/>
                    <w:spacing w:line="240" w:lineRule="auto"/>
                    <w:ind w:firstLine="0" w:firstLineChars="0"/>
                    <w:jc w:val="center"/>
                    <w:rPr>
                      <w:color w:val="000000"/>
                      <w:sz w:val="21"/>
                      <w:szCs w:val="21"/>
                    </w:rPr>
                  </w:pPr>
                  <w:r>
                    <w:rPr>
                      <w:rFonts w:hint="eastAsia"/>
                      <w:color w:val="000000"/>
                      <w:sz w:val="21"/>
                      <w:szCs w:val="21"/>
                    </w:rPr>
                    <w:t>加油工序损失</w:t>
                  </w: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2.49kg/t汽油</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0.747</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93</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pStyle w:val="59"/>
                    <w:spacing w:line="240" w:lineRule="auto"/>
                    <w:ind w:firstLine="0" w:firstLineChars="0"/>
                    <w:jc w:val="center"/>
                    <w:rPr>
                      <w:color w:val="000000"/>
                      <w:sz w:val="21"/>
                      <w:szCs w:val="21"/>
                    </w:rPr>
                  </w:pPr>
                </w:p>
              </w:tc>
              <w:tc>
                <w:tcPr>
                  <w:tcW w:w="1516" w:type="dxa"/>
                  <w:vAlign w:val="center"/>
                </w:tcPr>
                <w:p>
                  <w:pPr>
                    <w:pStyle w:val="59"/>
                    <w:spacing w:line="240" w:lineRule="auto"/>
                    <w:ind w:firstLine="0" w:firstLineChars="0"/>
                    <w:jc w:val="center"/>
                    <w:rPr>
                      <w:color w:val="000000"/>
                      <w:sz w:val="21"/>
                      <w:szCs w:val="21"/>
                    </w:rPr>
                  </w:pPr>
                  <w:r>
                    <w:rPr>
                      <w:rFonts w:hint="eastAsia"/>
                      <w:color w:val="000000"/>
                      <w:sz w:val="21"/>
                      <w:szCs w:val="21"/>
                    </w:rPr>
                    <w:t>0.048kg/t柴油</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0.0087</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2" w:type="dxa"/>
                  <w:gridSpan w:val="2"/>
                  <w:vAlign w:val="center"/>
                </w:tcPr>
                <w:p>
                  <w:pPr>
                    <w:pStyle w:val="59"/>
                    <w:spacing w:line="240" w:lineRule="auto"/>
                    <w:ind w:firstLine="0" w:firstLineChars="0"/>
                    <w:jc w:val="center"/>
                    <w:rPr>
                      <w:color w:val="000000"/>
                      <w:sz w:val="21"/>
                      <w:szCs w:val="21"/>
                    </w:rPr>
                  </w:pPr>
                  <w:r>
                    <w:rPr>
                      <w:color w:val="000000"/>
                      <w:sz w:val="21"/>
                      <w:szCs w:val="21"/>
                    </w:rPr>
                    <w:t>合计</w:t>
                  </w:r>
                </w:p>
              </w:tc>
              <w:tc>
                <w:tcPr>
                  <w:tcW w:w="2346" w:type="dxa"/>
                  <w:vAlign w:val="center"/>
                </w:tcPr>
                <w:p>
                  <w:pPr>
                    <w:pStyle w:val="59"/>
                    <w:spacing w:line="240" w:lineRule="auto"/>
                    <w:ind w:firstLine="0" w:firstLineChars="0"/>
                    <w:jc w:val="center"/>
                    <w:rPr>
                      <w:color w:val="000000"/>
                      <w:sz w:val="21"/>
                      <w:szCs w:val="21"/>
                    </w:rPr>
                  </w:pPr>
                  <w:r>
                    <w:rPr>
                      <w:rFonts w:hint="eastAsia"/>
                      <w:color w:val="000000"/>
                      <w:sz w:val="21"/>
                      <w:szCs w:val="21"/>
                    </w:rPr>
                    <w:t>1.5</w:t>
                  </w:r>
                </w:p>
              </w:tc>
              <w:tc>
                <w:tcPr>
                  <w:tcW w:w="1134" w:type="dxa"/>
                  <w:vAlign w:val="center"/>
                </w:tcPr>
                <w:p>
                  <w:pPr>
                    <w:pStyle w:val="59"/>
                    <w:spacing w:line="240" w:lineRule="auto"/>
                    <w:ind w:firstLine="0" w:firstLineChars="0"/>
                    <w:jc w:val="center"/>
                    <w:rPr>
                      <w:color w:val="000000"/>
                      <w:sz w:val="21"/>
                      <w:szCs w:val="21"/>
                    </w:rPr>
                  </w:pPr>
                  <w:r>
                    <w:rPr>
                      <w:rFonts w:hint="eastAsia"/>
                      <w:color w:val="000000"/>
                      <w:sz w:val="21"/>
                      <w:szCs w:val="21"/>
                    </w:rPr>
                    <w:t>/</w:t>
                  </w:r>
                </w:p>
              </w:tc>
              <w:tc>
                <w:tcPr>
                  <w:tcW w:w="1840" w:type="dxa"/>
                  <w:vAlign w:val="center"/>
                </w:tcPr>
                <w:p>
                  <w:pPr>
                    <w:pStyle w:val="59"/>
                    <w:spacing w:line="240" w:lineRule="auto"/>
                    <w:ind w:firstLine="0" w:firstLineChars="0"/>
                    <w:jc w:val="center"/>
                    <w:rPr>
                      <w:color w:val="000000"/>
                      <w:sz w:val="21"/>
                      <w:szCs w:val="21"/>
                    </w:rPr>
                  </w:pPr>
                  <w:r>
                    <w:rPr>
                      <w:rFonts w:hint="eastAsia"/>
                      <w:color w:val="000000"/>
                      <w:sz w:val="21"/>
                      <w:szCs w:val="21"/>
                    </w:rPr>
                    <w:t>0.4587</w:t>
                  </w:r>
                </w:p>
              </w:tc>
            </w:tr>
          </w:tbl>
          <w:p>
            <w:pPr>
              <w:pStyle w:val="59"/>
              <w:spacing w:line="360" w:lineRule="auto"/>
              <w:rPr>
                <w:b/>
                <w:bCs/>
                <w:color w:val="000000"/>
              </w:rPr>
            </w:pPr>
            <w:r>
              <w:rPr>
                <w:rFonts w:hint="eastAsia"/>
                <w:color w:val="000000"/>
              </w:rPr>
              <w:t>在对汽油采用卸油、加油油气回收装置处理后，非甲烷总烃排放量约为0.4587t/a。</w:t>
            </w:r>
          </w:p>
          <w:p>
            <w:pPr>
              <w:jc w:val="center"/>
              <w:rPr>
                <w:b/>
                <w:bCs/>
                <w:color w:val="000000"/>
                <w:sz w:val="24"/>
              </w:rPr>
            </w:pPr>
            <w:r>
              <w:rPr>
                <w:b/>
                <w:bCs/>
                <w:color w:val="000000"/>
                <w:sz w:val="24"/>
              </w:rPr>
              <w:t>表4-2产排污环节、废气污染物对应排放口类型一览表</w:t>
            </w:r>
          </w:p>
          <w:tbl>
            <w:tblPr>
              <w:tblStyle w:val="23"/>
              <w:tblW w:w="7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28"/>
              <w:gridCol w:w="1128"/>
              <w:gridCol w:w="1128"/>
              <w:gridCol w:w="1128"/>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28" w:type="dxa"/>
                  <w:vAlign w:val="center"/>
                </w:tcPr>
                <w:p>
                  <w:pPr>
                    <w:pStyle w:val="59"/>
                    <w:spacing w:line="240" w:lineRule="auto"/>
                    <w:ind w:firstLine="0" w:firstLineChars="0"/>
                    <w:jc w:val="center"/>
                    <w:rPr>
                      <w:b/>
                      <w:color w:val="000000"/>
                      <w:sz w:val="21"/>
                      <w:szCs w:val="21"/>
                    </w:rPr>
                  </w:pPr>
                  <w:r>
                    <w:rPr>
                      <w:b/>
                      <w:color w:val="000000"/>
                      <w:sz w:val="21"/>
                      <w:szCs w:val="21"/>
                    </w:rPr>
                    <w:t>生产设施</w:t>
                  </w:r>
                </w:p>
              </w:tc>
              <w:tc>
                <w:tcPr>
                  <w:tcW w:w="1128" w:type="dxa"/>
                  <w:vAlign w:val="center"/>
                </w:tcPr>
                <w:p>
                  <w:pPr>
                    <w:pStyle w:val="59"/>
                    <w:spacing w:line="240" w:lineRule="auto"/>
                    <w:ind w:firstLine="0" w:firstLineChars="0"/>
                    <w:jc w:val="center"/>
                    <w:rPr>
                      <w:b/>
                      <w:color w:val="000000"/>
                      <w:sz w:val="21"/>
                      <w:szCs w:val="21"/>
                    </w:rPr>
                  </w:pPr>
                  <w:r>
                    <w:rPr>
                      <w:b/>
                      <w:color w:val="000000"/>
                      <w:sz w:val="21"/>
                      <w:szCs w:val="21"/>
                    </w:rPr>
                    <w:t>产污环节</w:t>
                  </w:r>
                </w:p>
              </w:tc>
              <w:tc>
                <w:tcPr>
                  <w:tcW w:w="1128" w:type="dxa"/>
                  <w:vAlign w:val="center"/>
                </w:tcPr>
                <w:p>
                  <w:pPr>
                    <w:pStyle w:val="59"/>
                    <w:spacing w:line="240" w:lineRule="auto"/>
                    <w:ind w:firstLine="0" w:firstLineChars="0"/>
                    <w:jc w:val="center"/>
                    <w:rPr>
                      <w:b/>
                      <w:color w:val="000000"/>
                      <w:sz w:val="21"/>
                      <w:szCs w:val="21"/>
                    </w:rPr>
                  </w:pPr>
                  <w:r>
                    <w:rPr>
                      <w:b/>
                      <w:color w:val="000000"/>
                      <w:sz w:val="21"/>
                      <w:szCs w:val="21"/>
                    </w:rPr>
                    <w:t>污染物</w:t>
                  </w:r>
                </w:p>
              </w:tc>
              <w:tc>
                <w:tcPr>
                  <w:tcW w:w="1128" w:type="dxa"/>
                  <w:vAlign w:val="center"/>
                </w:tcPr>
                <w:p>
                  <w:pPr>
                    <w:pStyle w:val="59"/>
                    <w:spacing w:line="240" w:lineRule="auto"/>
                    <w:ind w:firstLine="0" w:firstLineChars="0"/>
                    <w:jc w:val="center"/>
                    <w:rPr>
                      <w:b/>
                      <w:color w:val="000000"/>
                      <w:sz w:val="21"/>
                      <w:szCs w:val="21"/>
                    </w:rPr>
                  </w:pPr>
                  <w:r>
                    <w:rPr>
                      <w:b/>
                      <w:color w:val="000000"/>
                      <w:sz w:val="21"/>
                      <w:szCs w:val="21"/>
                    </w:rPr>
                    <w:t>排放形式</w:t>
                  </w:r>
                </w:p>
              </w:tc>
              <w:tc>
                <w:tcPr>
                  <w:tcW w:w="1128" w:type="dxa"/>
                  <w:vAlign w:val="center"/>
                </w:tcPr>
                <w:p>
                  <w:pPr>
                    <w:pStyle w:val="59"/>
                    <w:spacing w:line="240" w:lineRule="auto"/>
                    <w:ind w:firstLine="0" w:firstLineChars="0"/>
                    <w:jc w:val="center"/>
                    <w:rPr>
                      <w:b/>
                      <w:color w:val="000000"/>
                      <w:sz w:val="21"/>
                      <w:szCs w:val="21"/>
                    </w:rPr>
                  </w:pPr>
                  <w:r>
                    <w:rPr>
                      <w:b/>
                      <w:color w:val="000000"/>
                      <w:sz w:val="21"/>
                      <w:szCs w:val="21"/>
                    </w:rPr>
                    <w:t>污染治理设施</w:t>
                  </w:r>
                </w:p>
              </w:tc>
              <w:tc>
                <w:tcPr>
                  <w:tcW w:w="1129" w:type="dxa"/>
                  <w:vAlign w:val="center"/>
                </w:tcPr>
                <w:p>
                  <w:pPr>
                    <w:pStyle w:val="59"/>
                    <w:spacing w:line="240" w:lineRule="auto"/>
                    <w:ind w:firstLine="0" w:firstLineChars="0"/>
                    <w:jc w:val="center"/>
                    <w:rPr>
                      <w:b/>
                      <w:color w:val="000000"/>
                      <w:sz w:val="21"/>
                      <w:szCs w:val="21"/>
                    </w:rPr>
                  </w:pPr>
                  <w:r>
                    <w:rPr>
                      <w:b/>
                      <w:color w:val="000000"/>
                      <w:sz w:val="21"/>
                      <w:szCs w:val="21"/>
                    </w:rPr>
                    <w:t>污染治理工艺</w:t>
                  </w:r>
                </w:p>
              </w:tc>
              <w:tc>
                <w:tcPr>
                  <w:tcW w:w="1129" w:type="dxa"/>
                  <w:vAlign w:val="center"/>
                </w:tcPr>
                <w:p>
                  <w:pPr>
                    <w:pStyle w:val="59"/>
                    <w:spacing w:line="240" w:lineRule="auto"/>
                    <w:ind w:firstLine="0" w:firstLineChars="0"/>
                    <w:jc w:val="center"/>
                    <w:rPr>
                      <w:b/>
                      <w:color w:val="000000"/>
                      <w:sz w:val="21"/>
                      <w:szCs w:val="21"/>
                    </w:rPr>
                  </w:pPr>
                  <w:r>
                    <w:rPr>
                      <w:b/>
                      <w:color w:val="000000"/>
                      <w:sz w:val="21"/>
                      <w:szCs w:val="21"/>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汽油储罐</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储罐挥发</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非甲烷总烃</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无组织</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卸油油气回收系统</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油气平衡</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汽油加油枪</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加油枪挥发</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非甲烷总烃</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无组织</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加油油气回收系统</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油气回收</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256" w:type="dxa"/>
                  <w:gridSpan w:val="2"/>
                  <w:vAlign w:val="center"/>
                </w:tcPr>
                <w:p>
                  <w:pPr>
                    <w:pStyle w:val="59"/>
                    <w:spacing w:line="240" w:lineRule="auto"/>
                    <w:ind w:firstLine="0" w:firstLineChars="0"/>
                    <w:jc w:val="center"/>
                    <w:rPr>
                      <w:bCs/>
                      <w:color w:val="000000"/>
                      <w:sz w:val="21"/>
                      <w:szCs w:val="21"/>
                    </w:rPr>
                  </w:pPr>
                  <w:r>
                    <w:rPr>
                      <w:bCs/>
                      <w:color w:val="000000"/>
                      <w:sz w:val="21"/>
                      <w:szCs w:val="21"/>
                    </w:rPr>
                    <w:t>企业边界</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非甲烷总烃</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无组织</w:t>
                  </w:r>
                </w:p>
              </w:tc>
              <w:tc>
                <w:tcPr>
                  <w:tcW w:w="1128" w:type="dxa"/>
                  <w:vAlign w:val="center"/>
                </w:tcPr>
                <w:p>
                  <w:pPr>
                    <w:pStyle w:val="59"/>
                    <w:spacing w:line="240" w:lineRule="auto"/>
                    <w:ind w:firstLine="0" w:firstLineChars="0"/>
                    <w:jc w:val="center"/>
                    <w:rPr>
                      <w:bCs/>
                      <w:color w:val="000000"/>
                      <w:sz w:val="21"/>
                      <w:szCs w:val="21"/>
                    </w:rPr>
                  </w:pPr>
                  <w:r>
                    <w:rPr>
                      <w:bCs/>
                      <w:color w:val="000000"/>
                      <w:sz w:val="21"/>
                      <w:szCs w:val="21"/>
                    </w:rPr>
                    <w:t>/</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w:t>
                  </w:r>
                </w:p>
              </w:tc>
              <w:tc>
                <w:tcPr>
                  <w:tcW w:w="1129" w:type="dxa"/>
                  <w:vAlign w:val="center"/>
                </w:tcPr>
                <w:p>
                  <w:pPr>
                    <w:pStyle w:val="59"/>
                    <w:spacing w:line="240" w:lineRule="auto"/>
                    <w:ind w:firstLine="0" w:firstLineChars="0"/>
                    <w:jc w:val="center"/>
                    <w:rPr>
                      <w:bCs/>
                      <w:color w:val="000000"/>
                      <w:sz w:val="21"/>
                      <w:szCs w:val="21"/>
                    </w:rPr>
                  </w:pPr>
                  <w:r>
                    <w:rPr>
                      <w:bCs/>
                      <w:color w:val="000000"/>
                      <w:sz w:val="21"/>
                      <w:szCs w:val="21"/>
                    </w:rPr>
                    <w:t>/</w:t>
                  </w:r>
                </w:p>
              </w:tc>
            </w:tr>
          </w:tbl>
          <w:p>
            <w:pPr>
              <w:spacing w:line="360" w:lineRule="auto"/>
              <w:jc w:val="center"/>
              <w:rPr>
                <w:b/>
                <w:color w:val="000000"/>
                <w:sz w:val="24"/>
              </w:rPr>
            </w:pPr>
            <w:r>
              <w:rPr>
                <w:b/>
                <w:color w:val="000000"/>
                <w:sz w:val="24"/>
              </w:rPr>
              <w:t>表4-3  项目无组织废气产生及排放情况</w:t>
            </w:r>
          </w:p>
          <w:tbl>
            <w:tblPr>
              <w:tblStyle w:val="23"/>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769"/>
              <w:gridCol w:w="1146"/>
              <w:gridCol w:w="1301"/>
              <w:gridCol w:w="1066"/>
              <w:gridCol w:w="106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43" w:type="dxa"/>
                  <w:vAlign w:val="center"/>
                </w:tcPr>
                <w:p>
                  <w:pPr>
                    <w:jc w:val="center"/>
                    <w:outlineLvl w:val="0"/>
                    <w:rPr>
                      <w:b/>
                      <w:color w:val="000000"/>
                      <w:szCs w:val="21"/>
                    </w:rPr>
                  </w:pPr>
                  <w:r>
                    <w:rPr>
                      <w:b/>
                      <w:color w:val="000000"/>
                      <w:szCs w:val="21"/>
                    </w:rPr>
                    <w:t>序号</w:t>
                  </w:r>
                </w:p>
              </w:tc>
              <w:tc>
                <w:tcPr>
                  <w:tcW w:w="1769" w:type="dxa"/>
                  <w:vAlign w:val="center"/>
                </w:tcPr>
                <w:p>
                  <w:pPr>
                    <w:jc w:val="center"/>
                    <w:outlineLvl w:val="0"/>
                    <w:rPr>
                      <w:b/>
                      <w:color w:val="000000"/>
                      <w:szCs w:val="21"/>
                    </w:rPr>
                  </w:pPr>
                  <w:r>
                    <w:rPr>
                      <w:b/>
                      <w:color w:val="000000"/>
                      <w:szCs w:val="21"/>
                    </w:rPr>
                    <w:t>污染物</w:t>
                  </w:r>
                </w:p>
              </w:tc>
              <w:tc>
                <w:tcPr>
                  <w:tcW w:w="1146" w:type="dxa"/>
                  <w:vAlign w:val="center"/>
                </w:tcPr>
                <w:p>
                  <w:pPr>
                    <w:jc w:val="center"/>
                    <w:outlineLvl w:val="0"/>
                    <w:rPr>
                      <w:b/>
                      <w:color w:val="000000"/>
                      <w:szCs w:val="21"/>
                    </w:rPr>
                  </w:pPr>
                  <w:r>
                    <w:rPr>
                      <w:b/>
                      <w:color w:val="000000"/>
                      <w:szCs w:val="21"/>
                    </w:rPr>
                    <w:t>污染源位置</w:t>
                  </w:r>
                </w:p>
              </w:tc>
              <w:tc>
                <w:tcPr>
                  <w:tcW w:w="1301" w:type="dxa"/>
                  <w:vAlign w:val="center"/>
                </w:tcPr>
                <w:p>
                  <w:pPr>
                    <w:jc w:val="center"/>
                    <w:outlineLvl w:val="0"/>
                    <w:rPr>
                      <w:b/>
                      <w:color w:val="000000"/>
                      <w:szCs w:val="21"/>
                    </w:rPr>
                  </w:pPr>
                  <w:r>
                    <w:rPr>
                      <w:b/>
                      <w:color w:val="000000"/>
                      <w:szCs w:val="21"/>
                    </w:rPr>
                    <w:t>污染物排放（t/a）</w:t>
                  </w:r>
                </w:p>
              </w:tc>
              <w:tc>
                <w:tcPr>
                  <w:tcW w:w="1066" w:type="dxa"/>
                  <w:vAlign w:val="center"/>
                </w:tcPr>
                <w:p>
                  <w:pPr>
                    <w:jc w:val="center"/>
                    <w:outlineLvl w:val="0"/>
                    <w:rPr>
                      <w:b/>
                      <w:color w:val="000000"/>
                      <w:szCs w:val="21"/>
                    </w:rPr>
                  </w:pPr>
                  <w:r>
                    <w:rPr>
                      <w:b/>
                      <w:color w:val="000000"/>
                      <w:szCs w:val="21"/>
                    </w:rPr>
                    <w:t>面源宽度（m）</w:t>
                  </w:r>
                </w:p>
              </w:tc>
              <w:tc>
                <w:tcPr>
                  <w:tcW w:w="1066" w:type="dxa"/>
                  <w:vAlign w:val="center"/>
                </w:tcPr>
                <w:p>
                  <w:pPr>
                    <w:jc w:val="center"/>
                    <w:outlineLvl w:val="0"/>
                    <w:rPr>
                      <w:b/>
                      <w:color w:val="000000"/>
                      <w:szCs w:val="21"/>
                    </w:rPr>
                  </w:pPr>
                  <w:r>
                    <w:rPr>
                      <w:b/>
                      <w:color w:val="000000"/>
                      <w:szCs w:val="21"/>
                    </w:rPr>
                    <w:t>面源长度（m）</w:t>
                  </w:r>
                </w:p>
              </w:tc>
              <w:tc>
                <w:tcPr>
                  <w:tcW w:w="1045" w:type="dxa"/>
                  <w:vAlign w:val="center"/>
                </w:tcPr>
                <w:p>
                  <w:pPr>
                    <w:jc w:val="center"/>
                    <w:outlineLvl w:val="0"/>
                    <w:rPr>
                      <w:b/>
                      <w:color w:val="000000"/>
                      <w:szCs w:val="21"/>
                    </w:rPr>
                  </w:pPr>
                  <w:r>
                    <w:rPr>
                      <w:b/>
                      <w:color w:val="000000"/>
                      <w:szCs w:val="21"/>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43" w:type="dxa"/>
                  <w:vAlign w:val="center"/>
                </w:tcPr>
                <w:p>
                  <w:pPr>
                    <w:jc w:val="center"/>
                    <w:outlineLvl w:val="0"/>
                    <w:rPr>
                      <w:bCs/>
                      <w:color w:val="000000"/>
                      <w:szCs w:val="21"/>
                    </w:rPr>
                  </w:pPr>
                  <w:r>
                    <w:rPr>
                      <w:bCs/>
                      <w:color w:val="000000"/>
                      <w:szCs w:val="21"/>
                    </w:rPr>
                    <w:t>1</w:t>
                  </w:r>
                </w:p>
              </w:tc>
              <w:tc>
                <w:tcPr>
                  <w:tcW w:w="1769" w:type="dxa"/>
                  <w:vAlign w:val="center"/>
                </w:tcPr>
                <w:p>
                  <w:pPr>
                    <w:jc w:val="center"/>
                    <w:rPr>
                      <w:color w:val="000000"/>
                      <w:szCs w:val="21"/>
                    </w:rPr>
                  </w:pPr>
                  <w:r>
                    <w:rPr>
                      <w:color w:val="000000"/>
                      <w:szCs w:val="21"/>
                    </w:rPr>
                    <w:t>非甲烷总烃</w:t>
                  </w:r>
                </w:p>
              </w:tc>
              <w:tc>
                <w:tcPr>
                  <w:tcW w:w="1146" w:type="dxa"/>
                  <w:vAlign w:val="center"/>
                </w:tcPr>
                <w:p>
                  <w:pPr>
                    <w:jc w:val="center"/>
                    <w:outlineLvl w:val="0"/>
                    <w:rPr>
                      <w:bCs/>
                      <w:color w:val="000000"/>
                      <w:szCs w:val="21"/>
                    </w:rPr>
                  </w:pPr>
                  <w:r>
                    <w:rPr>
                      <w:bCs/>
                      <w:color w:val="000000"/>
                      <w:szCs w:val="21"/>
                    </w:rPr>
                    <w:t>厂区</w:t>
                  </w:r>
                </w:p>
              </w:tc>
              <w:tc>
                <w:tcPr>
                  <w:tcW w:w="1301" w:type="dxa"/>
                  <w:vAlign w:val="center"/>
                </w:tcPr>
                <w:p>
                  <w:pPr>
                    <w:jc w:val="center"/>
                    <w:rPr>
                      <w:color w:val="000000"/>
                      <w:szCs w:val="21"/>
                    </w:rPr>
                  </w:pPr>
                  <w:r>
                    <w:rPr>
                      <w:color w:val="000000"/>
                      <w:szCs w:val="21"/>
                    </w:rPr>
                    <w:t>0.</w:t>
                  </w:r>
                  <w:r>
                    <w:rPr>
                      <w:rFonts w:hint="eastAsia"/>
                      <w:color w:val="000000"/>
                      <w:szCs w:val="21"/>
                    </w:rPr>
                    <w:t>0617</w:t>
                  </w:r>
                </w:p>
              </w:tc>
              <w:tc>
                <w:tcPr>
                  <w:tcW w:w="1066" w:type="dxa"/>
                  <w:vAlign w:val="center"/>
                </w:tcPr>
                <w:p>
                  <w:pPr>
                    <w:jc w:val="center"/>
                    <w:outlineLvl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10.6</w:t>
                  </w:r>
                </w:p>
              </w:tc>
              <w:tc>
                <w:tcPr>
                  <w:tcW w:w="1066" w:type="dxa"/>
                  <w:vAlign w:val="center"/>
                </w:tcPr>
                <w:p>
                  <w:pPr>
                    <w:jc w:val="center"/>
                    <w:outlineLvl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17.6</w:t>
                  </w:r>
                </w:p>
              </w:tc>
              <w:tc>
                <w:tcPr>
                  <w:tcW w:w="1045" w:type="dxa"/>
                  <w:vAlign w:val="center"/>
                </w:tcPr>
                <w:p>
                  <w:pPr>
                    <w:jc w:val="center"/>
                    <w:outlineLvl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p>
              </w:tc>
            </w:tr>
          </w:tbl>
          <w:p>
            <w:pPr>
              <w:spacing w:line="360" w:lineRule="auto"/>
              <w:ind w:firstLine="480" w:firstLineChars="200"/>
              <w:rPr>
                <w:rFonts w:ascii="宋体" w:hAnsi="宋体" w:cs="宋体"/>
                <w:sz w:val="24"/>
              </w:rPr>
            </w:pPr>
            <w:r>
              <w:rPr>
                <w:rFonts w:hint="eastAsia"/>
                <w:bCs/>
                <w:sz w:val="24"/>
              </w:rPr>
              <w:t>废</w:t>
            </w:r>
            <w:r>
              <w:rPr>
                <w:sz w:val="24"/>
              </w:rPr>
              <w:t>气</w:t>
            </w:r>
            <w:r>
              <w:rPr>
                <w:rFonts w:hint="eastAsia" w:ascii="宋体" w:hAnsi="宋体" w:cs="宋体"/>
                <w:sz w:val="24"/>
              </w:rPr>
              <w:t>自行监测方案</w:t>
            </w:r>
          </w:p>
          <w:p>
            <w:pPr>
              <w:spacing w:line="360" w:lineRule="auto"/>
              <w:ind w:firstLine="480" w:firstLineChars="200"/>
              <w:rPr>
                <w:b/>
                <w:bCs/>
                <w:sz w:val="24"/>
              </w:rPr>
            </w:pPr>
            <w:r>
              <w:rPr>
                <w:rFonts w:ascii="宋体" w:hAnsi="宋体" w:cs="宋体"/>
                <w:color w:val="000000" w:themeColor="text1"/>
                <w:sz w:val="24"/>
                <w14:textFill>
                  <w14:solidFill>
                    <w14:schemeClr w14:val="tx1"/>
                  </w14:solidFill>
                </w14:textFill>
              </w:rPr>
              <w:t>项目废</w:t>
            </w:r>
            <w:r>
              <w:rPr>
                <w:sz w:val="24"/>
              </w:rPr>
              <w:t>气</w:t>
            </w:r>
            <w:r>
              <w:rPr>
                <w:rFonts w:hint="eastAsia" w:ascii="宋体" w:hAnsi="宋体" w:cs="宋体"/>
                <w:color w:val="000000" w:themeColor="text1"/>
                <w:sz w:val="24"/>
                <w14:textFill>
                  <w14:solidFill>
                    <w14:schemeClr w14:val="tx1"/>
                  </w14:solidFill>
                </w14:textFill>
              </w:rPr>
              <w:t>监测</w:t>
            </w:r>
            <w:r>
              <w:rPr>
                <w:rFonts w:ascii="宋体" w:hAnsi="宋体" w:cs="宋体"/>
                <w:color w:val="000000" w:themeColor="text1"/>
                <w:sz w:val="24"/>
                <w14:textFill>
                  <w14:solidFill>
                    <w14:schemeClr w14:val="tx1"/>
                  </w14:solidFill>
                </w14:textFill>
              </w:rPr>
              <w:t>计划</w:t>
            </w:r>
            <w:r>
              <w:rPr>
                <w:color w:val="000000"/>
                <w:kern w:val="0"/>
                <w:sz w:val="24"/>
                <w:lang w:bidi="ar"/>
              </w:rPr>
              <w:t>根据《排污单位自行监测技术指南 总则》（HJ819-2017）</w:t>
            </w:r>
            <w:r>
              <w:rPr>
                <w:rFonts w:hint="eastAsia"/>
                <w:color w:val="000000"/>
                <w:kern w:val="0"/>
                <w:sz w:val="24"/>
                <w:lang w:bidi="ar"/>
              </w:rPr>
              <w:t>和</w:t>
            </w:r>
            <w:r>
              <w:rPr>
                <w:color w:val="000000"/>
                <w:kern w:val="0"/>
                <w:sz w:val="24"/>
                <w:lang w:bidi="ar"/>
              </w:rPr>
              <w:t>《</w:t>
            </w:r>
            <w:r>
              <w:rPr>
                <w:rFonts w:hint="eastAsia"/>
                <w:color w:val="000000"/>
                <w:kern w:val="0"/>
                <w:sz w:val="24"/>
                <w:lang w:bidi="ar"/>
              </w:rPr>
              <w:t>排污许可证申请与核发技术规范储油库、加油站</w:t>
            </w:r>
            <w:r>
              <w:rPr>
                <w:color w:val="000000"/>
                <w:kern w:val="0"/>
                <w:sz w:val="24"/>
                <w:lang w:bidi="ar"/>
              </w:rPr>
              <w:t>》（HJ 1118-2020）中相关要求</w:t>
            </w:r>
            <w:r>
              <w:rPr>
                <w:rFonts w:ascii="宋体" w:hAnsi="宋体" w:cs="宋体"/>
                <w:color w:val="000000" w:themeColor="text1"/>
                <w:sz w:val="24"/>
                <w14:textFill>
                  <w14:solidFill>
                    <w14:schemeClr w14:val="tx1"/>
                  </w14:solidFill>
                </w14:textFill>
              </w:rPr>
              <w:t>实施</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项目废</w:t>
            </w:r>
            <w:r>
              <w:rPr>
                <w:sz w:val="24"/>
              </w:rPr>
              <w:t>气</w:t>
            </w:r>
            <w:r>
              <w:rPr>
                <w:rFonts w:ascii="宋体" w:hAnsi="宋体" w:cs="宋体"/>
                <w:color w:val="000000" w:themeColor="text1"/>
                <w:sz w:val="24"/>
                <w14:textFill>
                  <w14:solidFill>
                    <w14:schemeClr w14:val="tx1"/>
                  </w14:solidFill>
                </w14:textFill>
              </w:rPr>
              <w:t>监测计划参照下表</w:t>
            </w:r>
          </w:p>
          <w:p>
            <w:pPr>
              <w:pStyle w:val="9"/>
              <w:jc w:val="center"/>
              <w:rPr>
                <w:sz w:val="24"/>
                <w:szCs w:val="24"/>
              </w:rPr>
            </w:pPr>
            <w:r>
              <w:rPr>
                <w:b/>
                <w:bCs/>
                <w:sz w:val="24"/>
                <w:szCs w:val="24"/>
              </w:rPr>
              <w:t>表4-</w:t>
            </w:r>
            <w:r>
              <w:rPr>
                <w:rFonts w:hint="eastAsia"/>
                <w:b/>
                <w:bCs/>
                <w:sz w:val="24"/>
                <w:szCs w:val="24"/>
              </w:rPr>
              <w:t>4</w:t>
            </w:r>
            <w:r>
              <w:rPr>
                <w:b/>
                <w:bCs/>
                <w:sz w:val="24"/>
                <w:szCs w:val="24"/>
              </w:rPr>
              <w:t xml:space="preserve">  </w:t>
            </w:r>
            <w:r>
              <w:rPr>
                <w:rFonts w:hint="eastAsia"/>
                <w:b/>
                <w:bCs/>
                <w:sz w:val="24"/>
                <w:szCs w:val="24"/>
              </w:rPr>
              <w:t>无组织</w:t>
            </w:r>
            <w:r>
              <w:rPr>
                <w:b/>
                <w:bCs/>
                <w:sz w:val="24"/>
                <w:szCs w:val="24"/>
              </w:rPr>
              <w:t>废气监测一览表</w:t>
            </w:r>
          </w:p>
          <w:tbl>
            <w:tblPr>
              <w:tblStyle w:val="24"/>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15"/>
              <w:gridCol w:w="1193"/>
              <w:gridCol w:w="1177"/>
              <w:gridCol w:w="847"/>
              <w:gridCol w:w="1092"/>
              <w:gridCol w:w="72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b/>
                      <w:bCs/>
                      <w:szCs w:val="21"/>
                    </w:rPr>
                  </w:pPr>
                  <w:r>
                    <w:rPr>
                      <w:rFonts w:hint="eastAsia"/>
                      <w:b/>
                      <w:bCs/>
                      <w:szCs w:val="21"/>
                    </w:rPr>
                    <w:t>序号</w:t>
                  </w:r>
                </w:p>
              </w:tc>
              <w:tc>
                <w:tcPr>
                  <w:tcW w:w="815" w:type="dxa"/>
                  <w:vAlign w:val="center"/>
                </w:tcPr>
                <w:p>
                  <w:pPr>
                    <w:jc w:val="center"/>
                    <w:rPr>
                      <w:b/>
                      <w:bCs/>
                      <w:szCs w:val="21"/>
                    </w:rPr>
                  </w:pPr>
                  <w:r>
                    <w:rPr>
                      <w:rFonts w:hint="eastAsia"/>
                      <w:b/>
                      <w:bCs/>
                      <w:szCs w:val="21"/>
                    </w:rPr>
                    <w:t>监测位置</w:t>
                  </w:r>
                </w:p>
              </w:tc>
              <w:tc>
                <w:tcPr>
                  <w:tcW w:w="1193" w:type="dxa"/>
                  <w:vAlign w:val="center"/>
                </w:tcPr>
                <w:p>
                  <w:pPr>
                    <w:jc w:val="center"/>
                    <w:rPr>
                      <w:b/>
                      <w:bCs/>
                      <w:szCs w:val="21"/>
                    </w:rPr>
                  </w:pPr>
                  <w:r>
                    <w:rPr>
                      <w:rFonts w:hint="eastAsia"/>
                      <w:b/>
                      <w:bCs/>
                      <w:szCs w:val="21"/>
                    </w:rPr>
                    <w:t>点位布设</w:t>
                  </w:r>
                </w:p>
              </w:tc>
              <w:tc>
                <w:tcPr>
                  <w:tcW w:w="1177" w:type="dxa"/>
                  <w:vAlign w:val="center"/>
                </w:tcPr>
                <w:p>
                  <w:pPr>
                    <w:jc w:val="center"/>
                    <w:rPr>
                      <w:b/>
                      <w:bCs/>
                      <w:szCs w:val="21"/>
                    </w:rPr>
                  </w:pPr>
                  <w:r>
                    <w:rPr>
                      <w:b/>
                      <w:bCs/>
                      <w:szCs w:val="21"/>
                    </w:rPr>
                    <w:t>监测内容</w:t>
                  </w:r>
                </w:p>
              </w:tc>
              <w:tc>
                <w:tcPr>
                  <w:tcW w:w="847" w:type="dxa"/>
                  <w:vAlign w:val="center"/>
                </w:tcPr>
                <w:p>
                  <w:pPr>
                    <w:jc w:val="center"/>
                    <w:rPr>
                      <w:b/>
                      <w:bCs/>
                      <w:szCs w:val="21"/>
                    </w:rPr>
                  </w:pPr>
                  <w:r>
                    <w:rPr>
                      <w:b/>
                      <w:bCs/>
                      <w:szCs w:val="21"/>
                    </w:rPr>
                    <w:t>污染物名称</w:t>
                  </w:r>
                </w:p>
              </w:tc>
              <w:tc>
                <w:tcPr>
                  <w:tcW w:w="1092" w:type="dxa"/>
                  <w:vAlign w:val="center"/>
                </w:tcPr>
                <w:p>
                  <w:pPr>
                    <w:jc w:val="center"/>
                    <w:rPr>
                      <w:b/>
                      <w:bCs/>
                      <w:szCs w:val="21"/>
                    </w:rPr>
                  </w:pPr>
                  <w:r>
                    <w:rPr>
                      <w:b/>
                      <w:bCs/>
                      <w:szCs w:val="21"/>
                    </w:rPr>
                    <w:t>手工监测采样方法及个数</w:t>
                  </w:r>
                </w:p>
              </w:tc>
              <w:tc>
                <w:tcPr>
                  <w:tcW w:w="720" w:type="dxa"/>
                  <w:vAlign w:val="center"/>
                </w:tcPr>
                <w:p>
                  <w:pPr>
                    <w:jc w:val="center"/>
                    <w:rPr>
                      <w:b/>
                      <w:bCs/>
                      <w:szCs w:val="21"/>
                    </w:rPr>
                  </w:pPr>
                  <w:r>
                    <w:rPr>
                      <w:b/>
                      <w:bCs/>
                      <w:szCs w:val="21"/>
                    </w:rPr>
                    <w:t>监测频次</w:t>
                  </w:r>
                </w:p>
              </w:tc>
              <w:tc>
                <w:tcPr>
                  <w:tcW w:w="1487" w:type="dxa"/>
                  <w:vAlign w:val="center"/>
                </w:tcPr>
                <w:p>
                  <w:pPr>
                    <w:jc w:val="center"/>
                    <w:rPr>
                      <w:b/>
                      <w:bCs/>
                      <w:szCs w:val="21"/>
                    </w:rPr>
                  </w:pPr>
                  <w:r>
                    <w:rPr>
                      <w:b/>
                      <w:bCs/>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pStyle w:val="9"/>
                    <w:spacing w:line="240" w:lineRule="auto"/>
                    <w:jc w:val="center"/>
                    <w:rPr>
                      <w:sz w:val="21"/>
                      <w:szCs w:val="21"/>
                    </w:rPr>
                  </w:pPr>
                  <w:r>
                    <w:rPr>
                      <w:rFonts w:hint="eastAsia"/>
                      <w:sz w:val="21"/>
                      <w:szCs w:val="21"/>
                    </w:rPr>
                    <w:t>1</w:t>
                  </w:r>
                </w:p>
              </w:tc>
              <w:tc>
                <w:tcPr>
                  <w:tcW w:w="815" w:type="dxa"/>
                  <w:vAlign w:val="center"/>
                </w:tcPr>
                <w:p>
                  <w:pPr>
                    <w:pStyle w:val="9"/>
                    <w:spacing w:line="240" w:lineRule="auto"/>
                    <w:jc w:val="center"/>
                    <w:rPr>
                      <w:sz w:val="21"/>
                      <w:szCs w:val="21"/>
                    </w:rPr>
                  </w:pPr>
                  <w:r>
                    <w:rPr>
                      <w:rFonts w:hint="eastAsia"/>
                      <w:sz w:val="21"/>
                      <w:szCs w:val="21"/>
                    </w:rPr>
                    <w:t>厂界</w:t>
                  </w:r>
                </w:p>
              </w:tc>
              <w:tc>
                <w:tcPr>
                  <w:tcW w:w="1193" w:type="dxa"/>
                  <w:vAlign w:val="center"/>
                </w:tcPr>
                <w:p>
                  <w:pPr>
                    <w:pStyle w:val="9"/>
                    <w:spacing w:line="240" w:lineRule="auto"/>
                    <w:jc w:val="center"/>
                    <w:rPr>
                      <w:sz w:val="21"/>
                      <w:szCs w:val="21"/>
                    </w:rPr>
                  </w:pPr>
                  <w:r>
                    <w:rPr>
                      <w:rFonts w:hint="eastAsia"/>
                      <w:sz w:val="21"/>
                      <w:szCs w:val="21"/>
                    </w:rPr>
                    <w:t>上风向1个对照点下风向3个监测点</w:t>
                  </w:r>
                </w:p>
              </w:tc>
              <w:tc>
                <w:tcPr>
                  <w:tcW w:w="1177" w:type="dxa"/>
                  <w:vAlign w:val="center"/>
                </w:tcPr>
                <w:p>
                  <w:pPr>
                    <w:pStyle w:val="9"/>
                    <w:spacing w:line="240" w:lineRule="auto"/>
                    <w:jc w:val="center"/>
                    <w:rPr>
                      <w:sz w:val="21"/>
                      <w:szCs w:val="21"/>
                    </w:rPr>
                  </w:pPr>
                  <w:r>
                    <w:rPr>
                      <w:rFonts w:hint="eastAsia"/>
                      <w:sz w:val="21"/>
                      <w:szCs w:val="21"/>
                    </w:rPr>
                    <w:t>温度，湿度，气压，风速，风向</w:t>
                  </w:r>
                </w:p>
              </w:tc>
              <w:tc>
                <w:tcPr>
                  <w:tcW w:w="847" w:type="dxa"/>
                  <w:vAlign w:val="center"/>
                </w:tcPr>
                <w:p>
                  <w:pPr>
                    <w:pStyle w:val="9"/>
                    <w:spacing w:line="240" w:lineRule="auto"/>
                    <w:jc w:val="center"/>
                    <w:rPr>
                      <w:sz w:val="21"/>
                      <w:szCs w:val="21"/>
                    </w:rPr>
                  </w:pPr>
                  <w:r>
                    <w:rPr>
                      <w:rFonts w:hint="eastAsia"/>
                      <w:sz w:val="21"/>
                      <w:szCs w:val="21"/>
                    </w:rPr>
                    <w:t>挥发性有机物</w:t>
                  </w:r>
                </w:p>
              </w:tc>
              <w:tc>
                <w:tcPr>
                  <w:tcW w:w="1092" w:type="dxa"/>
                  <w:vAlign w:val="center"/>
                </w:tcPr>
                <w:p>
                  <w:pPr>
                    <w:jc w:val="center"/>
                    <w:rPr>
                      <w:szCs w:val="21"/>
                    </w:rPr>
                  </w:pPr>
                  <w:r>
                    <w:rPr>
                      <w:rFonts w:hint="eastAsia"/>
                      <w:szCs w:val="21"/>
                    </w:rPr>
                    <w:t>连续采样</w:t>
                  </w:r>
                </w:p>
              </w:tc>
              <w:tc>
                <w:tcPr>
                  <w:tcW w:w="720" w:type="dxa"/>
                  <w:vAlign w:val="center"/>
                </w:tcPr>
                <w:p>
                  <w:pPr>
                    <w:jc w:val="center"/>
                    <w:rPr>
                      <w:szCs w:val="21"/>
                    </w:rPr>
                  </w:pPr>
                  <w:r>
                    <w:rPr>
                      <w:szCs w:val="21"/>
                    </w:rPr>
                    <w:t>1次/年</w:t>
                  </w:r>
                </w:p>
              </w:tc>
              <w:tc>
                <w:tcPr>
                  <w:tcW w:w="1487" w:type="dxa"/>
                  <w:vAlign w:val="center"/>
                </w:tcPr>
                <w:p>
                  <w:pPr>
                    <w:adjustRightInd w:val="0"/>
                    <w:snapToGrid w:val="0"/>
                    <w:jc w:val="center"/>
                    <w:rPr>
                      <w:szCs w:val="21"/>
                    </w:rPr>
                  </w:pPr>
                  <w:r>
                    <w:rPr>
                      <w:rFonts w:hint="eastAsia"/>
                      <w:szCs w:val="21"/>
                    </w:rPr>
                    <w:t>环境空气 挥发性有机物的测定 气相色谱-质谱法HJ759-2015</w:t>
                  </w:r>
                </w:p>
              </w:tc>
            </w:tr>
          </w:tbl>
          <w:p>
            <w:pPr>
              <w:adjustRightInd w:val="0"/>
              <w:snapToGrid w:val="0"/>
              <w:spacing w:line="360" w:lineRule="auto"/>
              <w:ind w:firstLine="480" w:firstLineChars="200"/>
              <w:rPr>
                <w:bCs/>
                <w:color w:val="000000"/>
                <w:sz w:val="24"/>
              </w:rPr>
            </w:pPr>
            <w:r>
              <w:rPr>
                <w:bCs/>
                <w:color w:val="000000"/>
                <w:sz w:val="24"/>
              </w:rPr>
              <w:t>项目废气处理措施可行性分析：本项目使用的废气处理措施采用排污许可技术规范中明确的可行技术，故不再进一步分析其可行性。</w:t>
            </w:r>
          </w:p>
          <w:p>
            <w:pPr>
              <w:adjustRightInd w:val="0"/>
              <w:snapToGrid w:val="0"/>
              <w:spacing w:line="360" w:lineRule="auto"/>
              <w:rPr>
                <w:b/>
                <w:color w:val="000000"/>
                <w:sz w:val="24"/>
              </w:rPr>
            </w:pPr>
            <w:r>
              <w:rPr>
                <w:b/>
                <w:color w:val="000000"/>
                <w:sz w:val="24"/>
              </w:rPr>
              <w:t>二、</w:t>
            </w:r>
            <w:r>
              <w:rPr>
                <w:b/>
                <w:bCs/>
                <w:sz w:val="24"/>
              </w:rPr>
              <w:t>水污染</w:t>
            </w:r>
          </w:p>
          <w:p>
            <w:pPr>
              <w:spacing w:line="360" w:lineRule="auto"/>
              <w:ind w:firstLine="480"/>
              <w:rPr>
                <w:sz w:val="24"/>
              </w:rPr>
            </w:pPr>
            <w:r>
              <w:rPr>
                <w:sz w:val="24"/>
              </w:rPr>
              <w:t>1、本项目运营期</w:t>
            </w:r>
            <w:r>
              <w:rPr>
                <w:rFonts w:ascii="宋体" w:hAnsi="宋体" w:cs="宋体"/>
                <w:sz w:val="24"/>
              </w:rPr>
              <w:t>产生的废水主要有生活污水和生产废水</w:t>
            </w:r>
            <w:r>
              <w:rPr>
                <w:sz w:val="24"/>
              </w:rPr>
              <w:t>。</w:t>
            </w:r>
          </w:p>
          <w:p>
            <w:pPr>
              <w:spacing w:line="360" w:lineRule="auto"/>
              <w:ind w:firstLine="480" w:firstLineChars="200"/>
              <w:jc w:val="left"/>
              <w:rPr>
                <w:sz w:val="24"/>
              </w:rPr>
            </w:pPr>
            <w:r>
              <w:rPr>
                <w:rFonts w:ascii="宋体" w:hAnsi="宋体" w:cs="宋体"/>
                <w:sz w:val="24"/>
              </w:rPr>
              <w:t>生活污水</w:t>
            </w:r>
            <w:r>
              <w:rPr>
                <w:rFonts w:hint="eastAsia" w:ascii="宋体" w:hAnsi="宋体" w:cs="宋体"/>
                <w:sz w:val="24"/>
              </w:rPr>
              <w:t>：</w:t>
            </w:r>
            <w:r>
              <w:rPr>
                <w:sz w:val="24"/>
              </w:rPr>
              <w:t>本项目劳动定员</w:t>
            </w:r>
            <w:r>
              <w:rPr>
                <w:rFonts w:hint="eastAsia"/>
                <w:sz w:val="24"/>
              </w:rPr>
              <w:t>2</w:t>
            </w:r>
            <w:r>
              <w:rPr>
                <w:sz w:val="24"/>
              </w:rPr>
              <w:t>人，厂区不提供食宿。根据《安徽省行业用水定额》（DB34T679-2019），员工用水定额按60L/人·d计算，生活用水量为</w:t>
            </w:r>
            <w:r>
              <w:rPr>
                <w:rFonts w:hint="eastAsia"/>
                <w:sz w:val="24"/>
              </w:rPr>
              <w:t>36</w:t>
            </w:r>
            <w:r>
              <w:rPr>
                <w:sz w:val="24"/>
              </w:rPr>
              <w:t>t/a，污水产生量按照用水量80%计算，则生活污水产生量为</w:t>
            </w:r>
            <w:r>
              <w:rPr>
                <w:rFonts w:hint="eastAsia"/>
                <w:sz w:val="24"/>
              </w:rPr>
              <w:t>28.8</w:t>
            </w:r>
            <w:r>
              <w:rPr>
                <w:sz w:val="24"/>
              </w:rPr>
              <w:t>t/a</w:t>
            </w:r>
          </w:p>
          <w:p>
            <w:pPr>
              <w:spacing w:line="360" w:lineRule="auto"/>
              <w:ind w:firstLine="480" w:firstLineChars="200"/>
              <w:jc w:val="left"/>
              <w:rPr>
                <w:bCs/>
                <w:sz w:val="24"/>
              </w:rPr>
            </w:pPr>
            <w:r>
              <w:rPr>
                <w:bCs/>
                <w:sz w:val="24"/>
              </w:rPr>
              <w:t>2、项目废水产生情况</w:t>
            </w:r>
          </w:p>
          <w:p>
            <w:pPr>
              <w:pStyle w:val="9"/>
              <w:spacing w:before="0" w:after="0" w:line="360" w:lineRule="auto"/>
              <w:ind w:firstLine="480" w:firstLineChars="200"/>
            </w:pPr>
            <w:r>
              <w:rPr>
                <w:rFonts w:hint="eastAsia"/>
                <w:bCs/>
                <w:sz w:val="24"/>
              </w:rPr>
              <w:t>（1）</w:t>
            </w:r>
            <w:r>
              <w:rPr>
                <w:bCs/>
                <w:sz w:val="24"/>
              </w:rPr>
              <w:t>项目用水和</w:t>
            </w:r>
            <w:r>
              <w:rPr>
                <w:rFonts w:hint="eastAsia"/>
                <w:bCs/>
                <w:sz w:val="24"/>
              </w:rPr>
              <w:t>污水产生</w:t>
            </w:r>
            <w:r>
              <w:rPr>
                <w:bCs/>
                <w:sz w:val="24"/>
              </w:rPr>
              <w:t>情况详见下表：</w:t>
            </w:r>
          </w:p>
          <w:p>
            <w:pPr>
              <w:spacing w:line="360" w:lineRule="auto"/>
              <w:ind w:firstLine="482" w:firstLineChars="200"/>
              <w:jc w:val="center"/>
              <w:rPr>
                <w:b/>
                <w:color w:val="000000"/>
                <w:sz w:val="24"/>
              </w:rPr>
            </w:pPr>
            <w:r>
              <w:rPr>
                <w:b/>
                <w:color w:val="000000"/>
                <w:sz w:val="24"/>
              </w:rPr>
              <w:t>表4-</w:t>
            </w:r>
            <w:r>
              <w:rPr>
                <w:rFonts w:hint="eastAsia"/>
                <w:b/>
                <w:color w:val="000000"/>
                <w:sz w:val="24"/>
              </w:rPr>
              <w:t>5</w:t>
            </w:r>
            <w:r>
              <w:rPr>
                <w:b/>
                <w:color w:val="000000"/>
                <w:sz w:val="24"/>
              </w:rPr>
              <w:t xml:space="preserve">  项目用水及排放情况一览表  单位：t/a</w:t>
            </w:r>
          </w:p>
          <w:tbl>
            <w:tblPr>
              <w:tblStyle w:val="23"/>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303"/>
              <w:gridCol w:w="1022"/>
              <w:gridCol w:w="1023"/>
              <w:gridCol w:w="98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blHeader/>
                <w:jc w:val="center"/>
              </w:trPr>
              <w:tc>
                <w:tcPr>
                  <w:tcW w:w="2591" w:type="dxa"/>
                  <w:vAlign w:val="center"/>
                </w:tcPr>
                <w:p>
                  <w:pPr>
                    <w:spacing w:line="240" w:lineRule="atLeast"/>
                    <w:jc w:val="center"/>
                    <w:rPr>
                      <w:b/>
                      <w:szCs w:val="18"/>
                    </w:rPr>
                  </w:pPr>
                  <w:r>
                    <w:rPr>
                      <w:b/>
                      <w:szCs w:val="18"/>
                    </w:rPr>
                    <w:t>用排水环节</w:t>
                  </w:r>
                </w:p>
              </w:tc>
              <w:tc>
                <w:tcPr>
                  <w:tcW w:w="1303" w:type="dxa"/>
                  <w:vAlign w:val="center"/>
                </w:tcPr>
                <w:p>
                  <w:pPr>
                    <w:spacing w:line="240" w:lineRule="atLeast"/>
                    <w:jc w:val="center"/>
                    <w:rPr>
                      <w:b/>
                      <w:szCs w:val="18"/>
                    </w:rPr>
                  </w:pPr>
                  <w:r>
                    <w:rPr>
                      <w:b/>
                      <w:szCs w:val="18"/>
                    </w:rPr>
                    <w:t>用水指标</w:t>
                  </w:r>
                </w:p>
              </w:tc>
              <w:tc>
                <w:tcPr>
                  <w:tcW w:w="1022" w:type="dxa"/>
                  <w:vAlign w:val="center"/>
                </w:tcPr>
                <w:p>
                  <w:pPr>
                    <w:spacing w:line="240" w:lineRule="atLeast"/>
                    <w:jc w:val="center"/>
                    <w:rPr>
                      <w:b/>
                      <w:szCs w:val="18"/>
                    </w:rPr>
                  </w:pPr>
                  <w:r>
                    <w:rPr>
                      <w:b/>
                      <w:szCs w:val="18"/>
                    </w:rPr>
                    <w:t>数量</w:t>
                  </w:r>
                </w:p>
              </w:tc>
              <w:tc>
                <w:tcPr>
                  <w:tcW w:w="1023" w:type="dxa"/>
                  <w:vAlign w:val="center"/>
                </w:tcPr>
                <w:p>
                  <w:pPr>
                    <w:spacing w:line="240" w:lineRule="atLeast"/>
                    <w:jc w:val="center"/>
                    <w:rPr>
                      <w:b/>
                      <w:szCs w:val="18"/>
                    </w:rPr>
                  </w:pPr>
                  <w:r>
                    <w:rPr>
                      <w:b/>
                      <w:szCs w:val="18"/>
                    </w:rPr>
                    <w:t>用水量</w:t>
                  </w:r>
                </w:p>
              </w:tc>
              <w:tc>
                <w:tcPr>
                  <w:tcW w:w="980" w:type="dxa"/>
                  <w:vAlign w:val="center"/>
                </w:tcPr>
                <w:p>
                  <w:pPr>
                    <w:spacing w:line="240" w:lineRule="atLeast"/>
                    <w:jc w:val="center"/>
                    <w:rPr>
                      <w:b/>
                      <w:szCs w:val="18"/>
                    </w:rPr>
                  </w:pPr>
                  <w:r>
                    <w:rPr>
                      <w:b/>
                      <w:szCs w:val="18"/>
                    </w:rPr>
                    <w:t>废水产生系数</w:t>
                  </w:r>
                </w:p>
              </w:tc>
              <w:tc>
                <w:tcPr>
                  <w:tcW w:w="1018" w:type="dxa"/>
                  <w:vAlign w:val="center"/>
                </w:tcPr>
                <w:p>
                  <w:pPr>
                    <w:spacing w:line="240" w:lineRule="atLeast"/>
                    <w:jc w:val="center"/>
                    <w:rPr>
                      <w:b/>
                      <w:szCs w:val="18"/>
                    </w:rPr>
                  </w:pPr>
                  <w:r>
                    <w:rPr>
                      <w:b/>
                      <w:szCs w:val="18"/>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Cs w:val="21"/>
                    </w:rPr>
                  </w:pPr>
                  <w:r>
                    <w:rPr>
                      <w:bCs/>
                      <w:szCs w:val="21"/>
                    </w:rPr>
                    <w:t>生活用水</w:t>
                  </w:r>
                </w:p>
              </w:tc>
              <w:tc>
                <w:tcPr>
                  <w:tcW w:w="1303" w:type="dxa"/>
                  <w:vAlign w:val="center"/>
                </w:tcPr>
                <w:p>
                  <w:pPr>
                    <w:spacing w:line="240" w:lineRule="atLeast"/>
                    <w:jc w:val="center"/>
                    <w:rPr>
                      <w:bCs/>
                      <w:szCs w:val="21"/>
                    </w:rPr>
                  </w:pPr>
                  <w:r>
                    <w:rPr>
                      <w:bCs/>
                      <w:szCs w:val="21"/>
                    </w:rPr>
                    <w:t>60L/人</w:t>
                  </w:r>
                </w:p>
              </w:tc>
              <w:tc>
                <w:tcPr>
                  <w:tcW w:w="1022" w:type="dxa"/>
                  <w:vAlign w:val="center"/>
                </w:tcPr>
                <w:p>
                  <w:pPr>
                    <w:spacing w:line="240" w:lineRule="atLeast"/>
                    <w:jc w:val="center"/>
                    <w:rPr>
                      <w:bCs/>
                      <w:szCs w:val="21"/>
                    </w:rPr>
                  </w:pPr>
                  <w:r>
                    <w:rPr>
                      <w:rFonts w:hint="eastAsia"/>
                      <w:bCs/>
                      <w:szCs w:val="21"/>
                    </w:rPr>
                    <w:t>2</w:t>
                  </w:r>
                  <w:r>
                    <w:rPr>
                      <w:bCs/>
                      <w:szCs w:val="21"/>
                    </w:rPr>
                    <w:t>人</w:t>
                  </w:r>
                </w:p>
              </w:tc>
              <w:tc>
                <w:tcPr>
                  <w:tcW w:w="1023" w:type="dxa"/>
                  <w:vAlign w:val="center"/>
                </w:tcPr>
                <w:p>
                  <w:pPr>
                    <w:spacing w:line="240" w:lineRule="atLeast"/>
                    <w:jc w:val="center"/>
                    <w:rPr>
                      <w:bCs/>
                      <w:szCs w:val="21"/>
                    </w:rPr>
                  </w:pPr>
                  <w:r>
                    <w:rPr>
                      <w:rFonts w:hint="eastAsia"/>
                      <w:szCs w:val="21"/>
                    </w:rPr>
                    <w:t>36</w:t>
                  </w:r>
                </w:p>
              </w:tc>
              <w:tc>
                <w:tcPr>
                  <w:tcW w:w="980" w:type="dxa"/>
                  <w:vAlign w:val="center"/>
                </w:tcPr>
                <w:p>
                  <w:pPr>
                    <w:spacing w:line="240" w:lineRule="atLeast"/>
                    <w:jc w:val="center"/>
                    <w:rPr>
                      <w:bCs/>
                      <w:szCs w:val="21"/>
                    </w:rPr>
                  </w:pPr>
                  <w:r>
                    <w:rPr>
                      <w:bCs/>
                      <w:szCs w:val="21"/>
                    </w:rPr>
                    <w:t>0.8</w:t>
                  </w:r>
                </w:p>
              </w:tc>
              <w:tc>
                <w:tcPr>
                  <w:tcW w:w="1018" w:type="dxa"/>
                  <w:vAlign w:val="center"/>
                </w:tcPr>
                <w:p>
                  <w:pPr>
                    <w:spacing w:line="240" w:lineRule="atLeast"/>
                    <w:jc w:val="center"/>
                    <w:rPr>
                      <w:bCs/>
                      <w:szCs w:val="21"/>
                    </w:rPr>
                  </w:pPr>
                  <w:r>
                    <w:rPr>
                      <w:rFonts w:hint="eastAsia"/>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916" w:type="dxa"/>
                  <w:gridSpan w:val="3"/>
                  <w:vAlign w:val="center"/>
                </w:tcPr>
                <w:p>
                  <w:pPr>
                    <w:spacing w:line="240" w:lineRule="atLeast"/>
                    <w:jc w:val="center"/>
                    <w:rPr>
                      <w:szCs w:val="21"/>
                    </w:rPr>
                  </w:pPr>
                  <w:r>
                    <w:rPr>
                      <w:rFonts w:hint="eastAsia"/>
                      <w:szCs w:val="21"/>
                    </w:rPr>
                    <w:t>合计</w:t>
                  </w:r>
                </w:p>
              </w:tc>
              <w:tc>
                <w:tcPr>
                  <w:tcW w:w="1023" w:type="dxa"/>
                  <w:vAlign w:val="center"/>
                </w:tcPr>
                <w:p>
                  <w:pPr>
                    <w:spacing w:line="240" w:lineRule="atLeast"/>
                    <w:jc w:val="center"/>
                    <w:rPr>
                      <w:szCs w:val="21"/>
                    </w:rPr>
                  </w:pPr>
                  <w:r>
                    <w:rPr>
                      <w:rFonts w:hint="eastAsia"/>
                      <w:szCs w:val="21"/>
                    </w:rPr>
                    <w:t>36</w:t>
                  </w:r>
                </w:p>
              </w:tc>
              <w:tc>
                <w:tcPr>
                  <w:tcW w:w="980" w:type="dxa"/>
                  <w:vAlign w:val="center"/>
                </w:tcPr>
                <w:p>
                  <w:pPr>
                    <w:spacing w:line="240" w:lineRule="atLeast"/>
                    <w:jc w:val="center"/>
                    <w:rPr>
                      <w:bCs/>
                      <w:szCs w:val="21"/>
                    </w:rPr>
                  </w:pPr>
                  <w:r>
                    <w:rPr>
                      <w:bCs/>
                      <w:szCs w:val="21"/>
                    </w:rPr>
                    <w:t>/</w:t>
                  </w:r>
                </w:p>
              </w:tc>
              <w:tc>
                <w:tcPr>
                  <w:tcW w:w="1018" w:type="dxa"/>
                  <w:vAlign w:val="center"/>
                </w:tcPr>
                <w:p>
                  <w:pPr>
                    <w:spacing w:line="240" w:lineRule="atLeast"/>
                    <w:jc w:val="center"/>
                    <w:rPr>
                      <w:bCs/>
                      <w:szCs w:val="21"/>
                    </w:rPr>
                  </w:pPr>
                  <w:r>
                    <w:rPr>
                      <w:rFonts w:hint="eastAsia"/>
                      <w:szCs w:val="21"/>
                    </w:rPr>
                    <w:t>28.8</w:t>
                  </w:r>
                </w:p>
              </w:tc>
            </w:tr>
          </w:tbl>
          <w:p>
            <w:pPr>
              <w:spacing w:line="360" w:lineRule="auto"/>
              <w:ind w:firstLine="480" w:firstLineChars="200"/>
              <w:outlineLvl w:val="0"/>
              <w:rPr>
                <w:bCs/>
                <w:color w:val="000000"/>
                <w:sz w:val="24"/>
              </w:rPr>
            </w:pPr>
            <w:r>
              <w:rPr>
                <w:bCs/>
                <w:color w:val="000000"/>
                <w:sz w:val="24"/>
              </w:rPr>
              <w:t>（</w:t>
            </w:r>
            <w:r>
              <w:rPr>
                <w:rFonts w:hint="eastAsia"/>
                <w:bCs/>
                <w:color w:val="000000"/>
                <w:sz w:val="24"/>
              </w:rPr>
              <w:t>2</w:t>
            </w:r>
            <w:r>
              <w:rPr>
                <w:bCs/>
                <w:color w:val="000000"/>
                <w:sz w:val="24"/>
              </w:rPr>
              <w:t>）废水产生及排放情况</w:t>
            </w:r>
          </w:p>
          <w:p>
            <w:pPr>
              <w:adjustRightInd w:val="0"/>
              <w:snapToGrid w:val="0"/>
              <w:spacing w:line="360" w:lineRule="auto"/>
              <w:jc w:val="center"/>
              <w:rPr>
                <w:b/>
                <w:bCs/>
                <w:sz w:val="24"/>
              </w:rPr>
            </w:pPr>
            <w:r>
              <w:rPr>
                <w:b/>
                <w:bCs/>
                <w:sz w:val="24"/>
              </w:rPr>
              <w:t>表4-</w:t>
            </w:r>
            <w:r>
              <w:rPr>
                <w:rFonts w:hint="eastAsia"/>
                <w:b/>
                <w:bCs/>
                <w:sz w:val="24"/>
              </w:rPr>
              <w:t>6</w:t>
            </w:r>
            <w:r>
              <w:rPr>
                <w:b/>
                <w:bCs/>
                <w:sz w:val="24"/>
              </w:rPr>
              <w:t xml:space="preserve"> 废水类别、污染物种类、排放方式及污染治理设施一览表</w:t>
            </w:r>
          </w:p>
          <w:tbl>
            <w:tblPr>
              <w:tblStyle w:val="23"/>
              <w:tblW w:w="7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52"/>
              <w:gridCol w:w="1212"/>
              <w:gridCol w:w="1071"/>
              <w:gridCol w:w="756"/>
              <w:gridCol w:w="947"/>
              <w:gridCol w:w="120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restart"/>
                  <w:vAlign w:val="center"/>
                </w:tcPr>
                <w:p>
                  <w:pPr>
                    <w:jc w:val="center"/>
                    <w:rPr>
                      <w:b/>
                      <w:bCs/>
                      <w:szCs w:val="21"/>
                    </w:rPr>
                  </w:pPr>
                  <w:r>
                    <w:rPr>
                      <w:b/>
                      <w:bCs/>
                      <w:szCs w:val="21"/>
                    </w:rPr>
                    <w:t>废水类别</w:t>
                  </w:r>
                </w:p>
              </w:tc>
              <w:tc>
                <w:tcPr>
                  <w:tcW w:w="852" w:type="dxa"/>
                  <w:vMerge w:val="restart"/>
                  <w:vAlign w:val="center"/>
                </w:tcPr>
                <w:p>
                  <w:pPr>
                    <w:jc w:val="center"/>
                    <w:rPr>
                      <w:b/>
                      <w:bCs/>
                      <w:szCs w:val="21"/>
                    </w:rPr>
                  </w:pPr>
                  <w:r>
                    <w:rPr>
                      <w:b/>
                      <w:bCs/>
                      <w:szCs w:val="21"/>
                    </w:rPr>
                    <w:t>污染物种类</w:t>
                  </w:r>
                </w:p>
              </w:tc>
              <w:tc>
                <w:tcPr>
                  <w:tcW w:w="2283" w:type="dxa"/>
                  <w:gridSpan w:val="2"/>
                  <w:vAlign w:val="center"/>
                </w:tcPr>
                <w:p>
                  <w:pPr>
                    <w:jc w:val="center"/>
                    <w:rPr>
                      <w:b/>
                      <w:bCs/>
                      <w:szCs w:val="21"/>
                    </w:rPr>
                  </w:pPr>
                  <w:r>
                    <w:rPr>
                      <w:b/>
                      <w:bCs/>
                      <w:szCs w:val="21"/>
                    </w:rPr>
                    <w:t>污染治理设施</w:t>
                  </w:r>
                </w:p>
              </w:tc>
              <w:tc>
                <w:tcPr>
                  <w:tcW w:w="756" w:type="dxa"/>
                  <w:vMerge w:val="restart"/>
                  <w:vAlign w:val="center"/>
                </w:tcPr>
                <w:p>
                  <w:pPr>
                    <w:jc w:val="center"/>
                    <w:rPr>
                      <w:b/>
                      <w:bCs/>
                      <w:szCs w:val="21"/>
                    </w:rPr>
                  </w:pPr>
                  <w:r>
                    <w:rPr>
                      <w:b/>
                      <w:bCs/>
                      <w:szCs w:val="21"/>
                    </w:rPr>
                    <w:t>排放去向</w:t>
                  </w:r>
                </w:p>
              </w:tc>
              <w:tc>
                <w:tcPr>
                  <w:tcW w:w="947" w:type="dxa"/>
                  <w:vMerge w:val="restart"/>
                  <w:vAlign w:val="center"/>
                </w:tcPr>
                <w:p>
                  <w:pPr>
                    <w:jc w:val="center"/>
                    <w:rPr>
                      <w:b/>
                      <w:bCs/>
                      <w:szCs w:val="21"/>
                    </w:rPr>
                  </w:pPr>
                  <w:r>
                    <w:rPr>
                      <w:b/>
                      <w:bCs/>
                      <w:szCs w:val="21"/>
                    </w:rPr>
                    <w:t>排放方式</w:t>
                  </w:r>
                </w:p>
              </w:tc>
              <w:tc>
                <w:tcPr>
                  <w:tcW w:w="1207" w:type="dxa"/>
                  <w:vMerge w:val="restart"/>
                  <w:vAlign w:val="center"/>
                </w:tcPr>
                <w:p>
                  <w:pPr>
                    <w:jc w:val="center"/>
                    <w:rPr>
                      <w:b/>
                      <w:bCs/>
                      <w:szCs w:val="21"/>
                    </w:rPr>
                  </w:pPr>
                  <w:r>
                    <w:rPr>
                      <w:b/>
                      <w:bCs/>
                      <w:szCs w:val="21"/>
                    </w:rPr>
                    <w:t>排放口编号</w:t>
                  </w:r>
                </w:p>
              </w:tc>
              <w:tc>
                <w:tcPr>
                  <w:tcW w:w="1206" w:type="dxa"/>
                  <w:vMerge w:val="restart"/>
                  <w:vAlign w:val="center"/>
                </w:tcPr>
                <w:p>
                  <w:pPr>
                    <w:jc w:val="center"/>
                    <w:rPr>
                      <w:b/>
                      <w:bCs/>
                      <w:szCs w:val="21"/>
                    </w:rPr>
                  </w:pPr>
                  <w:r>
                    <w:rPr>
                      <w:b/>
                      <w:bCs/>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continue"/>
                  <w:vAlign w:val="center"/>
                </w:tcPr>
                <w:p>
                  <w:pPr>
                    <w:jc w:val="center"/>
                    <w:rPr>
                      <w:b/>
                      <w:bCs/>
                      <w:szCs w:val="21"/>
                    </w:rPr>
                  </w:pPr>
                </w:p>
              </w:tc>
              <w:tc>
                <w:tcPr>
                  <w:tcW w:w="852" w:type="dxa"/>
                  <w:vMerge w:val="continue"/>
                  <w:vAlign w:val="center"/>
                </w:tcPr>
                <w:p>
                  <w:pPr>
                    <w:jc w:val="center"/>
                    <w:rPr>
                      <w:b/>
                      <w:bCs/>
                      <w:szCs w:val="21"/>
                    </w:rPr>
                  </w:pPr>
                </w:p>
              </w:tc>
              <w:tc>
                <w:tcPr>
                  <w:tcW w:w="1212" w:type="dxa"/>
                  <w:vAlign w:val="center"/>
                </w:tcPr>
                <w:p>
                  <w:pPr>
                    <w:jc w:val="center"/>
                    <w:rPr>
                      <w:b/>
                      <w:bCs/>
                      <w:szCs w:val="21"/>
                    </w:rPr>
                  </w:pPr>
                  <w:r>
                    <w:rPr>
                      <w:b/>
                      <w:bCs/>
                      <w:szCs w:val="21"/>
                    </w:rPr>
                    <w:t>治理工艺</w:t>
                  </w:r>
                </w:p>
              </w:tc>
              <w:tc>
                <w:tcPr>
                  <w:tcW w:w="1071" w:type="dxa"/>
                  <w:vAlign w:val="center"/>
                </w:tcPr>
                <w:p>
                  <w:pPr>
                    <w:jc w:val="center"/>
                    <w:rPr>
                      <w:b/>
                      <w:bCs/>
                      <w:szCs w:val="21"/>
                    </w:rPr>
                  </w:pPr>
                  <w:r>
                    <w:rPr>
                      <w:b/>
                      <w:bCs/>
                      <w:szCs w:val="21"/>
                    </w:rPr>
                    <w:t>是否可行</w:t>
                  </w:r>
                </w:p>
              </w:tc>
              <w:tc>
                <w:tcPr>
                  <w:tcW w:w="756" w:type="dxa"/>
                  <w:vMerge w:val="continue"/>
                  <w:vAlign w:val="center"/>
                </w:tcPr>
                <w:p>
                  <w:pPr>
                    <w:jc w:val="center"/>
                    <w:rPr>
                      <w:b/>
                      <w:bCs/>
                      <w:szCs w:val="21"/>
                    </w:rPr>
                  </w:pPr>
                </w:p>
              </w:tc>
              <w:tc>
                <w:tcPr>
                  <w:tcW w:w="947" w:type="dxa"/>
                  <w:vMerge w:val="continue"/>
                  <w:vAlign w:val="center"/>
                </w:tcPr>
                <w:p>
                  <w:pPr>
                    <w:jc w:val="center"/>
                    <w:rPr>
                      <w:b/>
                      <w:bCs/>
                      <w:szCs w:val="21"/>
                    </w:rPr>
                  </w:pPr>
                </w:p>
              </w:tc>
              <w:tc>
                <w:tcPr>
                  <w:tcW w:w="1207" w:type="dxa"/>
                  <w:vMerge w:val="continue"/>
                  <w:vAlign w:val="center"/>
                </w:tcPr>
                <w:p>
                  <w:pPr>
                    <w:jc w:val="center"/>
                    <w:rPr>
                      <w:b/>
                      <w:bCs/>
                      <w:szCs w:val="21"/>
                    </w:rPr>
                  </w:pPr>
                </w:p>
              </w:tc>
              <w:tc>
                <w:tcPr>
                  <w:tcW w:w="1206"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jc w:val="center"/>
                    <w:rPr>
                      <w:szCs w:val="21"/>
                    </w:rPr>
                  </w:pPr>
                  <w:r>
                    <w:rPr>
                      <w:szCs w:val="21"/>
                    </w:rPr>
                    <w:t>生活污水</w:t>
                  </w:r>
                </w:p>
              </w:tc>
              <w:tc>
                <w:tcPr>
                  <w:tcW w:w="852" w:type="dxa"/>
                  <w:vAlign w:val="center"/>
                </w:tcPr>
                <w:p>
                  <w:pPr>
                    <w:jc w:val="center"/>
                    <w:rPr>
                      <w:szCs w:val="21"/>
                    </w:rPr>
                  </w:pPr>
                  <w:r>
                    <w:rPr>
                      <w:szCs w:val="21"/>
                    </w:rPr>
                    <w:t>pH、COD、BOD</w:t>
                  </w:r>
                  <w:r>
                    <w:rPr>
                      <w:szCs w:val="21"/>
                      <w:vertAlign w:val="subscript"/>
                    </w:rPr>
                    <w:t>5</w:t>
                  </w:r>
                  <w:r>
                    <w:rPr>
                      <w:szCs w:val="21"/>
                    </w:rPr>
                    <w:t>、SS、</w:t>
                  </w:r>
                  <w:r>
                    <w:rPr>
                      <w:bCs/>
                      <w:snapToGrid w:val="0"/>
                      <w:kern w:val="0"/>
                      <w:szCs w:val="21"/>
                    </w:rPr>
                    <w:t>NH</w:t>
                  </w:r>
                  <w:r>
                    <w:rPr>
                      <w:bCs/>
                      <w:snapToGrid w:val="0"/>
                      <w:kern w:val="0"/>
                      <w:szCs w:val="21"/>
                      <w:vertAlign w:val="subscript"/>
                    </w:rPr>
                    <w:t>3</w:t>
                  </w:r>
                  <w:r>
                    <w:rPr>
                      <w:bCs/>
                      <w:snapToGrid w:val="0"/>
                      <w:kern w:val="0"/>
                      <w:szCs w:val="21"/>
                    </w:rPr>
                    <w:t>-N</w:t>
                  </w:r>
                </w:p>
              </w:tc>
              <w:tc>
                <w:tcPr>
                  <w:tcW w:w="1212" w:type="dxa"/>
                  <w:vAlign w:val="center"/>
                </w:tcPr>
                <w:p>
                  <w:pPr>
                    <w:jc w:val="center"/>
                    <w:rPr>
                      <w:szCs w:val="21"/>
                    </w:rPr>
                  </w:pPr>
                  <w:r>
                    <w:rPr>
                      <w:szCs w:val="21"/>
                    </w:rPr>
                    <w:t>化粪池</w:t>
                  </w:r>
                </w:p>
              </w:tc>
              <w:tc>
                <w:tcPr>
                  <w:tcW w:w="1071" w:type="dxa"/>
                  <w:vAlign w:val="center"/>
                </w:tcPr>
                <w:p>
                  <w:pPr>
                    <w:jc w:val="center"/>
                    <w:rPr>
                      <w:szCs w:val="21"/>
                    </w:rPr>
                  </w:pPr>
                  <w:r>
                    <w:rPr>
                      <w:szCs w:val="21"/>
                    </w:rPr>
                    <w:t>是</w:t>
                  </w:r>
                </w:p>
              </w:tc>
              <w:tc>
                <w:tcPr>
                  <w:tcW w:w="756" w:type="dxa"/>
                  <w:vAlign w:val="center"/>
                </w:tcPr>
                <w:p>
                  <w:pPr>
                    <w:jc w:val="center"/>
                    <w:rPr>
                      <w:szCs w:val="21"/>
                    </w:rPr>
                  </w:pPr>
                  <w:r>
                    <w:rPr>
                      <w:szCs w:val="21"/>
                    </w:rPr>
                    <w:t>泗县工业污水处理厂</w:t>
                  </w:r>
                </w:p>
              </w:tc>
              <w:tc>
                <w:tcPr>
                  <w:tcW w:w="947" w:type="dxa"/>
                  <w:vAlign w:val="center"/>
                </w:tcPr>
                <w:p>
                  <w:pPr>
                    <w:jc w:val="center"/>
                    <w:rPr>
                      <w:szCs w:val="21"/>
                    </w:rPr>
                  </w:pPr>
                  <w:r>
                    <w:rPr>
                      <w:szCs w:val="21"/>
                    </w:rPr>
                    <w:t>间接</w:t>
                  </w:r>
                </w:p>
              </w:tc>
              <w:tc>
                <w:tcPr>
                  <w:tcW w:w="1207" w:type="dxa"/>
                  <w:vAlign w:val="center"/>
                </w:tcPr>
                <w:p>
                  <w:pPr>
                    <w:jc w:val="center"/>
                    <w:rPr>
                      <w:szCs w:val="21"/>
                    </w:rPr>
                  </w:pPr>
                  <w:r>
                    <w:rPr>
                      <w:szCs w:val="21"/>
                    </w:rPr>
                    <w:t>DW001</w:t>
                  </w:r>
                </w:p>
              </w:tc>
              <w:tc>
                <w:tcPr>
                  <w:tcW w:w="1206" w:type="dxa"/>
                  <w:vAlign w:val="center"/>
                </w:tcPr>
                <w:p>
                  <w:pPr>
                    <w:jc w:val="center"/>
                    <w:rPr>
                      <w:szCs w:val="21"/>
                    </w:rPr>
                  </w:pPr>
                  <w:r>
                    <w:rPr>
                      <w:szCs w:val="21"/>
                    </w:rPr>
                    <w:t>一般排放口</w:t>
                  </w:r>
                  <w:r>
                    <w:rPr>
                      <w:rFonts w:hint="eastAsia"/>
                      <w:szCs w:val="21"/>
                    </w:rPr>
                    <w:t>-总排口</w:t>
                  </w:r>
                </w:p>
              </w:tc>
            </w:tr>
          </w:tbl>
          <w:p>
            <w:pPr>
              <w:spacing w:line="360" w:lineRule="auto"/>
              <w:ind w:firstLine="2650" w:firstLineChars="1100"/>
              <w:rPr>
                <w:b/>
                <w:bCs/>
                <w:sz w:val="24"/>
              </w:rPr>
            </w:pPr>
            <w:r>
              <w:rPr>
                <w:b/>
                <w:bCs/>
                <w:sz w:val="24"/>
              </w:rPr>
              <w:t>表4-</w:t>
            </w:r>
            <w:r>
              <w:rPr>
                <w:rFonts w:hint="eastAsia"/>
                <w:b/>
                <w:bCs/>
                <w:sz w:val="24"/>
              </w:rPr>
              <w:t>7</w:t>
            </w:r>
            <w:r>
              <w:rPr>
                <w:b/>
                <w:bCs/>
                <w:sz w:val="24"/>
              </w:rPr>
              <w:t xml:space="preserve">  排放口基本情况一览表</w:t>
            </w:r>
          </w:p>
          <w:tbl>
            <w:tblPr>
              <w:tblStyle w:val="23"/>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852"/>
              <w:gridCol w:w="184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557" w:type="dxa"/>
                  <w:vMerge w:val="restart"/>
                  <w:vAlign w:val="center"/>
                </w:tcPr>
                <w:p>
                  <w:pPr>
                    <w:jc w:val="center"/>
                    <w:rPr>
                      <w:b/>
                      <w:bCs/>
                      <w:szCs w:val="21"/>
                    </w:rPr>
                  </w:pPr>
                  <w:r>
                    <w:rPr>
                      <w:b/>
                      <w:bCs/>
                      <w:szCs w:val="21"/>
                    </w:rPr>
                    <w:t>排放口编号</w:t>
                  </w:r>
                </w:p>
              </w:tc>
              <w:tc>
                <w:tcPr>
                  <w:tcW w:w="3697" w:type="dxa"/>
                  <w:gridSpan w:val="2"/>
                  <w:vAlign w:val="center"/>
                </w:tcPr>
                <w:p>
                  <w:pPr>
                    <w:jc w:val="center"/>
                    <w:rPr>
                      <w:b/>
                      <w:bCs/>
                      <w:szCs w:val="21"/>
                    </w:rPr>
                  </w:pPr>
                  <w:r>
                    <w:rPr>
                      <w:b/>
                      <w:bCs/>
                      <w:szCs w:val="21"/>
                    </w:rPr>
                    <w:t>坐标</w:t>
                  </w:r>
                </w:p>
              </w:tc>
              <w:tc>
                <w:tcPr>
                  <w:tcW w:w="2498" w:type="dxa"/>
                  <w:vMerge w:val="restart"/>
                  <w:vAlign w:val="center"/>
                </w:tcPr>
                <w:p>
                  <w:pPr>
                    <w:jc w:val="center"/>
                    <w:rPr>
                      <w:b/>
                      <w:bCs/>
                      <w:szCs w:val="21"/>
                    </w:rPr>
                  </w:pPr>
                  <w:r>
                    <w:rPr>
                      <w:b/>
                      <w:bCs/>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7" w:type="dxa"/>
                  <w:vMerge w:val="continue"/>
                  <w:vAlign w:val="center"/>
                </w:tcPr>
                <w:p>
                  <w:pPr>
                    <w:jc w:val="center"/>
                    <w:rPr>
                      <w:b/>
                      <w:bCs/>
                      <w:szCs w:val="21"/>
                    </w:rPr>
                  </w:pPr>
                </w:p>
              </w:tc>
              <w:tc>
                <w:tcPr>
                  <w:tcW w:w="1852" w:type="dxa"/>
                  <w:vAlign w:val="center"/>
                </w:tcPr>
                <w:p>
                  <w:pPr>
                    <w:jc w:val="center"/>
                    <w:rPr>
                      <w:b/>
                      <w:bCs/>
                      <w:szCs w:val="21"/>
                    </w:rPr>
                  </w:pPr>
                  <w:r>
                    <w:rPr>
                      <w:b/>
                      <w:bCs/>
                      <w:szCs w:val="21"/>
                    </w:rPr>
                    <w:t>经度</w:t>
                  </w:r>
                </w:p>
              </w:tc>
              <w:tc>
                <w:tcPr>
                  <w:tcW w:w="1845" w:type="dxa"/>
                  <w:vAlign w:val="center"/>
                </w:tcPr>
                <w:p>
                  <w:pPr>
                    <w:jc w:val="center"/>
                    <w:rPr>
                      <w:b/>
                      <w:bCs/>
                      <w:szCs w:val="21"/>
                    </w:rPr>
                  </w:pPr>
                  <w:r>
                    <w:rPr>
                      <w:b/>
                      <w:bCs/>
                      <w:szCs w:val="21"/>
                    </w:rPr>
                    <w:t>纬度</w:t>
                  </w:r>
                </w:p>
              </w:tc>
              <w:tc>
                <w:tcPr>
                  <w:tcW w:w="2498"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jc w:val="center"/>
                    <w:rPr>
                      <w:szCs w:val="21"/>
                    </w:rPr>
                  </w:pPr>
                  <w:r>
                    <w:rPr>
                      <w:szCs w:val="21"/>
                    </w:rPr>
                    <w:t>DW001</w:t>
                  </w:r>
                </w:p>
              </w:tc>
              <w:tc>
                <w:tcPr>
                  <w:tcW w:w="185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117°5</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14.74</w:t>
                  </w:r>
                  <w:r>
                    <w:rPr>
                      <w:color w:val="000000" w:themeColor="text1"/>
                      <w:szCs w:val="21"/>
                      <w14:textFill>
                        <w14:solidFill>
                          <w14:schemeClr w14:val="tx1"/>
                        </w14:solidFill>
                      </w14:textFill>
                    </w:rPr>
                    <w:t>″</w:t>
                  </w:r>
                </w:p>
              </w:tc>
              <w:tc>
                <w:tcPr>
                  <w:tcW w:w="184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33°27′</w:t>
                  </w:r>
                  <w:r>
                    <w:rPr>
                      <w:rFonts w:hint="eastAsia"/>
                      <w:color w:val="000000" w:themeColor="text1"/>
                      <w:szCs w:val="21"/>
                      <w14:textFill>
                        <w14:solidFill>
                          <w14:schemeClr w14:val="tx1"/>
                        </w14:solidFill>
                      </w14:textFill>
                    </w:rPr>
                    <w:t>57.01</w:t>
                  </w:r>
                  <w:r>
                    <w:rPr>
                      <w:color w:val="000000" w:themeColor="text1"/>
                      <w:szCs w:val="21"/>
                      <w14:textFill>
                        <w14:solidFill>
                          <w14:schemeClr w14:val="tx1"/>
                        </w14:solidFill>
                      </w14:textFill>
                    </w:rPr>
                    <w:t>″</w:t>
                  </w:r>
                </w:p>
              </w:tc>
              <w:tc>
                <w:tcPr>
                  <w:tcW w:w="2498" w:type="dxa"/>
                  <w:vAlign w:val="center"/>
                </w:tcPr>
                <w:p>
                  <w:pPr>
                    <w:jc w:val="center"/>
                    <w:rPr>
                      <w:szCs w:val="21"/>
                    </w:rPr>
                  </w:pPr>
                  <w:r>
                    <w:rPr>
                      <w:szCs w:val="21"/>
                    </w:rPr>
                    <w:t>《污水综合排放标准》（GB8978-1996）中的三级标准</w:t>
                  </w:r>
                </w:p>
              </w:tc>
            </w:tr>
          </w:tbl>
          <w:p>
            <w:pPr>
              <w:spacing w:line="360" w:lineRule="auto"/>
              <w:ind w:firstLine="480" w:firstLineChars="200"/>
              <w:rPr>
                <w:rFonts w:ascii="宋体" w:hAnsi="宋体" w:cs="宋体"/>
                <w:sz w:val="24"/>
              </w:rPr>
            </w:pPr>
            <w:r>
              <w:rPr>
                <w:rFonts w:hint="eastAsia"/>
                <w:bCs/>
                <w:sz w:val="24"/>
              </w:rPr>
              <w:t>废</w:t>
            </w:r>
            <w:r>
              <w:rPr>
                <w:rFonts w:ascii="宋体" w:hAnsi="宋体" w:cs="宋体"/>
                <w:sz w:val="24"/>
              </w:rPr>
              <w:t>水</w:t>
            </w:r>
            <w:r>
              <w:rPr>
                <w:rFonts w:hint="eastAsia" w:ascii="宋体" w:hAnsi="宋体" w:cs="宋体"/>
                <w:sz w:val="24"/>
              </w:rPr>
              <w:t>自行监测方案</w:t>
            </w:r>
          </w:p>
          <w:p>
            <w:pPr>
              <w:spacing w:line="360" w:lineRule="auto"/>
              <w:ind w:firstLine="480" w:firstLineChars="200"/>
              <w:rPr>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项目废水</w:t>
            </w:r>
            <w:r>
              <w:rPr>
                <w:rFonts w:hint="eastAsia" w:ascii="宋体" w:hAnsi="宋体" w:cs="宋体"/>
                <w:color w:val="000000" w:themeColor="text1"/>
                <w:sz w:val="24"/>
                <w14:textFill>
                  <w14:solidFill>
                    <w14:schemeClr w14:val="tx1"/>
                  </w14:solidFill>
                </w14:textFill>
              </w:rPr>
              <w:t>监测</w:t>
            </w:r>
            <w:r>
              <w:rPr>
                <w:rFonts w:ascii="宋体" w:hAnsi="宋体" w:cs="宋体"/>
                <w:color w:val="000000" w:themeColor="text1"/>
                <w:sz w:val="24"/>
                <w14:textFill>
                  <w14:solidFill>
                    <w14:schemeClr w14:val="tx1"/>
                  </w14:solidFill>
                </w14:textFill>
              </w:rPr>
              <w:t>计划</w:t>
            </w:r>
            <w:r>
              <w:rPr>
                <w:color w:val="000000"/>
                <w:kern w:val="0"/>
                <w:sz w:val="24"/>
                <w:lang w:bidi="ar"/>
              </w:rPr>
              <w:t>根据《排污单位自行监测技术指南 总则》（HJ819-2017）</w:t>
            </w:r>
            <w:r>
              <w:rPr>
                <w:rFonts w:hint="eastAsia"/>
                <w:color w:val="000000"/>
                <w:kern w:val="0"/>
                <w:sz w:val="24"/>
                <w:lang w:bidi="ar"/>
              </w:rPr>
              <w:t>和</w:t>
            </w:r>
            <w:r>
              <w:rPr>
                <w:color w:val="000000"/>
                <w:kern w:val="0"/>
                <w:sz w:val="24"/>
                <w:lang w:bidi="ar"/>
              </w:rPr>
              <w:t>《</w:t>
            </w:r>
            <w:r>
              <w:rPr>
                <w:rFonts w:hint="eastAsia"/>
                <w:color w:val="000000"/>
                <w:kern w:val="0"/>
                <w:sz w:val="24"/>
                <w:lang w:bidi="ar"/>
              </w:rPr>
              <w:t>排污许可证申请与核发技术规范储油库、加油站</w:t>
            </w:r>
            <w:r>
              <w:rPr>
                <w:color w:val="000000"/>
                <w:kern w:val="0"/>
                <w:sz w:val="24"/>
                <w:lang w:bidi="ar"/>
              </w:rPr>
              <w:t>》（HJ 1118-2020）中相关要求</w:t>
            </w:r>
            <w:r>
              <w:rPr>
                <w:rFonts w:ascii="宋体" w:hAnsi="宋体" w:cs="宋体"/>
                <w:color w:val="000000" w:themeColor="text1"/>
                <w:sz w:val="24"/>
                <w14:textFill>
                  <w14:solidFill>
                    <w14:schemeClr w14:val="tx1"/>
                  </w14:solidFill>
                </w14:textFill>
              </w:rPr>
              <w:t>实施</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项目废</w:t>
            </w:r>
            <w:r>
              <w:rPr>
                <w:rFonts w:ascii="宋体" w:hAnsi="宋体" w:cs="宋体"/>
                <w:sz w:val="24"/>
              </w:rPr>
              <w:t>水</w:t>
            </w:r>
            <w:r>
              <w:rPr>
                <w:rFonts w:ascii="宋体" w:hAnsi="宋体" w:cs="宋体"/>
                <w:color w:val="000000" w:themeColor="text1"/>
                <w:sz w:val="24"/>
                <w14:textFill>
                  <w14:solidFill>
                    <w14:schemeClr w14:val="tx1"/>
                  </w14:solidFill>
                </w14:textFill>
              </w:rPr>
              <w:t>监测计划参照下表</w:t>
            </w:r>
          </w:p>
          <w:p>
            <w:pPr>
              <w:spacing w:line="360" w:lineRule="auto"/>
              <w:jc w:val="center"/>
              <w:rPr>
                <w:b/>
                <w:bCs/>
                <w:sz w:val="24"/>
              </w:rPr>
            </w:pPr>
            <w:r>
              <w:rPr>
                <w:b/>
                <w:bCs/>
                <w:sz w:val="24"/>
              </w:rPr>
              <w:t>表4-</w:t>
            </w:r>
            <w:r>
              <w:rPr>
                <w:rFonts w:hint="eastAsia"/>
                <w:b/>
                <w:bCs/>
                <w:sz w:val="24"/>
              </w:rPr>
              <w:t>8</w:t>
            </w:r>
            <w:r>
              <w:rPr>
                <w:b/>
                <w:bCs/>
                <w:sz w:val="24"/>
              </w:rPr>
              <w:t xml:space="preserve">  废</w:t>
            </w:r>
            <w:r>
              <w:rPr>
                <w:rFonts w:ascii="宋体" w:hAnsi="宋体" w:cs="宋体"/>
                <w:b/>
                <w:bCs/>
                <w:sz w:val="24"/>
              </w:rPr>
              <w:t>水</w:t>
            </w:r>
            <w:r>
              <w:rPr>
                <w:b/>
                <w:bCs/>
                <w:sz w:val="24"/>
              </w:rPr>
              <w:t>监测一览表</w:t>
            </w:r>
          </w:p>
          <w:tbl>
            <w:tblPr>
              <w:tblStyle w:val="23"/>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83"/>
              <w:gridCol w:w="1022"/>
              <w:gridCol w:w="1251"/>
              <w:gridCol w:w="1282"/>
              <w:gridCol w:w="84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b/>
                      <w:bCs/>
                      <w:szCs w:val="21"/>
                    </w:rPr>
                  </w:pPr>
                  <w:r>
                    <w:rPr>
                      <w:rFonts w:hint="eastAsia"/>
                      <w:b/>
                      <w:bCs/>
                      <w:szCs w:val="21"/>
                    </w:rPr>
                    <w:t>序号</w:t>
                  </w:r>
                </w:p>
              </w:tc>
              <w:tc>
                <w:tcPr>
                  <w:tcW w:w="983" w:type="dxa"/>
                  <w:vAlign w:val="center"/>
                </w:tcPr>
                <w:p>
                  <w:pPr>
                    <w:jc w:val="center"/>
                    <w:rPr>
                      <w:b/>
                      <w:bCs/>
                      <w:szCs w:val="21"/>
                    </w:rPr>
                  </w:pPr>
                  <w:r>
                    <w:rPr>
                      <w:rFonts w:hint="eastAsia"/>
                      <w:b/>
                      <w:bCs/>
                      <w:szCs w:val="21"/>
                    </w:rPr>
                    <w:t>监测位置</w:t>
                  </w:r>
                </w:p>
              </w:tc>
              <w:tc>
                <w:tcPr>
                  <w:tcW w:w="1022" w:type="dxa"/>
                  <w:vAlign w:val="center"/>
                </w:tcPr>
                <w:p>
                  <w:pPr>
                    <w:jc w:val="center"/>
                    <w:rPr>
                      <w:b/>
                      <w:bCs/>
                      <w:szCs w:val="21"/>
                    </w:rPr>
                  </w:pPr>
                  <w:r>
                    <w:rPr>
                      <w:b/>
                      <w:bCs/>
                      <w:szCs w:val="21"/>
                    </w:rPr>
                    <w:t>监测内容</w:t>
                  </w:r>
                </w:p>
              </w:tc>
              <w:tc>
                <w:tcPr>
                  <w:tcW w:w="1251" w:type="dxa"/>
                  <w:vAlign w:val="center"/>
                </w:tcPr>
                <w:p>
                  <w:pPr>
                    <w:jc w:val="center"/>
                    <w:rPr>
                      <w:b/>
                      <w:bCs/>
                      <w:szCs w:val="21"/>
                    </w:rPr>
                  </w:pPr>
                  <w:r>
                    <w:rPr>
                      <w:b/>
                      <w:bCs/>
                      <w:szCs w:val="21"/>
                    </w:rPr>
                    <w:t>污染物名称</w:t>
                  </w:r>
                </w:p>
              </w:tc>
              <w:tc>
                <w:tcPr>
                  <w:tcW w:w="1282" w:type="dxa"/>
                  <w:vAlign w:val="center"/>
                </w:tcPr>
                <w:p>
                  <w:pPr>
                    <w:jc w:val="center"/>
                    <w:rPr>
                      <w:b/>
                      <w:bCs/>
                      <w:szCs w:val="21"/>
                    </w:rPr>
                  </w:pPr>
                  <w:r>
                    <w:rPr>
                      <w:b/>
                      <w:bCs/>
                      <w:szCs w:val="21"/>
                    </w:rPr>
                    <w:t>手工监测采样方法及个数</w:t>
                  </w:r>
                </w:p>
              </w:tc>
              <w:tc>
                <w:tcPr>
                  <w:tcW w:w="848" w:type="dxa"/>
                  <w:vAlign w:val="center"/>
                </w:tcPr>
                <w:p>
                  <w:pPr>
                    <w:jc w:val="center"/>
                    <w:rPr>
                      <w:b/>
                      <w:bCs/>
                      <w:szCs w:val="21"/>
                    </w:rPr>
                  </w:pPr>
                  <w:r>
                    <w:rPr>
                      <w:b/>
                      <w:bCs/>
                      <w:szCs w:val="21"/>
                    </w:rPr>
                    <w:t>监测频次</w:t>
                  </w:r>
                </w:p>
              </w:tc>
              <w:tc>
                <w:tcPr>
                  <w:tcW w:w="1815" w:type="dxa"/>
                  <w:vAlign w:val="center"/>
                </w:tcPr>
                <w:p>
                  <w:pPr>
                    <w:jc w:val="center"/>
                    <w:rPr>
                      <w:b/>
                      <w:bCs/>
                      <w:szCs w:val="21"/>
                    </w:rPr>
                  </w:pPr>
                  <w:r>
                    <w:rPr>
                      <w:b/>
                      <w:bCs/>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pPr>
                  <w:r>
                    <w:rPr>
                      <w:rFonts w:hint="eastAsia"/>
                      <w:szCs w:val="21"/>
                    </w:rPr>
                    <w:t>1</w:t>
                  </w:r>
                </w:p>
              </w:tc>
              <w:tc>
                <w:tcPr>
                  <w:tcW w:w="983" w:type="dxa"/>
                  <w:vMerge w:val="restart"/>
                  <w:vAlign w:val="center"/>
                </w:tcPr>
                <w:p>
                  <w:pPr>
                    <w:jc w:val="center"/>
                  </w:pPr>
                  <w:r>
                    <w:rPr>
                      <w:rFonts w:hint="eastAsia"/>
                      <w:sz w:val="22"/>
                      <w:szCs w:val="20"/>
                    </w:rPr>
                    <w:t>D</w:t>
                  </w:r>
                  <w:r>
                    <w:rPr>
                      <w:szCs w:val="21"/>
                    </w:rPr>
                    <w:t>W</w:t>
                  </w:r>
                  <w:r>
                    <w:rPr>
                      <w:rFonts w:hint="eastAsia"/>
                      <w:sz w:val="22"/>
                      <w:szCs w:val="20"/>
                    </w:rPr>
                    <w:t>001</w:t>
                  </w:r>
                </w:p>
              </w:tc>
              <w:tc>
                <w:tcPr>
                  <w:tcW w:w="1022" w:type="dxa"/>
                  <w:vMerge w:val="restart"/>
                  <w:vAlign w:val="center"/>
                </w:tcPr>
                <w:p>
                  <w:pPr>
                    <w:adjustRightInd w:val="0"/>
                    <w:snapToGrid w:val="0"/>
                    <w:jc w:val="center"/>
                    <w:rPr>
                      <w:szCs w:val="21"/>
                    </w:rPr>
                  </w:pPr>
                  <w:r>
                    <w:rPr>
                      <w:szCs w:val="21"/>
                    </w:rPr>
                    <w:t>流量</w:t>
                  </w:r>
                </w:p>
              </w:tc>
              <w:tc>
                <w:tcPr>
                  <w:tcW w:w="1251" w:type="dxa"/>
                  <w:vAlign w:val="center"/>
                </w:tcPr>
                <w:p>
                  <w:pPr>
                    <w:adjustRightInd w:val="0"/>
                    <w:snapToGrid w:val="0"/>
                    <w:jc w:val="center"/>
                  </w:pPr>
                  <w:r>
                    <w:rPr>
                      <w:rFonts w:hint="eastAsia"/>
                      <w:szCs w:val="21"/>
                    </w:rPr>
                    <w:t>pH</w:t>
                  </w:r>
                </w:p>
              </w:tc>
              <w:tc>
                <w:tcPr>
                  <w:tcW w:w="1282" w:type="dxa"/>
                  <w:vMerge w:val="restart"/>
                  <w:vAlign w:val="center"/>
                </w:tcPr>
                <w:p>
                  <w:pPr>
                    <w:adjustRightInd w:val="0"/>
                    <w:snapToGrid w:val="0"/>
                    <w:jc w:val="center"/>
                    <w:rPr>
                      <w:szCs w:val="21"/>
                    </w:rPr>
                  </w:pPr>
                  <w:r>
                    <w:rPr>
                      <w:szCs w:val="21"/>
                    </w:rPr>
                    <w:t>瞬时采样至少</w:t>
                  </w:r>
                  <w:r>
                    <w:rPr>
                      <w:rFonts w:hint="eastAsia"/>
                      <w:szCs w:val="21"/>
                    </w:rPr>
                    <w:t>3</w:t>
                  </w:r>
                  <w:r>
                    <w:rPr>
                      <w:szCs w:val="21"/>
                    </w:rPr>
                    <w:t>个瞬时样</w:t>
                  </w:r>
                </w:p>
              </w:tc>
              <w:tc>
                <w:tcPr>
                  <w:tcW w:w="848" w:type="dxa"/>
                  <w:vMerge w:val="restart"/>
                  <w:vAlign w:val="center"/>
                </w:tcPr>
                <w:p>
                  <w:pPr>
                    <w:adjustRightInd w:val="0"/>
                    <w:snapToGrid w:val="0"/>
                    <w:jc w:val="center"/>
                    <w:rPr>
                      <w:szCs w:val="21"/>
                    </w:rPr>
                  </w:pPr>
                  <w:r>
                    <w:rPr>
                      <w:rFonts w:hint="eastAsia"/>
                      <w:szCs w:val="21"/>
                    </w:rPr>
                    <w:t>1次/年</w:t>
                  </w:r>
                </w:p>
              </w:tc>
              <w:tc>
                <w:tcPr>
                  <w:tcW w:w="1815" w:type="dxa"/>
                  <w:vAlign w:val="center"/>
                </w:tcPr>
                <w:p>
                  <w:pPr>
                    <w:adjustRightInd w:val="0"/>
                    <w:snapToGrid w:val="0"/>
                    <w:jc w:val="center"/>
                    <w:rPr>
                      <w:szCs w:val="21"/>
                    </w:rPr>
                  </w:pPr>
                  <w:r>
                    <w:rPr>
                      <w:szCs w:val="21"/>
                    </w:rPr>
                    <w:t>水质pH值的测定玻璃电极法GB6920-1986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szCs w:val="21"/>
                    </w:rPr>
                  </w:pPr>
                  <w:r>
                    <w:rPr>
                      <w:rFonts w:hint="eastAsia"/>
                      <w:szCs w:val="21"/>
                    </w:rPr>
                    <w:t>2</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Cs w:val="21"/>
                    </w:rPr>
                  </w:pPr>
                </w:p>
              </w:tc>
              <w:tc>
                <w:tcPr>
                  <w:tcW w:w="1251" w:type="dxa"/>
                  <w:vAlign w:val="center"/>
                </w:tcPr>
                <w:p>
                  <w:pPr>
                    <w:adjustRightInd w:val="0"/>
                    <w:snapToGrid w:val="0"/>
                    <w:jc w:val="center"/>
                    <w:rPr>
                      <w:szCs w:val="21"/>
                    </w:rPr>
                  </w:pPr>
                  <w:r>
                    <w:rPr>
                      <w:rFonts w:hint="eastAsia"/>
                      <w:szCs w:val="21"/>
                    </w:rPr>
                    <w:t>COD</w:t>
                  </w:r>
                </w:p>
              </w:tc>
              <w:tc>
                <w:tcPr>
                  <w:tcW w:w="1282" w:type="dxa"/>
                  <w:vMerge w:val="continue"/>
                  <w:vAlign w:val="center"/>
                </w:tcPr>
                <w:p>
                  <w:pPr>
                    <w:adjustRightInd w:val="0"/>
                    <w:snapToGrid w:val="0"/>
                    <w:jc w:val="center"/>
                    <w:rPr>
                      <w:szCs w:val="21"/>
                    </w:rPr>
                  </w:pPr>
                </w:p>
              </w:tc>
              <w:tc>
                <w:tcPr>
                  <w:tcW w:w="848" w:type="dxa"/>
                  <w:vMerge w:val="continue"/>
                  <w:vAlign w:val="center"/>
                </w:tcPr>
                <w:p>
                  <w:pPr>
                    <w:adjustRightInd w:val="0"/>
                    <w:snapToGrid w:val="0"/>
                    <w:jc w:val="center"/>
                    <w:rPr>
                      <w:szCs w:val="21"/>
                    </w:rPr>
                  </w:pPr>
                </w:p>
              </w:tc>
              <w:tc>
                <w:tcPr>
                  <w:tcW w:w="1815" w:type="dxa"/>
                  <w:vAlign w:val="center"/>
                </w:tcPr>
                <w:p>
                  <w:pPr>
                    <w:adjustRightInd w:val="0"/>
                    <w:snapToGrid w:val="0"/>
                    <w:jc w:val="center"/>
                    <w:rPr>
                      <w:szCs w:val="21"/>
                    </w:rPr>
                  </w:pPr>
                  <w:r>
                    <w:rPr>
                      <w:szCs w:val="21"/>
                    </w:rPr>
                    <w:t>水质化学需氧量的测定快速消解分光光度法HJ/T3</w:t>
                  </w:r>
                  <w:r>
                    <w:rPr>
                      <w:rFonts w:hint="eastAsia"/>
                      <w:szCs w:val="21"/>
                    </w:rPr>
                    <w:t>99</w:t>
                  </w:r>
                  <w:r>
                    <w:rPr>
                      <w:szCs w:val="21"/>
                    </w:rPr>
                    <w:t>-</w:t>
                  </w:r>
                  <w:r>
                    <w:rPr>
                      <w:rFonts w:hint="eastAsia"/>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szCs w:val="21"/>
                    </w:rPr>
                  </w:pPr>
                  <w:r>
                    <w:rPr>
                      <w:rFonts w:hint="eastAsia"/>
                      <w:szCs w:val="21"/>
                    </w:rPr>
                    <w:t>3</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Cs w:val="21"/>
                    </w:rPr>
                  </w:pPr>
                </w:p>
              </w:tc>
              <w:tc>
                <w:tcPr>
                  <w:tcW w:w="1251" w:type="dxa"/>
                  <w:vAlign w:val="center"/>
                </w:tcPr>
                <w:p>
                  <w:pPr>
                    <w:adjustRightInd w:val="0"/>
                    <w:snapToGrid w:val="0"/>
                    <w:jc w:val="center"/>
                    <w:rPr>
                      <w:szCs w:val="21"/>
                    </w:rPr>
                  </w:pPr>
                  <w:r>
                    <w:rPr>
                      <w:bCs/>
                      <w:snapToGrid w:val="0"/>
                      <w:kern w:val="0"/>
                      <w:szCs w:val="21"/>
                    </w:rPr>
                    <w:t>NH</w:t>
                  </w:r>
                  <w:r>
                    <w:rPr>
                      <w:bCs/>
                      <w:snapToGrid w:val="0"/>
                      <w:kern w:val="0"/>
                      <w:szCs w:val="21"/>
                      <w:vertAlign w:val="subscript"/>
                    </w:rPr>
                    <w:t>3</w:t>
                  </w:r>
                  <w:r>
                    <w:rPr>
                      <w:bCs/>
                      <w:snapToGrid w:val="0"/>
                      <w:kern w:val="0"/>
                      <w:szCs w:val="21"/>
                    </w:rPr>
                    <w:t>-N</w:t>
                  </w:r>
                </w:p>
              </w:tc>
              <w:tc>
                <w:tcPr>
                  <w:tcW w:w="1282" w:type="dxa"/>
                  <w:vMerge w:val="continue"/>
                  <w:vAlign w:val="center"/>
                </w:tcPr>
                <w:p>
                  <w:pPr>
                    <w:adjustRightInd w:val="0"/>
                    <w:snapToGrid w:val="0"/>
                    <w:jc w:val="center"/>
                    <w:rPr>
                      <w:szCs w:val="21"/>
                    </w:rPr>
                  </w:pPr>
                </w:p>
              </w:tc>
              <w:tc>
                <w:tcPr>
                  <w:tcW w:w="848" w:type="dxa"/>
                  <w:vMerge w:val="continue"/>
                  <w:vAlign w:val="center"/>
                </w:tcPr>
                <w:p>
                  <w:pPr>
                    <w:adjustRightInd w:val="0"/>
                    <w:snapToGrid w:val="0"/>
                    <w:jc w:val="center"/>
                    <w:rPr>
                      <w:szCs w:val="21"/>
                    </w:rPr>
                  </w:pPr>
                </w:p>
              </w:tc>
              <w:tc>
                <w:tcPr>
                  <w:tcW w:w="1815" w:type="dxa"/>
                  <w:vAlign w:val="center"/>
                </w:tcPr>
                <w:p>
                  <w:pPr>
                    <w:adjustRightInd w:val="0"/>
                    <w:snapToGrid w:val="0"/>
                    <w:jc w:val="center"/>
                    <w:rPr>
                      <w:szCs w:val="21"/>
                    </w:rPr>
                  </w:pPr>
                  <w:r>
                    <w:rPr>
                      <w:szCs w:val="21"/>
                    </w:rPr>
                    <w:t>水质悬浮物的测定重量法GB11901-1989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szCs w:val="21"/>
                    </w:rPr>
                  </w:pPr>
                  <w:r>
                    <w:rPr>
                      <w:rFonts w:hint="eastAsia"/>
                      <w:szCs w:val="21"/>
                    </w:rPr>
                    <w:t>4</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Cs w:val="21"/>
                    </w:rPr>
                  </w:pPr>
                </w:p>
              </w:tc>
              <w:tc>
                <w:tcPr>
                  <w:tcW w:w="1251" w:type="dxa"/>
                  <w:vAlign w:val="center"/>
                </w:tcPr>
                <w:p>
                  <w:pPr>
                    <w:adjustRightInd w:val="0"/>
                    <w:snapToGrid w:val="0"/>
                    <w:jc w:val="center"/>
                    <w:rPr>
                      <w:szCs w:val="21"/>
                    </w:rPr>
                  </w:pPr>
                  <w:r>
                    <w:rPr>
                      <w:rFonts w:hint="eastAsia"/>
                      <w:szCs w:val="21"/>
                    </w:rPr>
                    <w:t>SS</w:t>
                  </w:r>
                </w:p>
              </w:tc>
              <w:tc>
                <w:tcPr>
                  <w:tcW w:w="1282" w:type="dxa"/>
                  <w:vMerge w:val="continue"/>
                  <w:vAlign w:val="center"/>
                </w:tcPr>
                <w:p>
                  <w:pPr>
                    <w:adjustRightInd w:val="0"/>
                    <w:snapToGrid w:val="0"/>
                    <w:jc w:val="center"/>
                    <w:rPr>
                      <w:szCs w:val="21"/>
                    </w:rPr>
                  </w:pPr>
                </w:p>
              </w:tc>
              <w:tc>
                <w:tcPr>
                  <w:tcW w:w="848" w:type="dxa"/>
                  <w:vMerge w:val="continue"/>
                  <w:vAlign w:val="center"/>
                </w:tcPr>
                <w:p>
                  <w:pPr>
                    <w:adjustRightInd w:val="0"/>
                    <w:snapToGrid w:val="0"/>
                    <w:jc w:val="center"/>
                    <w:rPr>
                      <w:szCs w:val="21"/>
                    </w:rPr>
                  </w:pPr>
                </w:p>
              </w:tc>
              <w:tc>
                <w:tcPr>
                  <w:tcW w:w="1815" w:type="dxa"/>
                  <w:vAlign w:val="center"/>
                </w:tcPr>
                <w:p>
                  <w:pPr>
                    <w:adjustRightInd w:val="0"/>
                    <w:snapToGrid w:val="0"/>
                    <w:jc w:val="center"/>
                    <w:rPr>
                      <w:szCs w:val="21"/>
                    </w:rPr>
                  </w:pPr>
                  <w:r>
                    <w:rPr>
                      <w:szCs w:val="21"/>
                    </w:rPr>
                    <w:t>水质5日生化需氧量的测定稀释与接种法HJ505-2009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szCs w:val="21"/>
                    </w:rPr>
                  </w:pPr>
                  <w:r>
                    <w:rPr>
                      <w:rFonts w:hint="eastAsia"/>
                      <w:szCs w:val="21"/>
                    </w:rPr>
                    <w:t>5</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Cs w:val="21"/>
                    </w:rPr>
                  </w:pPr>
                </w:p>
              </w:tc>
              <w:tc>
                <w:tcPr>
                  <w:tcW w:w="1251" w:type="dxa"/>
                  <w:vAlign w:val="center"/>
                </w:tcPr>
                <w:p>
                  <w:pPr>
                    <w:adjustRightInd w:val="0"/>
                    <w:snapToGrid w:val="0"/>
                    <w:jc w:val="center"/>
                    <w:rPr>
                      <w:szCs w:val="21"/>
                    </w:rPr>
                  </w:pPr>
                  <w:r>
                    <w:rPr>
                      <w:rFonts w:hint="eastAsia"/>
                      <w:szCs w:val="21"/>
                    </w:rPr>
                    <w:t>BOD</w:t>
                  </w:r>
                  <w:r>
                    <w:rPr>
                      <w:rFonts w:hint="eastAsia"/>
                      <w:szCs w:val="21"/>
                      <w:vertAlign w:val="subscript"/>
                    </w:rPr>
                    <w:t>5</w:t>
                  </w:r>
                </w:p>
              </w:tc>
              <w:tc>
                <w:tcPr>
                  <w:tcW w:w="1282" w:type="dxa"/>
                  <w:vMerge w:val="continue"/>
                  <w:vAlign w:val="center"/>
                </w:tcPr>
                <w:p>
                  <w:pPr>
                    <w:adjustRightInd w:val="0"/>
                    <w:snapToGrid w:val="0"/>
                    <w:jc w:val="center"/>
                    <w:rPr>
                      <w:szCs w:val="21"/>
                    </w:rPr>
                  </w:pPr>
                </w:p>
              </w:tc>
              <w:tc>
                <w:tcPr>
                  <w:tcW w:w="848" w:type="dxa"/>
                  <w:vMerge w:val="continue"/>
                  <w:vAlign w:val="center"/>
                </w:tcPr>
                <w:p>
                  <w:pPr>
                    <w:adjustRightInd w:val="0"/>
                    <w:snapToGrid w:val="0"/>
                    <w:jc w:val="center"/>
                    <w:rPr>
                      <w:szCs w:val="21"/>
                    </w:rPr>
                  </w:pPr>
                </w:p>
              </w:tc>
              <w:tc>
                <w:tcPr>
                  <w:tcW w:w="1815" w:type="dxa"/>
                  <w:vAlign w:val="center"/>
                </w:tcPr>
                <w:p>
                  <w:pPr>
                    <w:adjustRightInd w:val="0"/>
                    <w:snapToGrid w:val="0"/>
                    <w:jc w:val="center"/>
                    <w:rPr>
                      <w:szCs w:val="21"/>
                    </w:rPr>
                  </w:pPr>
                  <w:r>
                    <w:rPr>
                      <w:szCs w:val="21"/>
                    </w:rPr>
                    <w:t>水质氨氮的测定流动注射水杨酸分光光度法HJ666-2013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rFonts w:hint="eastAsia" w:eastAsia="宋体"/>
                      <w:szCs w:val="21"/>
                      <w:lang w:val="en-US" w:eastAsia="zh-CN"/>
                    </w:rPr>
                  </w:pPr>
                  <w:r>
                    <w:rPr>
                      <w:rFonts w:hint="eastAsia"/>
                      <w:szCs w:val="21"/>
                      <w:lang w:val="en-US" w:eastAsia="zh-CN"/>
                    </w:rPr>
                    <w:t>6</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Cs w:val="21"/>
                    </w:rPr>
                  </w:pPr>
                </w:p>
              </w:tc>
              <w:tc>
                <w:tcPr>
                  <w:tcW w:w="1251" w:type="dxa"/>
                  <w:vAlign w:val="center"/>
                </w:tcPr>
                <w:p>
                  <w:pPr>
                    <w:adjustRightInd w:val="0"/>
                    <w:snapToGrid w:val="0"/>
                    <w:jc w:val="center"/>
                    <w:rPr>
                      <w:rFonts w:hint="eastAsia"/>
                      <w:szCs w:val="21"/>
                    </w:rPr>
                  </w:pPr>
                  <w:r>
                    <w:rPr>
                      <w:rFonts w:hint="eastAsia"/>
                      <w:szCs w:val="21"/>
                    </w:rPr>
                    <w:t>石油类</w:t>
                  </w:r>
                </w:p>
              </w:tc>
              <w:tc>
                <w:tcPr>
                  <w:tcW w:w="1282" w:type="dxa"/>
                  <w:vMerge w:val="continue"/>
                  <w:vAlign w:val="center"/>
                </w:tcPr>
                <w:p>
                  <w:pPr>
                    <w:adjustRightInd w:val="0"/>
                    <w:snapToGrid w:val="0"/>
                    <w:jc w:val="center"/>
                    <w:rPr>
                      <w:szCs w:val="21"/>
                    </w:rPr>
                  </w:pPr>
                </w:p>
              </w:tc>
              <w:tc>
                <w:tcPr>
                  <w:tcW w:w="848" w:type="dxa"/>
                  <w:vMerge w:val="continue"/>
                  <w:vAlign w:val="center"/>
                </w:tcPr>
                <w:p>
                  <w:pPr>
                    <w:adjustRightInd w:val="0"/>
                    <w:snapToGrid w:val="0"/>
                    <w:jc w:val="center"/>
                    <w:rPr>
                      <w:szCs w:val="21"/>
                    </w:rPr>
                  </w:pPr>
                </w:p>
              </w:tc>
              <w:tc>
                <w:tcPr>
                  <w:tcW w:w="1815" w:type="dxa"/>
                  <w:vAlign w:val="center"/>
                </w:tcPr>
                <w:p>
                  <w:pPr>
                    <w:adjustRightInd w:val="0"/>
                    <w:snapToGrid w:val="0"/>
                    <w:jc w:val="center"/>
                    <w:rPr>
                      <w:szCs w:val="21"/>
                    </w:rPr>
                  </w:pPr>
                  <w:r>
                    <w:rPr>
                      <w:rFonts w:hint="eastAsia"/>
                      <w:szCs w:val="21"/>
                    </w:rPr>
                    <w:t>水质石油类的测定紫外分光光度法HJ970</w:t>
                  </w:r>
                  <w:r>
                    <w:rPr>
                      <w:rFonts w:hint="eastAsia"/>
                      <w:szCs w:val="21"/>
                      <w:lang w:val="en-US" w:eastAsia="zh-CN"/>
                    </w:rPr>
                    <w:t>-</w:t>
                  </w:r>
                  <w:r>
                    <w:rPr>
                      <w:rFonts w:hint="eastAsia"/>
                      <w:szCs w:val="21"/>
                    </w:rPr>
                    <w:t>2018</w:t>
                  </w:r>
                </w:p>
              </w:tc>
            </w:tr>
          </w:tbl>
          <w:p>
            <w:pPr>
              <w:spacing w:line="360" w:lineRule="auto"/>
              <w:ind w:firstLine="1205" w:firstLineChars="500"/>
              <w:rPr>
                <w:b/>
                <w:sz w:val="24"/>
              </w:rPr>
            </w:pPr>
            <w:r>
              <w:rPr>
                <w:rFonts w:hint="eastAsia"/>
                <w:b/>
                <w:sz w:val="24"/>
              </w:rPr>
              <w:t>表4-9  建设项目运营期水污染物产生及排放情况表</w:t>
            </w:r>
          </w:p>
          <w:tbl>
            <w:tblPr>
              <w:tblStyle w:val="24"/>
              <w:tblW w:w="7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76"/>
              <w:gridCol w:w="865"/>
              <w:gridCol w:w="591"/>
              <w:gridCol w:w="939"/>
              <w:gridCol w:w="892"/>
              <w:gridCol w:w="848"/>
              <w:gridCol w:w="84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2" w:type="dxa"/>
                  <w:gridSpan w:val="2"/>
                  <w:vAlign w:val="center"/>
                </w:tcPr>
                <w:p>
                  <w:pPr>
                    <w:adjustRightInd w:val="0"/>
                    <w:snapToGrid w:val="0"/>
                    <w:jc w:val="center"/>
                    <w:rPr>
                      <w:b/>
                      <w:szCs w:val="21"/>
                    </w:rPr>
                  </w:pPr>
                  <w:r>
                    <w:rPr>
                      <w:rFonts w:hint="eastAsia"/>
                      <w:b/>
                      <w:bCs/>
                      <w:szCs w:val="21"/>
                    </w:rPr>
                    <w:t>污染物项目</w:t>
                  </w:r>
                </w:p>
              </w:tc>
              <w:tc>
                <w:tcPr>
                  <w:tcW w:w="865" w:type="dxa"/>
                  <w:vAlign w:val="center"/>
                </w:tcPr>
                <w:p>
                  <w:pPr>
                    <w:adjustRightInd w:val="0"/>
                    <w:snapToGrid w:val="0"/>
                    <w:jc w:val="center"/>
                    <w:rPr>
                      <w:b/>
                      <w:szCs w:val="21"/>
                    </w:rPr>
                  </w:pPr>
                  <w:r>
                    <w:rPr>
                      <w:rFonts w:hint="eastAsia"/>
                      <w:b/>
                      <w:bCs/>
                      <w:szCs w:val="21"/>
                    </w:rPr>
                    <w:t>废水量（t/a）</w:t>
                  </w:r>
                </w:p>
              </w:tc>
              <w:tc>
                <w:tcPr>
                  <w:tcW w:w="591" w:type="dxa"/>
                  <w:vAlign w:val="center"/>
                </w:tcPr>
                <w:p>
                  <w:pPr>
                    <w:adjustRightInd w:val="0"/>
                    <w:snapToGrid w:val="0"/>
                    <w:jc w:val="center"/>
                    <w:rPr>
                      <w:b/>
                      <w:szCs w:val="21"/>
                    </w:rPr>
                  </w:pPr>
                  <w:r>
                    <w:rPr>
                      <w:rFonts w:hint="eastAsia"/>
                      <w:b/>
                      <w:bCs/>
                      <w:szCs w:val="21"/>
                    </w:rPr>
                    <w:t>pH</w:t>
                  </w:r>
                </w:p>
              </w:tc>
              <w:tc>
                <w:tcPr>
                  <w:tcW w:w="939" w:type="dxa"/>
                  <w:vAlign w:val="center"/>
                </w:tcPr>
                <w:p>
                  <w:pPr>
                    <w:adjustRightInd w:val="0"/>
                    <w:snapToGrid w:val="0"/>
                    <w:jc w:val="center"/>
                    <w:rPr>
                      <w:b/>
                      <w:szCs w:val="21"/>
                    </w:rPr>
                  </w:pPr>
                  <w:r>
                    <w:rPr>
                      <w:rFonts w:hint="eastAsia"/>
                      <w:b/>
                      <w:bCs/>
                      <w:szCs w:val="21"/>
                    </w:rPr>
                    <w:t>COD</w:t>
                  </w:r>
                </w:p>
              </w:tc>
              <w:tc>
                <w:tcPr>
                  <w:tcW w:w="892" w:type="dxa"/>
                  <w:vAlign w:val="center"/>
                </w:tcPr>
                <w:p>
                  <w:pPr>
                    <w:adjustRightInd w:val="0"/>
                    <w:snapToGrid w:val="0"/>
                    <w:jc w:val="center"/>
                    <w:rPr>
                      <w:b/>
                      <w:szCs w:val="21"/>
                    </w:rPr>
                  </w:pPr>
                  <w:r>
                    <w:rPr>
                      <w:rFonts w:hint="eastAsia"/>
                      <w:b/>
                      <w:bCs/>
                      <w:szCs w:val="21"/>
                    </w:rPr>
                    <w:t>BOD</w:t>
                  </w:r>
                  <w:r>
                    <w:rPr>
                      <w:rFonts w:hint="eastAsia"/>
                      <w:b/>
                      <w:bCs/>
                      <w:szCs w:val="21"/>
                      <w:vertAlign w:val="subscript"/>
                    </w:rPr>
                    <w:t>5</w:t>
                  </w:r>
                </w:p>
              </w:tc>
              <w:tc>
                <w:tcPr>
                  <w:tcW w:w="848" w:type="dxa"/>
                  <w:vAlign w:val="center"/>
                </w:tcPr>
                <w:p>
                  <w:pPr>
                    <w:adjustRightInd w:val="0"/>
                    <w:snapToGrid w:val="0"/>
                    <w:jc w:val="center"/>
                    <w:rPr>
                      <w:b/>
                      <w:szCs w:val="21"/>
                    </w:rPr>
                  </w:pPr>
                  <w:r>
                    <w:rPr>
                      <w:rFonts w:hint="eastAsia"/>
                      <w:b/>
                      <w:bCs/>
                      <w:szCs w:val="21"/>
                    </w:rPr>
                    <w:t>SS</w:t>
                  </w:r>
                </w:p>
              </w:tc>
              <w:tc>
                <w:tcPr>
                  <w:tcW w:w="843" w:type="dxa"/>
                  <w:vAlign w:val="center"/>
                </w:tcPr>
                <w:p>
                  <w:pPr>
                    <w:adjustRightInd w:val="0"/>
                    <w:snapToGrid w:val="0"/>
                    <w:jc w:val="center"/>
                    <w:rPr>
                      <w:b/>
                      <w:szCs w:val="21"/>
                    </w:rPr>
                  </w:pPr>
                  <w:r>
                    <w:rPr>
                      <w:rFonts w:hint="eastAsia"/>
                      <w:b/>
                      <w:bCs/>
                      <w:szCs w:val="21"/>
                    </w:rPr>
                    <w:t>NH</w:t>
                  </w:r>
                  <w:r>
                    <w:rPr>
                      <w:rFonts w:hint="eastAsia"/>
                      <w:b/>
                      <w:bCs/>
                      <w:szCs w:val="21"/>
                      <w:vertAlign w:val="subscript"/>
                    </w:rPr>
                    <w:t>3</w:t>
                  </w:r>
                  <w:r>
                    <w:rPr>
                      <w:rFonts w:hint="eastAsia"/>
                      <w:b/>
                      <w:bCs/>
                      <w:szCs w:val="21"/>
                    </w:rPr>
                    <w:t>-N</w:t>
                  </w:r>
                </w:p>
              </w:tc>
              <w:tc>
                <w:tcPr>
                  <w:tcW w:w="843" w:type="dxa"/>
                  <w:vAlign w:val="center"/>
                </w:tcPr>
                <w:p>
                  <w:pPr>
                    <w:adjustRightInd w:val="0"/>
                    <w:snapToGrid w:val="0"/>
                    <w:jc w:val="center"/>
                    <w:rPr>
                      <w:rFonts w:hint="eastAsia"/>
                      <w:b/>
                      <w:bCs/>
                      <w:szCs w:val="21"/>
                    </w:rPr>
                  </w:pPr>
                  <w:r>
                    <w:rPr>
                      <w:rFonts w:hint="eastAsia"/>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jc w:val="center"/>
                    <w:rPr>
                      <w:bCs/>
                      <w:szCs w:val="21"/>
                    </w:rPr>
                  </w:pPr>
                  <w:r>
                    <w:rPr>
                      <w:rFonts w:hint="eastAsia"/>
                      <w:bCs/>
                      <w:szCs w:val="21"/>
                    </w:rPr>
                    <w:t>生活污水</w:t>
                  </w:r>
                </w:p>
              </w:tc>
              <w:tc>
                <w:tcPr>
                  <w:tcW w:w="1276" w:type="dxa"/>
                  <w:vAlign w:val="center"/>
                </w:tcPr>
                <w:p>
                  <w:pPr>
                    <w:adjustRightInd w:val="0"/>
                    <w:snapToGrid w:val="0"/>
                    <w:jc w:val="center"/>
                    <w:rPr>
                      <w:bCs/>
                      <w:szCs w:val="21"/>
                    </w:rPr>
                  </w:pPr>
                  <w:r>
                    <w:rPr>
                      <w:rFonts w:hint="eastAsia"/>
                      <w:szCs w:val="21"/>
                    </w:rPr>
                    <w:t>产生浓度（mg/L）</w:t>
                  </w:r>
                </w:p>
              </w:tc>
              <w:tc>
                <w:tcPr>
                  <w:tcW w:w="865" w:type="dxa"/>
                  <w:vMerge w:val="restart"/>
                  <w:vAlign w:val="center"/>
                </w:tcPr>
                <w:p>
                  <w:pPr>
                    <w:jc w:val="center"/>
                    <w:rPr>
                      <w:bCs/>
                      <w:szCs w:val="21"/>
                    </w:rPr>
                  </w:pPr>
                  <w:r>
                    <w:rPr>
                      <w:rFonts w:hint="eastAsia"/>
                      <w:bCs/>
                      <w:szCs w:val="21"/>
                    </w:rPr>
                    <w:t>28.8</w:t>
                  </w:r>
                </w:p>
              </w:tc>
              <w:tc>
                <w:tcPr>
                  <w:tcW w:w="591" w:type="dxa"/>
                  <w:vAlign w:val="center"/>
                </w:tcPr>
                <w:p>
                  <w:pPr>
                    <w:jc w:val="center"/>
                    <w:rPr>
                      <w:bCs/>
                      <w:szCs w:val="21"/>
                    </w:rPr>
                  </w:pPr>
                  <w:r>
                    <w:rPr>
                      <w:rFonts w:hint="eastAsia"/>
                      <w:bCs/>
                      <w:szCs w:val="21"/>
                    </w:rPr>
                    <w:t>6-9</w:t>
                  </w:r>
                </w:p>
              </w:tc>
              <w:tc>
                <w:tcPr>
                  <w:tcW w:w="939" w:type="dxa"/>
                  <w:vAlign w:val="center"/>
                </w:tcPr>
                <w:p>
                  <w:pPr>
                    <w:jc w:val="center"/>
                    <w:rPr>
                      <w:bCs/>
                      <w:szCs w:val="21"/>
                    </w:rPr>
                  </w:pPr>
                  <w:r>
                    <w:rPr>
                      <w:rFonts w:hint="eastAsia"/>
                      <w:bCs/>
                      <w:szCs w:val="21"/>
                    </w:rPr>
                    <w:t>300</w:t>
                  </w:r>
                </w:p>
              </w:tc>
              <w:tc>
                <w:tcPr>
                  <w:tcW w:w="892" w:type="dxa"/>
                  <w:vAlign w:val="center"/>
                </w:tcPr>
                <w:p>
                  <w:pPr>
                    <w:jc w:val="center"/>
                    <w:rPr>
                      <w:bCs/>
                      <w:szCs w:val="21"/>
                    </w:rPr>
                  </w:pPr>
                  <w:r>
                    <w:rPr>
                      <w:rFonts w:hint="eastAsia"/>
                      <w:bCs/>
                      <w:szCs w:val="21"/>
                    </w:rPr>
                    <w:t>200</w:t>
                  </w:r>
                </w:p>
              </w:tc>
              <w:tc>
                <w:tcPr>
                  <w:tcW w:w="848" w:type="dxa"/>
                  <w:vAlign w:val="center"/>
                </w:tcPr>
                <w:p>
                  <w:pPr>
                    <w:jc w:val="center"/>
                    <w:rPr>
                      <w:bCs/>
                      <w:szCs w:val="21"/>
                    </w:rPr>
                  </w:pPr>
                  <w:r>
                    <w:rPr>
                      <w:rFonts w:hint="eastAsia"/>
                      <w:bCs/>
                      <w:szCs w:val="21"/>
                    </w:rPr>
                    <w:t>200</w:t>
                  </w:r>
                </w:p>
              </w:tc>
              <w:tc>
                <w:tcPr>
                  <w:tcW w:w="843" w:type="dxa"/>
                  <w:vAlign w:val="center"/>
                </w:tcPr>
                <w:p>
                  <w:pPr>
                    <w:jc w:val="center"/>
                    <w:rPr>
                      <w:bCs/>
                      <w:szCs w:val="21"/>
                    </w:rPr>
                  </w:pPr>
                  <w:r>
                    <w:rPr>
                      <w:rFonts w:hint="eastAsia"/>
                      <w:bCs/>
                      <w:szCs w:val="21"/>
                    </w:rPr>
                    <w:t>25</w:t>
                  </w:r>
                </w:p>
              </w:tc>
              <w:tc>
                <w:tcPr>
                  <w:tcW w:w="843" w:type="dxa"/>
                  <w:vAlign w:val="center"/>
                </w:tcPr>
                <w:p>
                  <w:pPr>
                    <w:jc w:val="center"/>
                    <w:rPr>
                      <w:rFonts w:hint="default" w:eastAsia="宋体"/>
                      <w:bCs/>
                      <w:szCs w:val="21"/>
                      <w:lang w:val="en-US" w:eastAsia="zh-CN"/>
                    </w:rPr>
                  </w:pPr>
                  <w:r>
                    <w:rPr>
                      <w:rFonts w:hint="eastAsia"/>
                      <w:bCs/>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jc w:val="center"/>
                    <w:rPr>
                      <w:bCs/>
                      <w:szCs w:val="21"/>
                    </w:rPr>
                  </w:pPr>
                </w:p>
              </w:tc>
              <w:tc>
                <w:tcPr>
                  <w:tcW w:w="1276" w:type="dxa"/>
                  <w:vAlign w:val="center"/>
                </w:tcPr>
                <w:p>
                  <w:pPr>
                    <w:adjustRightInd w:val="0"/>
                    <w:snapToGrid w:val="0"/>
                    <w:jc w:val="center"/>
                    <w:rPr>
                      <w:bCs/>
                      <w:szCs w:val="21"/>
                    </w:rPr>
                  </w:pPr>
                  <w:r>
                    <w:rPr>
                      <w:rFonts w:hint="eastAsia"/>
                      <w:szCs w:val="21"/>
                    </w:rPr>
                    <w:t>产生量（t/a）</w:t>
                  </w:r>
                </w:p>
              </w:tc>
              <w:tc>
                <w:tcPr>
                  <w:tcW w:w="865" w:type="dxa"/>
                  <w:vMerge w:val="continue"/>
                  <w:vAlign w:val="center"/>
                </w:tcPr>
                <w:p>
                  <w:pPr>
                    <w:jc w:val="center"/>
                    <w:rPr>
                      <w:bCs/>
                      <w:szCs w:val="21"/>
                    </w:rPr>
                  </w:pPr>
                </w:p>
              </w:tc>
              <w:tc>
                <w:tcPr>
                  <w:tcW w:w="591" w:type="dxa"/>
                  <w:vAlign w:val="center"/>
                </w:tcPr>
                <w:p>
                  <w:pPr>
                    <w:jc w:val="center"/>
                    <w:rPr>
                      <w:bCs/>
                      <w:szCs w:val="21"/>
                    </w:rPr>
                  </w:pPr>
                  <w:r>
                    <w:rPr>
                      <w:rFonts w:hint="eastAsia"/>
                      <w:bCs/>
                      <w:szCs w:val="21"/>
                    </w:rPr>
                    <w:t>/</w:t>
                  </w:r>
                </w:p>
              </w:tc>
              <w:tc>
                <w:tcPr>
                  <w:tcW w:w="93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0.0086</w:t>
                  </w:r>
                </w:p>
              </w:tc>
              <w:tc>
                <w:tcPr>
                  <w:tcW w:w="892"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0.0058</w:t>
                  </w:r>
                </w:p>
              </w:tc>
              <w:tc>
                <w:tcPr>
                  <w:tcW w:w="848"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0.0058</w:t>
                  </w:r>
                </w:p>
              </w:tc>
              <w:tc>
                <w:tcPr>
                  <w:tcW w:w="84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0.0007</w:t>
                  </w:r>
                </w:p>
              </w:tc>
              <w:tc>
                <w:tcPr>
                  <w:tcW w:w="843" w:type="dxa"/>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jc w:val="center"/>
                    <w:rPr>
                      <w:bCs/>
                      <w:szCs w:val="21"/>
                    </w:rPr>
                  </w:pPr>
                </w:p>
              </w:tc>
              <w:tc>
                <w:tcPr>
                  <w:tcW w:w="1276" w:type="dxa"/>
                  <w:vAlign w:val="center"/>
                </w:tcPr>
                <w:p>
                  <w:pPr>
                    <w:adjustRightInd w:val="0"/>
                    <w:snapToGrid w:val="0"/>
                    <w:jc w:val="center"/>
                    <w:rPr>
                      <w:bCs/>
                      <w:szCs w:val="21"/>
                    </w:rPr>
                  </w:pPr>
                  <w:r>
                    <w:rPr>
                      <w:rFonts w:hint="eastAsia"/>
                      <w:szCs w:val="21"/>
                    </w:rPr>
                    <w:t>化粪池处理后浓度（mg/L）</w:t>
                  </w:r>
                </w:p>
              </w:tc>
              <w:tc>
                <w:tcPr>
                  <w:tcW w:w="865" w:type="dxa"/>
                  <w:vMerge w:val="continue"/>
                  <w:vAlign w:val="center"/>
                </w:tcPr>
                <w:p>
                  <w:pPr>
                    <w:jc w:val="center"/>
                    <w:rPr>
                      <w:bCs/>
                      <w:szCs w:val="21"/>
                    </w:rPr>
                  </w:pPr>
                </w:p>
              </w:tc>
              <w:tc>
                <w:tcPr>
                  <w:tcW w:w="591" w:type="dxa"/>
                  <w:vAlign w:val="center"/>
                </w:tcPr>
                <w:p>
                  <w:pPr>
                    <w:jc w:val="center"/>
                    <w:rPr>
                      <w:bCs/>
                      <w:szCs w:val="21"/>
                    </w:rPr>
                  </w:pPr>
                  <w:r>
                    <w:rPr>
                      <w:rFonts w:hint="eastAsia"/>
                      <w:bCs/>
                      <w:szCs w:val="21"/>
                    </w:rPr>
                    <w:t>6-9</w:t>
                  </w:r>
                </w:p>
              </w:tc>
              <w:tc>
                <w:tcPr>
                  <w:tcW w:w="93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255</w:t>
                  </w:r>
                </w:p>
              </w:tc>
              <w:tc>
                <w:tcPr>
                  <w:tcW w:w="892"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180</w:t>
                  </w:r>
                </w:p>
              </w:tc>
              <w:tc>
                <w:tcPr>
                  <w:tcW w:w="848"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140</w:t>
                  </w:r>
                </w:p>
              </w:tc>
              <w:tc>
                <w:tcPr>
                  <w:tcW w:w="843"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25</w:t>
                  </w:r>
                </w:p>
              </w:tc>
              <w:tc>
                <w:tcPr>
                  <w:tcW w:w="843"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jc w:val="center"/>
                    <w:rPr>
                      <w:bCs/>
                      <w:szCs w:val="21"/>
                    </w:rPr>
                  </w:pPr>
                </w:p>
              </w:tc>
              <w:tc>
                <w:tcPr>
                  <w:tcW w:w="1276" w:type="dxa"/>
                  <w:vAlign w:val="center"/>
                </w:tcPr>
                <w:p>
                  <w:pPr>
                    <w:adjustRightInd w:val="0"/>
                    <w:snapToGrid w:val="0"/>
                    <w:jc w:val="center"/>
                    <w:rPr>
                      <w:bCs/>
                      <w:szCs w:val="21"/>
                    </w:rPr>
                  </w:pPr>
                  <w:r>
                    <w:rPr>
                      <w:rFonts w:hint="eastAsia"/>
                      <w:szCs w:val="21"/>
                    </w:rPr>
                    <w:t>排放量（t/a）</w:t>
                  </w:r>
                </w:p>
              </w:tc>
              <w:tc>
                <w:tcPr>
                  <w:tcW w:w="865" w:type="dxa"/>
                  <w:vMerge w:val="continue"/>
                  <w:vAlign w:val="center"/>
                </w:tcPr>
                <w:p>
                  <w:pPr>
                    <w:jc w:val="center"/>
                    <w:rPr>
                      <w:bCs/>
                      <w:szCs w:val="21"/>
                    </w:rPr>
                  </w:pPr>
                </w:p>
              </w:tc>
              <w:tc>
                <w:tcPr>
                  <w:tcW w:w="591" w:type="dxa"/>
                  <w:vAlign w:val="center"/>
                </w:tcPr>
                <w:p>
                  <w:pPr>
                    <w:jc w:val="center"/>
                    <w:rPr>
                      <w:bCs/>
                      <w:szCs w:val="21"/>
                    </w:rPr>
                  </w:pPr>
                  <w:r>
                    <w:rPr>
                      <w:rFonts w:hint="eastAsia"/>
                      <w:bCs/>
                      <w:szCs w:val="21"/>
                    </w:rPr>
                    <w:t>/</w:t>
                  </w:r>
                </w:p>
              </w:tc>
              <w:tc>
                <w:tcPr>
                  <w:tcW w:w="93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0.0073</w:t>
                  </w:r>
                </w:p>
              </w:tc>
              <w:tc>
                <w:tcPr>
                  <w:tcW w:w="892"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0.0052</w:t>
                  </w:r>
                </w:p>
              </w:tc>
              <w:tc>
                <w:tcPr>
                  <w:tcW w:w="848"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0.004</w:t>
                  </w:r>
                </w:p>
              </w:tc>
              <w:tc>
                <w:tcPr>
                  <w:tcW w:w="84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0.0007</w:t>
                  </w:r>
                </w:p>
              </w:tc>
              <w:tc>
                <w:tcPr>
                  <w:tcW w:w="843" w:type="dxa"/>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0.0007</w:t>
                  </w:r>
                </w:p>
              </w:tc>
            </w:tr>
          </w:tbl>
          <w:p>
            <w:pPr>
              <w:snapToGrid w:val="0"/>
              <w:spacing w:line="360" w:lineRule="auto"/>
              <w:ind w:firstLine="480" w:firstLineChars="200"/>
              <w:rPr>
                <w:sz w:val="24"/>
              </w:rPr>
            </w:pPr>
            <w:r>
              <w:rPr>
                <w:rFonts w:hint="eastAsia"/>
                <w:sz w:val="24"/>
              </w:rPr>
              <w:t>3</w:t>
            </w:r>
            <w:r>
              <w:rPr>
                <w:sz w:val="24"/>
              </w:rPr>
              <w:t>、废水接管可行性分析</w:t>
            </w:r>
          </w:p>
          <w:p>
            <w:pPr>
              <w:widowControl/>
              <w:spacing w:line="360" w:lineRule="auto"/>
              <w:ind w:firstLine="480" w:firstLineChars="200"/>
              <w:jc w:val="left"/>
              <w:rPr>
                <w:sz w:val="24"/>
              </w:rPr>
            </w:pPr>
            <w:r>
              <w:rPr>
                <w:sz w:val="24"/>
              </w:rPr>
              <w:t>（1）水质：</w:t>
            </w:r>
            <w:r>
              <w:rPr>
                <w:color w:val="000000"/>
                <w:kern w:val="0"/>
                <w:sz w:val="24"/>
                <w:lang w:bidi="ar"/>
              </w:rPr>
              <w:t>本项目废水主要为生活污水，主要污染物为COD、BOD</w:t>
            </w:r>
            <w:r>
              <w:rPr>
                <w:color w:val="000000"/>
                <w:kern w:val="0"/>
                <w:sz w:val="24"/>
                <w:vertAlign w:val="subscript"/>
                <w:lang w:bidi="ar"/>
              </w:rPr>
              <w:t>5</w:t>
            </w:r>
            <w:r>
              <w:rPr>
                <w:color w:val="000000"/>
                <w:kern w:val="0"/>
                <w:sz w:val="24"/>
                <w:lang w:bidi="ar"/>
              </w:rPr>
              <w:t>、NH</w:t>
            </w:r>
            <w:r>
              <w:rPr>
                <w:color w:val="000000"/>
                <w:kern w:val="0"/>
                <w:sz w:val="24"/>
                <w:vertAlign w:val="subscript"/>
                <w:lang w:bidi="ar"/>
              </w:rPr>
              <w:t>3</w:t>
            </w:r>
            <w:r>
              <w:rPr>
                <w:color w:val="000000"/>
                <w:kern w:val="0"/>
                <w:sz w:val="24"/>
                <w:lang w:bidi="ar"/>
              </w:rPr>
              <w:t>-N、SS等，水质较简单，不含重金属等有毒有害物质。根据工程分析，本项目生活污水经化粪池处理后，水质能达到《污水综合排放标准》（GB8978-1996）表4中的三级标准及泗县工业污水处理厂接管要求。</w:t>
            </w:r>
          </w:p>
          <w:p>
            <w:pPr>
              <w:spacing w:line="360" w:lineRule="auto"/>
              <w:ind w:firstLine="480" w:firstLineChars="200"/>
              <w:rPr>
                <w:color w:val="000000"/>
                <w:kern w:val="0"/>
                <w:sz w:val="24"/>
                <w:lang w:bidi="ar"/>
              </w:rPr>
            </w:pPr>
            <w:r>
              <w:rPr>
                <w:sz w:val="24"/>
              </w:rPr>
              <w:t>（2）水量：</w:t>
            </w:r>
            <w:r>
              <w:rPr>
                <w:color w:val="000000"/>
                <w:kern w:val="0"/>
                <w:sz w:val="24"/>
                <w:lang w:bidi="ar"/>
              </w:rPr>
              <w:t>本项目日产生废水量为约</w:t>
            </w:r>
            <w:r>
              <w:rPr>
                <w:rFonts w:hint="eastAsia"/>
                <w:color w:val="000000"/>
                <w:kern w:val="0"/>
                <w:sz w:val="24"/>
                <w:lang w:bidi="ar"/>
              </w:rPr>
              <w:t>0.096</w:t>
            </w:r>
            <w:r>
              <w:rPr>
                <w:color w:val="000000"/>
                <w:kern w:val="0"/>
                <w:sz w:val="24"/>
                <w:lang w:bidi="ar"/>
              </w:rPr>
              <w:t>t，污水处理厂一期工程设计规模为2×10</w:t>
            </w:r>
            <w:r>
              <w:rPr>
                <w:color w:val="000000"/>
                <w:kern w:val="0"/>
                <w:sz w:val="24"/>
                <w:vertAlign w:val="superscript"/>
                <w:lang w:bidi="ar"/>
              </w:rPr>
              <w:t>4</w:t>
            </w:r>
            <w:r>
              <w:rPr>
                <w:color w:val="000000"/>
                <w:kern w:val="0"/>
                <w:sz w:val="24"/>
                <w:lang w:bidi="ar"/>
              </w:rPr>
              <w:t>m</w:t>
            </w:r>
            <w:r>
              <w:rPr>
                <w:color w:val="000000"/>
                <w:kern w:val="0"/>
                <w:sz w:val="24"/>
                <w:vertAlign w:val="superscript"/>
                <w:lang w:bidi="ar"/>
              </w:rPr>
              <w:t>3</w:t>
            </w:r>
            <w:r>
              <w:rPr>
                <w:color w:val="000000"/>
                <w:kern w:val="0"/>
                <w:sz w:val="24"/>
                <w:lang w:bidi="ar"/>
              </w:rPr>
              <w:t>/d，目前污水处理厂收水量远远小于设计规模，项目污水为生活污水，水质较简单，污染物含量浓度较低，且废水中各污染因子浓度均满足泗县工业污水处理厂接管要求，因此本项目废水进入污水处理厂处理对污水处理厂不造成冲击。</w:t>
            </w:r>
          </w:p>
          <w:p>
            <w:pPr>
              <w:spacing w:line="360" w:lineRule="auto"/>
              <w:ind w:firstLine="480" w:firstLineChars="200"/>
              <w:rPr>
                <w:color w:val="000000"/>
                <w:kern w:val="0"/>
                <w:sz w:val="24"/>
                <w:lang w:bidi="ar"/>
              </w:rPr>
            </w:pPr>
            <w:r>
              <w:rPr>
                <w:color w:val="000000"/>
                <w:kern w:val="0"/>
                <w:sz w:val="24"/>
                <w:lang w:bidi="ar"/>
              </w:rPr>
              <w:t>（3）收水范围：本项目位于泗县经济开发区，根据泗县工业污水处理厂管网图，本项目所在位置污水管网已经建成，且在污水处理厂收水范围，废水通过污水管网进入泗县工业污水处理厂。</w:t>
            </w:r>
          </w:p>
          <w:p>
            <w:pPr>
              <w:pStyle w:val="8"/>
              <w:spacing w:line="360" w:lineRule="auto"/>
              <w:ind w:firstLine="480"/>
              <w:rPr>
                <w:b/>
                <w:bCs/>
                <w:sz w:val="24"/>
              </w:rPr>
            </w:pPr>
            <w:r>
              <w:rPr>
                <w:color w:val="000000"/>
                <w:kern w:val="0"/>
                <w:sz w:val="24"/>
                <w:lang w:bidi="ar"/>
              </w:rPr>
              <w:t>综上分析，本项目废水进入泗县工业污水处理厂处理是可行的。本项目产生的废水能得到妥善处理，不会对当地地表水环境产生影响。</w:t>
            </w:r>
          </w:p>
          <w:p>
            <w:pPr>
              <w:spacing w:line="360" w:lineRule="auto"/>
              <w:rPr>
                <w:b/>
                <w:bCs/>
                <w:color w:val="000000"/>
                <w:sz w:val="24"/>
              </w:rPr>
            </w:pPr>
            <w:r>
              <w:rPr>
                <w:b/>
                <w:bCs/>
                <w:color w:val="000000"/>
                <w:sz w:val="24"/>
              </w:rPr>
              <w:t>三、</w:t>
            </w:r>
            <w:r>
              <w:rPr>
                <w:b/>
                <w:bCs/>
                <w:sz w:val="24"/>
              </w:rPr>
              <w:t>噪声</w:t>
            </w:r>
          </w:p>
          <w:p>
            <w:pPr>
              <w:spacing w:line="360" w:lineRule="auto"/>
              <w:ind w:firstLine="480" w:firstLineChars="200"/>
              <w:rPr>
                <w:color w:val="000000"/>
                <w:sz w:val="24"/>
              </w:rPr>
            </w:pPr>
            <w:r>
              <w:rPr>
                <w:rFonts w:ascii="宋体" w:hAnsi="宋体" w:cs="宋体"/>
                <w:sz w:val="24"/>
              </w:rPr>
              <w:t>本项目</w:t>
            </w:r>
            <w:r>
              <w:rPr>
                <w:color w:val="000000"/>
                <w:sz w:val="24"/>
              </w:rPr>
              <w:t>的主要噪声源为油罐车及其它加油车辆进场时的汽车噪声，一般汽车进入加油站的车速较低，噪声强度在70～75dB(A)之间。</w:t>
            </w:r>
          </w:p>
          <w:p>
            <w:pPr>
              <w:snapToGrid w:val="0"/>
              <w:spacing w:line="360" w:lineRule="auto"/>
              <w:ind w:firstLine="480" w:firstLineChars="200"/>
              <w:rPr>
                <w:color w:val="000000"/>
                <w:sz w:val="24"/>
                <w:lang w:bidi="ar"/>
              </w:rPr>
            </w:pPr>
            <w:r>
              <w:rPr>
                <w:color w:val="000000"/>
                <w:sz w:val="24"/>
                <w:lang w:bidi="ar"/>
              </w:rPr>
              <w:t>厂界噪声预测过程如下：</w:t>
            </w:r>
          </w:p>
          <w:p>
            <w:pPr>
              <w:snapToGrid w:val="0"/>
              <w:spacing w:line="360" w:lineRule="auto"/>
              <w:ind w:firstLine="480" w:firstLineChars="200"/>
              <w:rPr>
                <w:color w:val="000000"/>
                <w:sz w:val="24"/>
              </w:rPr>
            </w:pPr>
            <w:r>
              <w:rPr>
                <w:color w:val="000000"/>
                <w:sz w:val="24"/>
                <w:lang w:bidi="ar"/>
              </w:rPr>
              <w:t>点声源衰减模式如下：</w:t>
            </w:r>
          </w:p>
          <w:p>
            <w:pPr>
              <w:pStyle w:val="17"/>
              <w:spacing w:before="0" w:beforeAutospacing="0" w:after="0" w:afterAutospacing="0" w:line="360" w:lineRule="auto"/>
              <w:ind w:firstLine="2400" w:firstLineChars="1000"/>
              <w:jc w:val="both"/>
              <w:rPr>
                <w:rFonts w:ascii="Times New Roman" w:hAnsi="Times New Roman"/>
                <w:color w:val="000000"/>
                <w:kern w:val="2"/>
                <w:szCs w:val="24"/>
              </w:rPr>
            </w:pPr>
            <w:r>
              <w:rPr>
                <w:rFonts w:ascii="Times New Roman" w:hAnsi="Times New Roman"/>
                <w:color w:val="000000"/>
                <w:kern w:val="2"/>
                <w:szCs w:val="24"/>
                <w:lang w:bidi="ar"/>
              </w:rPr>
              <w:t>Lp= Lp0－20Log（r/r0）－△L</w:t>
            </w:r>
          </w:p>
          <w:p>
            <w:pPr>
              <w:pStyle w:val="17"/>
              <w:snapToGrid w:val="0"/>
              <w:spacing w:before="0" w:beforeAutospacing="0" w:after="0" w:afterAutospacing="0" w:line="360" w:lineRule="auto"/>
              <w:ind w:firstLine="480" w:firstLineChars="200"/>
              <w:jc w:val="both"/>
              <w:rPr>
                <w:rFonts w:ascii="Times New Roman" w:hAnsi="Times New Roman"/>
                <w:color w:val="000000"/>
                <w:kern w:val="2"/>
                <w:szCs w:val="24"/>
              </w:rPr>
            </w:pPr>
            <w:r>
              <w:rPr>
                <w:rFonts w:ascii="Times New Roman" w:hAnsi="Times New Roman"/>
                <w:color w:val="000000"/>
                <w:kern w:val="2"/>
                <w:szCs w:val="24"/>
                <w:lang w:bidi="ar"/>
              </w:rPr>
              <w:t>式中：Lp—距声源r（m）处声压级，dB（A）；</w:t>
            </w:r>
          </w:p>
          <w:p>
            <w:pPr>
              <w:pStyle w:val="17"/>
              <w:snapToGrid w:val="0"/>
              <w:spacing w:before="0" w:beforeAutospacing="0" w:after="0" w:afterAutospacing="0" w:line="360" w:lineRule="auto"/>
              <w:ind w:firstLine="1200" w:firstLineChars="500"/>
              <w:jc w:val="both"/>
              <w:rPr>
                <w:rFonts w:ascii="Times New Roman" w:hAnsi="Times New Roman"/>
                <w:color w:val="000000"/>
                <w:kern w:val="2"/>
                <w:szCs w:val="24"/>
              </w:rPr>
            </w:pPr>
            <w:r>
              <w:rPr>
                <w:rFonts w:ascii="Times New Roman" w:hAnsi="Times New Roman"/>
                <w:color w:val="000000"/>
                <w:kern w:val="2"/>
                <w:szCs w:val="24"/>
                <w:lang w:bidi="ar"/>
              </w:rPr>
              <w:t>Lp</w:t>
            </w:r>
            <w:r>
              <w:rPr>
                <w:rFonts w:ascii="Times New Roman" w:hAnsi="Times New Roman"/>
                <w:color w:val="000000"/>
                <w:kern w:val="2"/>
                <w:szCs w:val="24"/>
                <w:vertAlign w:val="subscript"/>
                <w:lang w:bidi="ar"/>
              </w:rPr>
              <w:t>0</w:t>
            </w:r>
            <w:r>
              <w:rPr>
                <w:rFonts w:ascii="Times New Roman" w:hAnsi="Times New Roman"/>
                <w:color w:val="000000"/>
                <w:kern w:val="2"/>
                <w:szCs w:val="24"/>
                <w:lang w:bidi="ar"/>
              </w:rPr>
              <w:t>—距声源r</w:t>
            </w:r>
            <w:r>
              <w:rPr>
                <w:rFonts w:ascii="Times New Roman" w:hAnsi="Times New Roman"/>
                <w:color w:val="000000"/>
                <w:kern w:val="2"/>
                <w:szCs w:val="24"/>
                <w:vertAlign w:val="subscript"/>
                <w:lang w:bidi="ar"/>
              </w:rPr>
              <w:t>0</w:t>
            </w:r>
            <w:r>
              <w:rPr>
                <w:rFonts w:ascii="Times New Roman" w:hAnsi="Times New Roman"/>
                <w:color w:val="000000"/>
                <w:kern w:val="2"/>
                <w:szCs w:val="24"/>
                <w:lang w:bidi="ar"/>
              </w:rPr>
              <w:t>（m）处声压级，dB（A）；</w:t>
            </w:r>
          </w:p>
          <w:p>
            <w:pPr>
              <w:pStyle w:val="17"/>
              <w:spacing w:before="0" w:beforeAutospacing="0" w:after="0" w:afterAutospacing="0" w:line="360" w:lineRule="auto"/>
              <w:ind w:firstLine="1200" w:firstLineChars="500"/>
              <w:jc w:val="both"/>
              <w:rPr>
                <w:rFonts w:ascii="Times New Roman" w:hAnsi="Times New Roman"/>
                <w:color w:val="000000"/>
                <w:kern w:val="2"/>
                <w:szCs w:val="24"/>
              </w:rPr>
            </w:pPr>
            <w:r>
              <w:rPr>
                <w:rFonts w:ascii="Times New Roman" w:hAnsi="Times New Roman"/>
                <w:color w:val="000000"/>
                <w:kern w:val="2"/>
                <w:szCs w:val="24"/>
                <w:lang w:bidi="ar"/>
              </w:rPr>
              <w:t>△L—各种衰减量（除发散衰减外），dB（A）。室外噪声源△L取为零。</w:t>
            </w:r>
          </w:p>
          <w:p>
            <w:pPr>
              <w:pStyle w:val="17"/>
              <w:spacing w:before="0" w:beforeAutospacing="0" w:after="0" w:afterAutospacing="0" w:line="360" w:lineRule="auto"/>
              <w:jc w:val="both"/>
              <w:rPr>
                <w:rFonts w:ascii="Times New Roman" w:hAnsi="Times New Roman"/>
                <w:color w:val="000000"/>
                <w:kern w:val="2"/>
                <w:szCs w:val="24"/>
              </w:rPr>
            </w:pPr>
            <w:r>
              <w:rPr>
                <w:rFonts w:ascii="Times New Roman" w:hAnsi="Times New Roman"/>
                <w:color w:val="000000"/>
                <w:kern w:val="2"/>
                <w:szCs w:val="24"/>
                <w:lang w:bidi="ar"/>
              </w:rPr>
              <w:t>声源在预测点产生的等效声级贡献值</w:t>
            </w:r>
            <w:r>
              <w:rPr>
                <w:rFonts w:ascii="Times New Roman" w:hAnsi="Times New Roman"/>
                <w:color w:val="000000"/>
                <w:spacing w:val="4"/>
                <w:kern w:val="2"/>
                <w:szCs w:val="24"/>
              </w:rPr>
              <w:drawing>
                <wp:inline distT="0" distB="0" distL="114300" distR="114300">
                  <wp:extent cx="361950" cy="219075"/>
                  <wp:effectExtent l="0" t="0" r="0" b="0"/>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8"/>
                          <a:stretch>
                            <a:fillRect/>
                          </a:stretch>
                        </pic:blipFill>
                        <pic:spPr>
                          <a:xfrm>
                            <a:off x="0" y="0"/>
                            <a:ext cx="361950" cy="219075"/>
                          </a:xfrm>
                          <a:prstGeom prst="rect">
                            <a:avLst/>
                          </a:prstGeom>
                          <a:noFill/>
                          <a:ln>
                            <a:noFill/>
                          </a:ln>
                        </pic:spPr>
                      </pic:pic>
                    </a:graphicData>
                  </a:graphic>
                </wp:inline>
              </w:drawing>
            </w:r>
            <w:r>
              <w:rPr>
                <w:rFonts w:ascii="Times New Roman" w:hAnsi="Times New Roman"/>
                <w:color w:val="000000"/>
                <w:kern w:val="2"/>
                <w:szCs w:val="24"/>
                <w:lang w:bidi="ar"/>
              </w:rPr>
              <w:t>为：</w:t>
            </w:r>
          </w:p>
          <w:p>
            <w:pPr>
              <w:pStyle w:val="17"/>
              <w:snapToGrid w:val="0"/>
              <w:spacing w:before="0" w:beforeAutospacing="0" w:after="0" w:afterAutospacing="0" w:line="360" w:lineRule="auto"/>
              <w:jc w:val="center"/>
              <w:rPr>
                <w:rFonts w:ascii="Times New Roman" w:hAnsi="Times New Roman"/>
                <w:color w:val="000000"/>
                <w:kern w:val="2"/>
                <w:szCs w:val="24"/>
              </w:rPr>
            </w:pPr>
            <w:r>
              <w:rPr>
                <w:rFonts w:ascii="Times New Roman" w:hAnsi="Times New Roman"/>
                <w:color w:val="000000"/>
                <w:kern w:val="2"/>
                <w:szCs w:val="24"/>
              </w:rPr>
              <w:drawing>
                <wp:inline distT="0" distB="0" distL="114300" distR="114300">
                  <wp:extent cx="2952750" cy="552450"/>
                  <wp:effectExtent l="0" t="0" r="0" b="0"/>
                  <wp:docPr id="6"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57"/>
                          <pic:cNvPicPr>
                            <a:picLocks noChangeAspect="1"/>
                          </pic:cNvPicPr>
                        </pic:nvPicPr>
                        <pic:blipFill>
                          <a:blip r:embed="rId19"/>
                          <a:stretch>
                            <a:fillRect/>
                          </a:stretch>
                        </pic:blipFill>
                        <pic:spPr>
                          <a:xfrm>
                            <a:off x="0" y="0"/>
                            <a:ext cx="2952750" cy="552450"/>
                          </a:xfrm>
                          <a:prstGeom prst="rect">
                            <a:avLst/>
                          </a:prstGeom>
                          <a:noFill/>
                          <a:ln>
                            <a:noFill/>
                          </a:ln>
                        </pic:spPr>
                      </pic:pic>
                    </a:graphicData>
                  </a:graphic>
                </wp:inline>
              </w:drawing>
            </w:r>
          </w:p>
          <w:p>
            <w:pPr>
              <w:pStyle w:val="17"/>
              <w:snapToGrid w:val="0"/>
              <w:spacing w:before="0" w:beforeAutospacing="0" w:after="0" w:afterAutospacing="0" w:line="360" w:lineRule="auto"/>
              <w:ind w:firstLine="480" w:firstLineChars="200"/>
              <w:jc w:val="both"/>
              <w:rPr>
                <w:rFonts w:ascii="Times New Roman" w:hAnsi="Times New Roman"/>
                <w:color w:val="000000"/>
                <w:kern w:val="2"/>
                <w:szCs w:val="24"/>
              </w:rPr>
            </w:pPr>
            <w:r>
              <w:rPr>
                <w:rFonts w:ascii="Times New Roman" w:hAnsi="Times New Roman"/>
                <w:color w:val="000000"/>
                <w:kern w:val="2"/>
                <w:szCs w:val="24"/>
              </w:rPr>
              <w:t>式中：L</w:t>
            </w:r>
            <w:r>
              <w:rPr>
                <w:rFonts w:ascii="Times New Roman" w:hAnsi="Times New Roman"/>
                <w:color w:val="000000"/>
                <w:kern w:val="2"/>
                <w:szCs w:val="24"/>
                <w:vertAlign w:val="subscript"/>
              </w:rPr>
              <w:t>egq</w:t>
            </w:r>
            <w:r>
              <w:rPr>
                <w:rFonts w:ascii="Times New Roman" w:hAnsi="Times New Roman"/>
                <w:color w:val="000000"/>
                <w:kern w:val="2"/>
                <w:szCs w:val="24"/>
                <w:lang w:bidi="ar"/>
              </w:rPr>
              <w:t>——建设项目声源在预测点的等效声级贡献值，dB(A)；</w:t>
            </w:r>
          </w:p>
          <w:p>
            <w:pPr>
              <w:pStyle w:val="17"/>
              <w:snapToGrid w:val="0"/>
              <w:spacing w:before="0" w:beforeAutospacing="0" w:after="0" w:afterAutospacing="0" w:line="360" w:lineRule="auto"/>
              <w:ind w:firstLine="1200" w:firstLineChars="500"/>
              <w:jc w:val="both"/>
              <w:rPr>
                <w:rFonts w:ascii="Times New Roman" w:hAnsi="Times New Roman"/>
                <w:color w:val="000000"/>
                <w:kern w:val="2"/>
                <w:szCs w:val="24"/>
              </w:rPr>
            </w:pPr>
            <w:r>
              <w:rPr>
                <w:rFonts w:ascii="Times New Roman" w:hAnsi="Times New Roman"/>
                <w:color w:val="000000"/>
                <w:kern w:val="2"/>
                <w:szCs w:val="24"/>
              </w:rPr>
              <w:t>L</w:t>
            </w:r>
            <w:r>
              <w:rPr>
                <w:rFonts w:ascii="Times New Roman" w:hAnsi="Times New Roman"/>
                <w:color w:val="000000"/>
                <w:kern w:val="2"/>
                <w:szCs w:val="24"/>
                <w:vertAlign w:val="subscript"/>
              </w:rPr>
              <w:t>Ai</w:t>
            </w:r>
            <w:r>
              <w:rPr>
                <w:rFonts w:ascii="Times New Roman" w:hAnsi="Times New Roman"/>
                <w:color w:val="000000"/>
                <w:kern w:val="2"/>
                <w:szCs w:val="24"/>
                <w:lang w:bidi="ar"/>
              </w:rPr>
              <w:t>——i声源在预测点产生的A声级，dB(A)；</w:t>
            </w:r>
          </w:p>
          <w:p>
            <w:pPr>
              <w:pStyle w:val="17"/>
              <w:widowControl w:val="0"/>
              <w:snapToGrid w:val="0"/>
              <w:spacing w:before="0" w:beforeAutospacing="0" w:after="0" w:afterAutospacing="0" w:line="360" w:lineRule="auto"/>
              <w:ind w:firstLine="1200" w:firstLineChars="500"/>
              <w:jc w:val="both"/>
              <w:rPr>
                <w:rFonts w:ascii="Times New Roman" w:hAnsi="Times New Roman"/>
                <w:color w:val="000000"/>
                <w:kern w:val="2"/>
                <w:szCs w:val="24"/>
              </w:rPr>
            </w:pPr>
            <w:r>
              <w:rPr>
                <w:rFonts w:ascii="Times New Roman" w:hAnsi="Times New Roman"/>
                <w:color w:val="000000"/>
                <w:kern w:val="2"/>
                <w:szCs w:val="24"/>
              </w:rPr>
              <w:t>t</w:t>
            </w:r>
            <w:r>
              <w:rPr>
                <w:rFonts w:ascii="Times New Roman" w:hAnsi="Times New Roman"/>
                <w:color w:val="000000"/>
                <w:kern w:val="2"/>
                <w:szCs w:val="24"/>
                <w:vertAlign w:val="subscript"/>
              </w:rPr>
              <w:t>i</w:t>
            </w:r>
            <w:r>
              <w:rPr>
                <w:rFonts w:ascii="Times New Roman" w:hAnsi="Times New Roman"/>
                <w:color w:val="000000"/>
                <w:kern w:val="2"/>
                <w:szCs w:val="24"/>
                <w:lang w:bidi="ar"/>
              </w:rPr>
              <w:t>——i声源在T时间段内的运行时间，S；</w:t>
            </w:r>
          </w:p>
          <w:p>
            <w:pPr>
              <w:pStyle w:val="17"/>
              <w:widowControl w:val="0"/>
              <w:snapToGrid w:val="0"/>
              <w:spacing w:before="0" w:beforeAutospacing="0" w:after="0" w:afterAutospacing="0" w:line="360" w:lineRule="auto"/>
              <w:jc w:val="both"/>
              <w:rPr>
                <w:rFonts w:ascii="Times New Roman" w:hAnsi="Times New Roman"/>
                <w:color w:val="000000"/>
                <w:kern w:val="2"/>
                <w:szCs w:val="24"/>
              </w:rPr>
            </w:pPr>
            <w:r>
              <w:rPr>
                <w:rFonts w:ascii="Times New Roman" w:hAnsi="Times New Roman"/>
                <w:color w:val="000000"/>
                <w:kern w:val="2"/>
                <w:szCs w:val="24"/>
                <w:lang w:bidi="ar"/>
              </w:rPr>
              <w:t>预测点的预测等效声级</w:t>
            </w:r>
            <w:r>
              <w:rPr>
                <w:rFonts w:ascii="Times New Roman" w:hAnsi="Times New Roman"/>
                <w:color w:val="000000"/>
                <w:kern w:val="2"/>
                <w:szCs w:val="24"/>
              </w:rPr>
              <w:drawing>
                <wp:inline distT="0" distB="0" distL="114300" distR="114300">
                  <wp:extent cx="304800" cy="219075"/>
                  <wp:effectExtent l="0" t="0" r="0" b="0"/>
                  <wp:docPr id="7" name="图片 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61"/>
                          <pic:cNvPicPr>
                            <a:picLocks noChangeAspect="1"/>
                          </pic:cNvPicPr>
                        </pic:nvPicPr>
                        <pic:blipFill>
                          <a:blip r:embed="rId20"/>
                          <a:stretch>
                            <a:fillRect/>
                          </a:stretch>
                        </pic:blipFill>
                        <pic:spPr>
                          <a:xfrm>
                            <a:off x="0" y="0"/>
                            <a:ext cx="304800" cy="219075"/>
                          </a:xfrm>
                          <a:prstGeom prst="rect">
                            <a:avLst/>
                          </a:prstGeom>
                          <a:noFill/>
                          <a:ln>
                            <a:noFill/>
                          </a:ln>
                        </pic:spPr>
                      </pic:pic>
                    </a:graphicData>
                  </a:graphic>
                </wp:inline>
              </w:drawing>
            </w:r>
            <w:r>
              <w:rPr>
                <w:rFonts w:ascii="Times New Roman" w:hAnsi="Times New Roman"/>
                <w:color w:val="000000"/>
                <w:kern w:val="2"/>
                <w:szCs w:val="24"/>
                <w:lang w:bidi="ar"/>
              </w:rPr>
              <w:t>计算如下：</w:t>
            </w:r>
          </w:p>
          <w:p>
            <w:pPr>
              <w:pStyle w:val="17"/>
              <w:widowControl w:val="0"/>
              <w:snapToGrid w:val="0"/>
              <w:spacing w:before="0" w:beforeAutospacing="0" w:after="0" w:afterAutospacing="0" w:line="360" w:lineRule="auto"/>
              <w:jc w:val="center"/>
              <w:rPr>
                <w:rFonts w:ascii="Times New Roman" w:hAnsi="Times New Roman"/>
                <w:color w:val="000000"/>
                <w:kern w:val="2"/>
                <w:szCs w:val="24"/>
              </w:rPr>
            </w:pPr>
            <w:r>
              <w:rPr>
                <w:rFonts w:ascii="Times New Roman" w:hAnsi="Times New Roman"/>
                <w:color w:val="000000"/>
                <w:kern w:val="2"/>
                <w:szCs w:val="24"/>
              </w:rPr>
              <w:drawing>
                <wp:inline distT="0" distB="0" distL="114300" distR="114300">
                  <wp:extent cx="2895600" cy="285750"/>
                  <wp:effectExtent l="0" t="0" r="0" b="0"/>
                  <wp:docPr id="8" name="图片 1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IMG_262"/>
                          <pic:cNvPicPr>
                            <a:picLocks noChangeAspect="1"/>
                          </pic:cNvPicPr>
                        </pic:nvPicPr>
                        <pic:blipFill>
                          <a:blip r:embed="rId21"/>
                          <a:stretch>
                            <a:fillRect/>
                          </a:stretch>
                        </pic:blipFill>
                        <pic:spPr>
                          <a:xfrm>
                            <a:off x="0" y="0"/>
                            <a:ext cx="2895600" cy="285750"/>
                          </a:xfrm>
                          <a:prstGeom prst="rect">
                            <a:avLst/>
                          </a:prstGeom>
                          <a:noFill/>
                          <a:ln>
                            <a:noFill/>
                          </a:ln>
                        </pic:spPr>
                      </pic:pic>
                    </a:graphicData>
                  </a:graphic>
                </wp:inline>
              </w:drawing>
            </w:r>
          </w:p>
          <w:p>
            <w:pPr>
              <w:pStyle w:val="17"/>
              <w:widowControl w:val="0"/>
              <w:snapToGrid w:val="0"/>
              <w:spacing w:before="0" w:beforeAutospacing="0" w:after="0" w:afterAutospacing="0" w:line="360" w:lineRule="auto"/>
              <w:ind w:firstLine="720" w:firstLineChars="300"/>
              <w:jc w:val="both"/>
              <w:rPr>
                <w:rFonts w:ascii="Times New Roman" w:hAnsi="Times New Roman"/>
                <w:color w:val="000000"/>
                <w:kern w:val="2"/>
                <w:szCs w:val="24"/>
              </w:rPr>
            </w:pPr>
            <w:r>
              <w:rPr>
                <w:rFonts w:ascii="Times New Roman" w:hAnsi="Times New Roman"/>
                <w:color w:val="000000"/>
                <w:kern w:val="2"/>
                <w:szCs w:val="24"/>
              </w:rPr>
              <w:drawing>
                <wp:inline distT="0" distB="0" distL="114300" distR="114300">
                  <wp:extent cx="381000" cy="219075"/>
                  <wp:effectExtent l="0" t="0" r="0" b="0"/>
                  <wp:docPr id="9" name="图片 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63"/>
                          <pic:cNvPicPr>
                            <a:picLocks noChangeAspect="1"/>
                          </pic:cNvPicPr>
                        </pic:nvPicPr>
                        <pic:blipFill>
                          <a:blip r:embed="rId22"/>
                          <a:stretch>
                            <a:fillRect/>
                          </a:stretch>
                        </pic:blipFill>
                        <pic:spPr>
                          <a:xfrm>
                            <a:off x="0" y="0"/>
                            <a:ext cx="381000" cy="219075"/>
                          </a:xfrm>
                          <a:prstGeom prst="rect">
                            <a:avLst/>
                          </a:prstGeom>
                          <a:noFill/>
                          <a:ln>
                            <a:noFill/>
                          </a:ln>
                        </pic:spPr>
                      </pic:pic>
                    </a:graphicData>
                  </a:graphic>
                </wp:inline>
              </w:drawing>
            </w:r>
            <w:r>
              <w:rPr>
                <w:rFonts w:ascii="Times New Roman" w:hAnsi="Times New Roman"/>
                <w:color w:val="000000"/>
                <w:kern w:val="2"/>
                <w:szCs w:val="24"/>
                <w:lang w:bidi="ar"/>
              </w:rPr>
              <w:t>——建设项目声源在预测点等效声级贡献值，dB(A)；</w:t>
            </w:r>
          </w:p>
          <w:p>
            <w:pPr>
              <w:pStyle w:val="17"/>
              <w:widowControl w:val="0"/>
              <w:snapToGrid w:val="0"/>
              <w:spacing w:before="0" w:beforeAutospacing="0" w:after="0" w:afterAutospacing="0" w:line="360" w:lineRule="auto"/>
              <w:ind w:firstLine="720" w:firstLineChars="300"/>
              <w:jc w:val="both"/>
              <w:rPr>
                <w:rFonts w:ascii="Times New Roman" w:hAnsi="Times New Roman"/>
                <w:color w:val="000000"/>
                <w:kern w:val="2"/>
                <w:szCs w:val="24"/>
              </w:rPr>
            </w:pPr>
            <w:r>
              <w:rPr>
                <w:rFonts w:ascii="Times New Roman" w:hAnsi="Times New Roman"/>
                <w:color w:val="000000"/>
                <w:kern w:val="2"/>
                <w:szCs w:val="24"/>
              </w:rPr>
              <w:drawing>
                <wp:inline distT="0" distB="0" distL="114300" distR="114300">
                  <wp:extent cx="304800" cy="219075"/>
                  <wp:effectExtent l="0" t="0" r="0" b="0"/>
                  <wp:docPr id="10" name="图片 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IMG_264"/>
                          <pic:cNvPicPr>
                            <a:picLocks noChangeAspect="1"/>
                          </pic:cNvPicPr>
                        </pic:nvPicPr>
                        <pic:blipFill>
                          <a:blip r:embed="rId23"/>
                          <a:stretch>
                            <a:fillRect/>
                          </a:stretch>
                        </pic:blipFill>
                        <pic:spPr>
                          <a:xfrm>
                            <a:off x="0" y="0"/>
                            <a:ext cx="304800" cy="219075"/>
                          </a:xfrm>
                          <a:prstGeom prst="rect">
                            <a:avLst/>
                          </a:prstGeom>
                          <a:noFill/>
                          <a:ln>
                            <a:noFill/>
                          </a:ln>
                        </pic:spPr>
                      </pic:pic>
                    </a:graphicData>
                  </a:graphic>
                </wp:inline>
              </w:drawing>
            </w:r>
            <w:r>
              <w:rPr>
                <w:rFonts w:ascii="Times New Roman" w:hAnsi="Times New Roman"/>
                <w:color w:val="000000"/>
                <w:kern w:val="2"/>
                <w:szCs w:val="24"/>
                <w:lang w:bidi="ar"/>
              </w:rPr>
              <w:t>——预测点的背景值，dB(A)。</w:t>
            </w:r>
          </w:p>
          <w:p>
            <w:pPr>
              <w:spacing w:line="360" w:lineRule="auto"/>
              <w:rPr>
                <w:b/>
                <w:color w:val="000000"/>
                <w:sz w:val="24"/>
                <w:lang w:bidi="ar"/>
              </w:rPr>
            </w:pPr>
            <w:r>
              <w:rPr>
                <w:color w:val="000000"/>
                <w:sz w:val="24"/>
                <w:lang w:bidi="ar"/>
              </w:rPr>
              <w:t>计算结果见下表。</w:t>
            </w:r>
          </w:p>
          <w:p>
            <w:pPr>
              <w:jc w:val="center"/>
              <w:rPr>
                <w:b/>
                <w:color w:val="000000"/>
                <w:sz w:val="24"/>
                <w:lang w:bidi="ar"/>
              </w:rPr>
            </w:pPr>
            <w:r>
              <w:rPr>
                <w:b/>
                <w:color w:val="000000"/>
                <w:sz w:val="24"/>
                <w:lang w:bidi="ar"/>
              </w:rPr>
              <w:t>表4-</w:t>
            </w:r>
            <w:r>
              <w:rPr>
                <w:rFonts w:hint="eastAsia"/>
                <w:b/>
                <w:color w:val="000000"/>
                <w:sz w:val="24"/>
                <w:lang w:bidi="ar"/>
              </w:rPr>
              <w:t>10</w:t>
            </w:r>
            <w:r>
              <w:rPr>
                <w:b/>
                <w:color w:val="000000"/>
                <w:sz w:val="24"/>
                <w:lang w:bidi="ar"/>
              </w:rPr>
              <w:t xml:space="preserve">  环境噪声预测结果一览表</w:t>
            </w:r>
            <w:r>
              <w:rPr>
                <w:rFonts w:hint="eastAsia"/>
                <w:b/>
                <w:color w:val="000000"/>
                <w:sz w:val="24"/>
                <w:lang w:bidi="ar"/>
              </w:rPr>
              <w:t xml:space="preserve"> </w:t>
            </w:r>
            <w:r>
              <w:rPr>
                <w:b/>
                <w:color w:val="000000"/>
                <w:sz w:val="24"/>
                <w:lang w:bidi="ar"/>
              </w:rPr>
              <w:t xml:space="preserve">   </w:t>
            </w:r>
            <w:r>
              <w:rPr>
                <w:rFonts w:hint="eastAsia"/>
                <w:b/>
                <w:color w:val="000000"/>
                <w:sz w:val="24"/>
                <w:lang w:bidi="ar"/>
              </w:rPr>
              <w:t>单位：d</w:t>
            </w:r>
            <w:r>
              <w:rPr>
                <w:b/>
                <w:color w:val="000000"/>
                <w:sz w:val="24"/>
                <w:lang w:bidi="ar"/>
              </w:rPr>
              <w:t>B(A)</w:t>
            </w:r>
          </w:p>
          <w:tbl>
            <w:tblPr>
              <w:tblStyle w:val="23"/>
              <w:tblW w:w="8101" w:type="dxa"/>
              <w:jc w:val="center"/>
              <w:tblInd w:w="0" w:type="dxa"/>
              <w:tblLayout w:type="fixed"/>
              <w:tblCellMar>
                <w:top w:w="0" w:type="dxa"/>
                <w:left w:w="108" w:type="dxa"/>
                <w:bottom w:w="0" w:type="dxa"/>
                <w:right w:w="108" w:type="dxa"/>
              </w:tblCellMar>
            </w:tblPr>
            <w:tblGrid>
              <w:gridCol w:w="1619"/>
              <w:gridCol w:w="1146"/>
              <w:gridCol w:w="1091"/>
              <w:gridCol w:w="1276"/>
              <w:gridCol w:w="1349"/>
              <w:gridCol w:w="1620"/>
            </w:tblGrid>
            <w:tr>
              <w:tblPrEx>
                <w:tblLayout w:type="fixed"/>
                <w:tblCellMar>
                  <w:top w:w="0" w:type="dxa"/>
                  <w:left w:w="108" w:type="dxa"/>
                  <w:bottom w:w="0" w:type="dxa"/>
                  <w:right w:w="108" w:type="dxa"/>
                </w:tblCellMar>
              </w:tblPrEx>
              <w:trPr>
                <w:trHeight w:val="34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预测点</w:t>
                  </w:r>
                </w:p>
              </w:tc>
              <w:tc>
                <w:tcPr>
                  <w:tcW w:w="2237" w:type="dxa"/>
                  <w:gridSpan w:val="2"/>
                  <w:tcBorders>
                    <w:top w:val="single" w:color="auto" w:sz="4" w:space="0"/>
                    <w:left w:val="nil"/>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贡献值</w:t>
                  </w:r>
                </w:p>
              </w:tc>
              <w:tc>
                <w:tcPr>
                  <w:tcW w:w="2625" w:type="dxa"/>
                  <w:gridSpan w:val="2"/>
                  <w:tcBorders>
                    <w:top w:val="single" w:color="auto" w:sz="4" w:space="0"/>
                    <w:left w:val="nil"/>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标准值</w:t>
                  </w:r>
                </w:p>
              </w:tc>
              <w:tc>
                <w:tcPr>
                  <w:tcW w:w="1620"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达标情况</w:t>
                  </w:r>
                </w:p>
              </w:tc>
            </w:tr>
            <w:tr>
              <w:tblPrEx>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46" w:type="dxa"/>
                  <w:tcBorders>
                    <w:top w:val="single" w:color="auto" w:sz="4" w:space="0"/>
                    <w:left w:val="nil"/>
                    <w:bottom w:val="single" w:color="auto" w:sz="4" w:space="0"/>
                    <w:right w:val="single" w:color="auto" w:sz="4" w:space="0"/>
                  </w:tcBorders>
                  <w:vAlign w:val="center"/>
                </w:tcPr>
                <w:p>
                  <w:pPr>
                    <w:jc w:val="center"/>
                    <w:rPr>
                      <w:b/>
                      <w:color w:val="000000"/>
                      <w:szCs w:val="21"/>
                    </w:rPr>
                  </w:pPr>
                  <w:r>
                    <w:rPr>
                      <w:b/>
                      <w:color w:val="000000"/>
                      <w:szCs w:val="21"/>
                    </w:rPr>
                    <w:t>昼间</w:t>
                  </w:r>
                </w:p>
              </w:tc>
              <w:tc>
                <w:tcPr>
                  <w:tcW w:w="1091" w:type="dxa"/>
                  <w:tcBorders>
                    <w:top w:val="single" w:color="auto" w:sz="4" w:space="0"/>
                    <w:left w:val="nil"/>
                    <w:bottom w:val="single" w:color="auto" w:sz="4" w:space="0"/>
                    <w:right w:val="single" w:color="auto" w:sz="4" w:space="0"/>
                  </w:tcBorders>
                  <w:vAlign w:val="center"/>
                </w:tcPr>
                <w:p>
                  <w:pPr>
                    <w:jc w:val="center"/>
                    <w:rPr>
                      <w:b/>
                      <w:color w:val="000000"/>
                      <w:szCs w:val="21"/>
                    </w:rPr>
                  </w:pPr>
                  <w:r>
                    <w:rPr>
                      <w:b/>
                      <w:color w:val="000000"/>
                      <w:szCs w:val="21"/>
                    </w:rPr>
                    <w:t>夜间</w:t>
                  </w:r>
                </w:p>
              </w:tc>
              <w:tc>
                <w:tcPr>
                  <w:tcW w:w="1276" w:type="dxa"/>
                  <w:tcBorders>
                    <w:top w:val="single" w:color="auto" w:sz="4" w:space="0"/>
                    <w:left w:val="nil"/>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昼间</w:t>
                  </w:r>
                </w:p>
              </w:tc>
              <w:tc>
                <w:tcPr>
                  <w:tcW w:w="1349" w:type="dxa"/>
                  <w:tcBorders>
                    <w:top w:val="single" w:color="auto" w:sz="4" w:space="0"/>
                    <w:left w:val="nil"/>
                    <w:bottom w:val="single" w:color="auto" w:sz="4" w:space="0"/>
                    <w:right w:val="single" w:color="auto" w:sz="4" w:space="0"/>
                  </w:tcBorders>
                  <w:vAlign w:val="center"/>
                </w:tcPr>
                <w:p>
                  <w:pPr>
                    <w:jc w:val="center"/>
                    <w:rPr>
                      <w:b/>
                      <w:bCs/>
                      <w:color w:val="000000"/>
                      <w:kern w:val="0"/>
                      <w:szCs w:val="21"/>
                    </w:rPr>
                  </w:pPr>
                  <w:r>
                    <w:rPr>
                      <w:b/>
                      <w:bCs/>
                      <w:color w:val="000000"/>
                      <w:kern w:val="0"/>
                      <w:szCs w:val="21"/>
                      <w:lang w:bidi="ar"/>
                    </w:rPr>
                    <w:t>夜间</w:t>
                  </w:r>
                </w:p>
              </w:tc>
              <w:tc>
                <w:tcPr>
                  <w:tcW w:w="1620" w:type="dxa"/>
                  <w:vMerge w:val="continue"/>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lang w:bidi="ar"/>
                    </w:rPr>
                    <w:t>东厂界</w:t>
                  </w:r>
                </w:p>
              </w:tc>
              <w:tc>
                <w:tcPr>
                  <w:tcW w:w="114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45.</w:t>
                  </w:r>
                  <w:r>
                    <w:rPr>
                      <w:rFonts w:hint="eastAsia"/>
                      <w:color w:val="000000"/>
                      <w:kern w:val="0"/>
                      <w:szCs w:val="21"/>
                    </w:rPr>
                    <w:t>7</w:t>
                  </w:r>
                </w:p>
              </w:tc>
              <w:tc>
                <w:tcPr>
                  <w:tcW w:w="1091"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snapToGrid w:val="0"/>
                      <w:color w:val="000000"/>
                      <w:kern w:val="21"/>
                      <w:szCs w:val="21"/>
                    </w:rPr>
                    <w:t>/</w:t>
                  </w:r>
                </w:p>
              </w:tc>
              <w:tc>
                <w:tcPr>
                  <w:tcW w:w="127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60</w:t>
                  </w:r>
                </w:p>
              </w:tc>
              <w:tc>
                <w:tcPr>
                  <w:tcW w:w="1349"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50</w:t>
                  </w:r>
                </w:p>
              </w:tc>
              <w:tc>
                <w:tcPr>
                  <w:tcW w:w="1620"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lang w:bidi="ar"/>
                    </w:rPr>
                    <w:t>南厂界</w:t>
                  </w:r>
                </w:p>
              </w:tc>
              <w:tc>
                <w:tcPr>
                  <w:tcW w:w="114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49.2</w:t>
                  </w:r>
                </w:p>
              </w:tc>
              <w:tc>
                <w:tcPr>
                  <w:tcW w:w="1091"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snapToGrid w:val="0"/>
                      <w:color w:val="000000"/>
                      <w:kern w:val="21"/>
                      <w:szCs w:val="21"/>
                    </w:rPr>
                    <w:t>/</w:t>
                  </w:r>
                </w:p>
              </w:tc>
              <w:tc>
                <w:tcPr>
                  <w:tcW w:w="127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rFonts w:hint="eastAsia"/>
                      <w:color w:val="000000"/>
                      <w:kern w:val="0"/>
                      <w:szCs w:val="21"/>
                    </w:rPr>
                    <w:t>70</w:t>
                  </w:r>
                </w:p>
              </w:tc>
              <w:tc>
                <w:tcPr>
                  <w:tcW w:w="1349"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rFonts w:hint="eastAsia"/>
                      <w:color w:val="000000"/>
                      <w:kern w:val="0"/>
                      <w:szCs w:val="21"/>
                    </w:rPr>
                    <w:t>55</w:t>
                  </w:r>
                </w:p>
              </w:tc>
              <w:tc>
                <w:tcPr>
                  <w:tcW w:w="1620"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lang w:bidi="ar"/>
                    </w:rPr>
                    <w:t>西厂界</w:t>
                  </w:r>
                </w:p>
              </w:tc>
              <w:tc>
                <w:tcPr>
                  <w:tcW w:w="114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4</w:t>
                  </w:r>
                  <w:r>
                    <w:rPr>
                      <w:rFonts w:hint="eastAsia"/>
                      <w:color w:val="000000"/>
                      <w:kern w:val="0"/>
                      <w:szCs w:val="21"/>
                    </w:rPr>
                    <w:t>5</w:t>
                  </w:r>
                  <w:r>
                    <w:rPr>
                      <w:color w:val="000000"/>
                      <w:kern w:val="0"/>
                      <w:szCs w:val="21"/>
                    </w:rPr>
                    <w:t>.2</w:t>
                  </w:r>
                </w:p>
              </w:tc>
              <w:tc>
                <w:tcPr>
                  <w:tcW w:w="1091"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snapToGrid w:val="0"/>
                      <w:color w:val="000000"/>
                      <w:kern w:val="21"/>
                      <w:szCs w:val="21"/>
                    </w:rPr>
                    <w:t>/</w:t>
                  </w:r>
                </w:p>
              </w:tc>
              <w:tc>
                <w:tcPr>
                  <w:tcW w:w="127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60</w:t>
                  </w:r>
                </w:p>
              </w:tc>
              <w:tc>
                <w:tcPr>
                  <w:tcW w:w="1349"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50</w:t>
                  </w:r>
                </w:p>
              </w:tc>
              <w:tc>
                <w:tcPr>
                  <w:tcW w:w="1620"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lang w:bidi="ar"/>
                    </w:rPr>
                    <w:t>北厂界</w:t>
                  </w:r>
                </w:p>
              </w:tc>
              <w:tc>
                <w:tcPr>
                  <w:tcW w:w="114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4</w:t>
                  </w:r>
                  <w:r>
                    <w:rPr>
                      <w:rFonts w:hint="eastAsia"/>
                      <w:color w:val="000000"/>
                      <w:kern w:val="0"/>
                      <w:szCs w:val="21"/>
                    </w:rPr>
                    <w:t>4</w:t>
                  </w:r>
                  <w:r>
                    <w:rPr>
                      <w:color w:val="000000"/>
                      <w:kern w:val="0"/>
                      <w:szCs w:val="21"/>
                    </w:rPr>
                    <w:t>.3</w:t>
                  </w:r>
                </w:p>
              </w:tc>
              <w:tc>
                <w:tcPr>
                  <w:tcW w:w="1091"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snapToGrid w:val="0"/>
                      <w:color w:val="000000"/>
                      <w:kern w:val="21"/>
                      <w:szCs w:val="21"/>
                    </w:rPr>
                    <w:t>/</w:t>
                  </w:r>
                </w:p>
              </w:tc>
              <w:tc>
                <w:tcPr>
                  <w:tcW w:w="1276"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60</w:t>
                  </w:r>
                </w:p>
              </w:tc>
              <w:tc>
                <w:tcPr>
                  <w:tcW w:w="1349"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rPr>
                    <w:t>50</w:t>
                  </w:r>
                </w:p>
              </w:tc>
              <w:tc>
                <w:tcPr>
                  <w:tcW w:w="1620" w:type="dxa"/>
                  <w:tcBorders>
                    <w:top w:val="single" w:color="auto" w:sz="4" w:space="0"/>
                    <w:left w:val="nil"/>
                    <w:bottom w:val="single" w:color="auto" w:sz="4" w:space="0"/>
                    <w:right w:val="single" w:color="auto" w:sz="4" w:space="0"/>
                  </w:tcBorders>
                  <w:vAlign w:val="center"/>
                </w:tcPr>
                <w:p>
                  <w:pPr>
                    <w:jc w:val="center"/>
                    <w:rPr>
                      <w:color w:val="000000"/>
                      <w:kern w:val="0"/>
                      <w:szCs w:val="21"/>
                    </w:rPr>
                  </w:pPr>
                  <w:r>
                    <w:rPr>
                      <w:color w:val="000000"/>
                      <w:kern w:val="0"/>
                      <w:szCs w:val="21"/>
                      <w:lang w:bidi="ar"/>
                    </w:rPr>
                    <w:t>达标</w:t>
                  </w:r>
                </w:p>
              </w:tc>
            </w:tr>
          </w:tbl>
          <w:p>
            <w:pPr>
              <w:spacing w:line="360" w:lineRule="auto"/>
              <w:ind w:firstLine="480" w:firstLineChars="200"/>
              <w:rPr>
                <w:color w:val="000000"/>
                <w:sz w:val="24"/>
              </w:rPr>
            </w:pPr>
            <w:r>
              <w:rPr>
                <w:color w:val="000000"/>
                <w:sz w:val="24"/>
              </w:rPr>
              <w:t>为减少噪声对周围环境的影响，加油站应加强项目管理，设置明显的限速标志和禁鸣标志，避免进入加油站加油的车辆不必要的怠速、制动、起动，甚至鸣笛。</w:t>
            </w:r>
          </w:p>
          <w:p>
            <w:pPr>
              <w:spacing w:line="360" w:lineRule="auto"/>
              <w:ind w:firstLine="480" w:firstLineChars="200"/>
              <w:rPr>
                <w:color w:val="000000"/>
                <w:sz w:val="24"/>
              </w:rPr>
            </w:pPr>
            <w:r>
              <w:rPr>
                <w:color w:val="000000"/>
                <w:sz w:val="24"/>
              </w:rPr>
              <w:t>通过上述措施及自然衰减，本项目产生的噪声传至到站区边界，站区边界</w:t>
            </w:r>
            <w:r>
              <w:rPr>
                <w:rFonts w:hint="eastAsia"/>
                <w:color w:val="000000"/>
                <w:sz w:val="24"/>
              </w:rPr>
              <w:t>南</w:t>
            </w:r>
            <w:r>
              <w:rPr>
                <w:color w:val="000000"/>
                <w:sz w:val="24"/>
              </w:rPr>
              <w:t>侧可以达到《工业企业厂界环境噪声排放标准》（GB12348-2008）中的4类标准，其他厂界可以达到《工业企业厂界环境噪声排放标准》（GB12348-2008）中的</w:t>
            </w:r>
            <w:r>
              <w:rPr>
                <w:rFonts w:hint="eastAsia"/>
                <w:color w:val="000000"/>
                <w:sz w:val="24"/>
              </w:rPr>
              <w:t>3</w:t>
            </w:r>
            <w:r>
              <w:rPr>
                <w:color w:val="000000"/>
                <w:sz w:val="24"/>
              </w:rPr>
              <w:t>类标准。</w:t>
            </w:r>
          </w:p>
          <w:p>
            <w:pPr>
              <w:spacing w:line="360" w:lineRule="auto"/>
              <w:rPr>
                <w:b/>
                <w:bCs/>
                <w:color w:val="000000"/>
                <w:sz w:val="24"/>
              </w:rPr>
            </w:pPr>
            <w:r>
              <w:rPr>
                <w:b/>
                <w:bCs/>
                <w:color w:val="000000"/>
                <w:sz w:val="24"/>
              </w:rPr>
              <w:t>四、固体废物</w:t>
            </w:r>
          </w:p>
          <w:p>
            <w:pPr>
              <w:spacing w:line="360" w:lineRule="auto"/>
              <w:ind w:firstLine="480" w:firstLineChars="200"/>
              <w:rPr>
                <w:sz w:val="24"/>
              </w:rPr>
            </w:pPr>
            <w:r>
              <w:rPr>
                <w:sz w:val="24"/>
              </w:rPr>
              <w:t>本项目所产生的固体废物为生活垃圾</w:t>
            </w:r>
            <w:r>
              <w:rPr>
                <w:rFonts w:hint="eastAsia"/>
                <w:sz w:val="24"/>
              </w:rPr>
              <w:t>、</w:t>
            </w:r>
            <w:r>
              <w:rPr>
                <w:sz w:val="24"/>
                <w:szCs w:val="22"/>
              </w:rPr>
              <w:t>一般固体废物</w:t>
            </w:r>
            <w:r>
              <w:rPr>
                <w:sz w:val="24"/>
              </w:rPr>
              <w:t>和危险废物；</w:t>
            </w:r>
          </w:p>
          <w:p>
            <w:pPr>
              <w:pStyle w:val="9"/>
              <w:spacing w:before="0" w:after="0" w:line="360" w:lineRule="auto"/>
              <w:ind w:firstLine="480" w:firstLineChars="200"/>
              <w:rPr>
                <w:sz w:val="24"/>
                <w:szCs w:val="24"/>
              </w:rPr>
            </w:pPr>
            <w:r>
              <w:rPr>
                <w:sz w:val="24"/>
                <w:szCs w:val="24"/>
              </w:rPr>
              <w:t>1、生活垃圾</w:t>
            </w:r>
          </w:p>
          <w:p>
            <w:pPr>
              <w:pStyle w:val="9"/>
              <w:spacing w:before="0" w:after="0" w:line="360" w:lineRule="auto"/>
              <w:ind w:firstLine="480" w:firstLineChars="200"/>
              <w:rPr>
                <w:sz w:val="24"/>
                <w:szCs w:val="24"/>
              </w:rPr>
            </w:pPr>
            <w:r>
              <w:rPr>
                <w:sz w:val="24"/>
                <w:szCs w:val="24"/>
              </w:rPr>
              <w:t>项目员工</w:t>
            </w:r>
            <w:r>
              <w:rPr>
                <w:rFonts w:hint="eastAsia"/>
                <w:sz w:val="24"/>
                <w:szCs w:val="24"/>
              </w:rPr>
              <w:t>2</w:t>
            </w:r>
            <w:r>
              <w:rPr>
                <w:sz w:val="24"/>
                <w:szCs w:val="24"/>
              </w:rPr>
              <w:t>人，不在厂区食宿，一班制，每班工作时间8小时，生活垃圾产生量按照0.5kg/人·d计算，产生生活垃圾量</w:t>
            </w:r>
            <w:r>
              <w:rPr>
                <w:rFonts w:hint="eastAsia"/>
                <w:sz w:val="24"/>
                <w:szCs w:val="24"/>
              </w:rPr>
              <w:t>0.3</w:t>
            </w:r>
            <w:r>
              <w:rPr>
                <w:sz w:val="24"/>
                <w:szCs w:val="24"/>
              </w:rPr>
              <w:t>t/a。由环卫部门定期清运处理。</w:t>
            </w:r>
          </w:p>
          <w:p>
            <w:pPr>
              <w:spacing w:line="360" w:lineRule="auto"/>
              <w:ind w:firstLine="480"/>
              <w:rPr>
                <w:color w:val="FF0000"/>
                <w:sz w:val="24"/>
              </w:rPr>
            </w:pPr>
            <w:r>
              <w:rPr>
                <w:rFonts w:hint="eastAsia"/>
                <w:sz w:val="24"/>
              </w:rPr>
              <w:t>2</w:t>
            </w:r>
            <w:r>
              <w:rPr>
                <w:sz w:val="24"/>
              </w:rPr>
              <w:t>、危险废物</w:t>
            </w:r>
          </w:p>
          <w:p>
            <w:pPr>
              <w:spacing w:line="360" w:lineRule="auto"/>
              <w:ind w:firstLine="480" w:firstLineChars="200"/>
              <w:rPr>
                <w:sz w:val="24"/>
              </w:rPr>
            </w:pPr>
            <w:r>
              <w:rPr>
                <w:sz w:val="24"/>
                <w:szCs w:val="22"/>
              </w:rPr>
              <w:t>（1）洗罐油水混合物及废渣：</w:t>
            </w:r>
            <w:r>
              <w:rPr>
                <w:rFonts w:ascii="宋体" w:hAnsi="宋体" w:cs="宋体"/>
                <w:sz w:val="24"/>
              </w:rPr>
              <w:t>撬装加油装置内</w:t>
            </w:r>
            <w:r>
              <w:rPr>
                <w:sz w:val="24"/>
              </w:rPr>
              <w:t>油罐定期清洗过程中产生油水混合物及油泥，其中废渣包括油垢、罐体铁渣等。</w:t>
            </w:r>
            <w:r>
              <w:rPr>
                <w:rFonts w:ascii="宋体" w:hAnsi="宋体" w:cs="宋体"/>
                <w:sz w:val="24"/>
              </w:rPr>
              <w:t>本项目设有一个撬装加油装置</w:t>
            </w:r>
            <w:r>
              <w:rPr>
                <w:sz w:val="24"/>
              </w:rPr>
              <w:t>，容积为</w:t>
            </w:r>
            <w:r>
              <w:rPr>
                <w:rFonts w:hint="eastAsia"/>
                <w:sz w:val="24"/>
              </w:rPr>
              <w:t>5</w:t>
            </w:r>
            <w:r>
              <w:rPr>
                <w:sz w:val="24"/>
              </w:rPr>
              <w:t>0m</w:t>
            </w:r>
            <w:r>
              <w:rPr>
                <w:sz w:val="24"/>
                <w:vertAlign w:val="superscript"/>
              </w:rPr>
              <w:t>3</w:t>
            </w:r>
            <w:r>
              <w:rPr>
                <w:sz w:val="24"/>
              </w:rPr>
              <w:t>。</w:t>
            </w:r>
            <w:r>
              <w:rPr>
                <w:rFonts w:ascii="宋体" w:hAnsi="宋体" w:cs="宋体"/>
                <w:sz w:val="24"/>
              </w:rPr>
              <w:t>撬装加油装置内</w:t>
            </w:r>
            <w:r>
              <w:rPr>
                <w:sz w:val="24"/>
              </w:rPr>
              <w:t>油罐清洗周期一般为3年一次，交由专业公司清洗，则洗罐油水混合物共</w:t>
            </w:r>
            <w:r>
              <w:rPr>
                <w:rFonts w:hint="eastAsia"/>
                <w:sz w:val="24"/>
              </w:rPr>
              <w:t>0.88</w:t>
            </w:r>
            <w:r>
              <w:rPr>
                <w:sz w:val="24"/>
              </w:rPr>
              <w:t>t/次，清罐油泥约为0.</w:t>
            </w:r>
            <w:r>
              <w:rPr>
                <w:rFonts w:hint="eastAsia"/>
                <w:sz w:val="24"/>
              </w:rPr>
              <w:t>125</w:t>
            </w:r>
            <w:r>
              <w:rPr>
                <w:sz w:val="24"/>
              </w:rPr>
              <w:t>t/次。</w:t>
            </w:r>
          </w:p>
          <w:p>
            <w:pPr>
              <w:spacing w:line="360" w:lineRule="auto"/>
              <w:ind w:firstLine="480" w:firstLineChars="200"/>
              <w:rPr>
                <w:sz w:val="24"/>
                <w:szCs w:val="22"/>
              </w:rPr>
            </w:pPr>
            <w:r>
              <w:rPr>
                <w:sz w:val="24"/>
                <w:szCs w:val="22"/>
              </w:rPr>
              <w:t>企业委托具有专业清罐和处置资质的油罐清洗单位进行清罐作业，产生的洗罐油水混合物及废渣为危险废物（HW08废矿物油与含矿物油废物），由油罐清洗公司一并带走处置。</w:t>
            </w:r>
          </w:p>
          <w:p>
            <w:pPr>
              <w:spacing w:line="360" w:lineRule="auto"/>
              <w:ind w:firstLine="480" w:firstLineChars="200"/>
              <w:rPr>
                <w:sz w:val="24"/>
                <w:szCs w:val="22"/>
              </w:rPr>
            </w:pPr>
            <w:r>
              <w:rPr>
                <w:sz w:val="24"/>
              </w:rPr>
              <w:t>（2）废抹布：加油站洒落的油品按操作规程用抹布擦拭，产生含油废抹布，产生量15kg/a，</w:t>
            </w:r>
            <w:r>
              <w:rPr>
                <w:sz w:val="24"/>
                <w:szCs w:val="22"/>
              </w:rPr>
              <w:t>根据《国家危险废物名录》（2021</w:t>
            </w:r>
            <w:r>
              <w:rPr>
                <w:rFonts w:hint="eastAsia"/>
                <w:sz w:val="24"/>
                <w:szCs w:val="22"/>
              </w:rPr>
              <w:t>版</w:t>
            </w:r>
            <w:r>
              <w:rPr>
                <w:sz w:val="24"/>
                <w:szCs w:val="22"/>
              </w:rPr>
              <w:t>），含油废抹布</w:t>
            </w:r>
            <w:bookmarkStart w:id="3" w:name="_Toc444075623"/>
            <w:r>
              <w:rPr>
                <w:sz w:val="24"/>
                <w:szCs w:val="22"/>
              </w:rPr>
              <w:t>在危险废物豁免管理清单</w:t>
            </w:r>
            <w:bookmarkEnd w:id="3"/>
            <w:r>
              <w:rPr>
                <w:sz w:val="24"/>
                <w:szCs w:val="22"/>
              </w:rPr>
              <w:t>范围，则含油废抹布为一般固体废物，可混入生活垃圾，由环卫部门定期清运处理。</w:t>
            </w:r>
          </w:p>
          <w:p>
            <w:pPr>
              <w:pStyle w:val="8"/>
              <w:spacing w:line="360" w:lineRule="auto"/>
              <w:ind w:firstLine="480"/>
              <w:rPr>
                <w:b/>
                <w:bCs/>
                <w:sz w:val="24"/>
              </w:rPr>
            </w:pPr>
            <w:r>
              <w:rPr>
                <w:sz w:val="24"/>
              </w:rPr>
              <w:t>本项目固体废物产生及排放情况见下表：</w:t>
            </w:r>
          </w:p>
          <w:p>
            <w:pPr>
              <w:spacing w:line="360" w:lineRule="auto"/>
              <w:ind w:firstLine="482" w:firstLineChars="200"/>
              <w:jc w:val="center"/>
              <w:rPr>
                <w:b/>
                <w:bCs/>
                <w:color w:val="000000"/>
                <w:sz w:val="24"/>
              </w:rPr>
            </w:pPr>
            <w:r>
              <w:rPr>
                <w:b/>
                <w:bCs/>
                <w:color w:val="000000"/>
                <w:sz w:val="24"/>
              </w:rPr>
              <w:t>表4-</w:t>
            </w:r>
            <w:r>
              <w:rPr>
                <w:rFonts w:hint="eastAsia"/>
                <w:b/>
                <w:bCs/>
                <w:color w:val="000000"/>
                <w:sz w:val="24"/>
              </w:rPr>
              <w:t>11</w:t>
            </w:r>
            <w:r>
              <w:rPr>
                <w:b/>
                <w:bCs/>
                <w:color w:val="000000"/>
                <w:sz w:val="24"/>
              </w:rPr>
              <w:t xml:space="preserve">  项目固废产生情况一览表</w:t>
            </w:r>
          </w:p>
          <w:tbl>
            <w:tblPr>
              <w:tblStyle w:val="23"/>
              <w:tblW w:w="7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1"/>
              <w:gridCol w:w="1274"/>
              <w:gridCol w:w="970"/>
              <w:gridCol w:w="189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Align w:val="center"/>
                </w:tcPr>
                <w:p>
                  <w:pPr>
                    <w:spacing w:line="276" w:lineRule="auto"/>
                    <w:jc w:val="center"/>
                    <w:textAlignment w:val="baseline"/>
                    <w:rPr>
                      <w:b/>
                      <w:color w:val="000000"/>
                      <w:szCs w:val="21"/>
                    </w:rPr>
                  </w:pPr>
                  <w:r>
                    <w:rPr>
                      <w:b/>
                      <w:color w:val="000000"/>
                      <w:szCs w:val="21"/>
                    </w:rPr>
                    <w:t>序号</w:t>
                  </w:r>
                </w:p>
              </w:tc>
              <w:tc>
                <w:tcPr>
                  <w:tcW w:w="1061" w:type="dxa"/>
                  <w:vAlign w:val="center"/>
                </w:tcPr>
                <w:p>
                  <w:pPr>
                    <w:spacing w:line="276" w:lineRule="auto"/>
                    <w:jc w:val="center"/>
                    <w:textAlignment w:val="baseline"/>
                    <w:rPr>
                      <w:b/>
                      <w:color w:val="000000"/>
                      <w:szCs w:val="21"/>
                    </w:rPr>
                  </w:pPr>
                  <w:r>
                    <w:rPr>
                      <w:b/>
                      <w:color w:val="000000"/>
                      <w:szCs w:val="21"/>
                    </w:rPr>
                    <w:t>项目</w:t>
                  </w:r>
                </w:p>
              </w:tc>
              <w:tc>
                <w:tcPr>
                  <w:tcW w:w="1274" w:type="dxa"/>
                  <w:vAlign w:val="center"/>
                </w:tcPr>
                <w:p>
                  <w:pPr>
                    <w:spacing w:line="276" w:lineRule="auto"/>
                    <w:jc w:val="center"/>
                    <w:textAlignment w:val="baseline"/>
                    <w:rPr>
                      <w:b/>
                      <w:color w:val="000000"/>
                      <w:szCs w:val="21"/>
                    </w:rPr>
                  </w:pPr>
                  <w:r>
                    <w:rPr>
                      <w:b/>
                      <w:color w:val="000000"/>
                      <w:szCs w:val="21"/>
                    </w:rPr>
                    <w:t>产生量</w:t>
                  </w:r>
                </w:p>
              </w:tc>
              <w:tc>
                <w:tcPr>
                  <w:tcW w:w="970" w:type="dxa"/>
                </w:tcPr>
                <w:p>
                  <w:pPr>
                    <w:spacing w:line="276" w:lineRule="auto"/>
                    <w:jc w:val="center"/>
                    <w:textAlignment w:val="baseline"/>
                    <w:rPr>
                      <w:b/>
                      <w:color w:val="000000"/>
                      <w:szCs w:val="21"/>
                    </w:rPr>
                  </w:pPr>
                  <w:r>
                    <w:rPr>
                      <w:b/>
                      <w:color w:val="000000"/>
                      <w:szCs w:val="21"/>
                    </w:rPr>
                    <w:t>代码</w:t>
                  </w:r>
                </w:p>
              </w:tc>
              <w:tc>
                <w:tcPr>
                  <w:tcW w:w="1896" w:type="dxa"/>
                  <w:vAlign w:val="center"/>
                </w:tcPr>
                <w:p>
                  <w:pPr>
                    <w:spacing w:line="276" w:lineRule="auto"/>
                    <w:jc w:val="center"/>
                    <w:textAlignment w:val="baseline"/>
                    <w:rPr>
                      <w:b/>
                      <w:color w:val="000000"/>
                      <w:szCs w:val="21"/>
                    </w:rPr>
                  </w:pPr>
                  <w:r>
                    <w:rPr>
                      <w:b/>
                      <w:color w:val="000000"/>
                      <w:szCs w:val="21"/>
                    </w:rPr>
                    <w:t>固废性质</w:t>
                  </w:r>
                </w:p>
              </w:tc>
              <w:tc>
                <w:tcPr>
                  <w:tcW w:w="1964" w:type="dxa"/>
                  <w:vAlign w:val="center"/>
                </w:tcPr>
                <w:p>
                  <w:pPr>
                    <w:spacing w:line="276" w:lineRule="auto"/>
                    <w:jc w:val="center"/>
                    <w:textAlignment w:val="baseline"/>
                    <w:rPr>
                      <w:b/>
                      <w:color w:val="000000"/>
                      <w:szCs w:val="21"/>
                    </w:rPr>
                  </w:pPr>
                  <w:r>
                    <w:rPr>
                      <w:b/>
                      <w:color w:val="000000"/>
                      <w:szCs w:val="21"/>
                    </w:rPr>
                    <w:t>拟处置方式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00" w:type="dxa"/>
                  <w:vAlign w:val="center"/>
                </w:tcPr>
                <w:p>
                  <w:pPr>
                    <w:spacing w:line="276" w:lineRule="auto"/>
                    <w:jc w:val="center"/>
                    <w:textAlignment w:val="baseline"/>
                    <w:rPr>
                      <w:bCs/>
                      <w:color w:val="000000"/>
                      <w:szCs w:val="21"/>
                    </w:rPr>
                  </w:pPr>
                  <w:r>
                    <w:rPr>
                      <w:bCs/>
                      <w:color w:val="000000"/>
                      <w:szCs w:val="21"/>
                    </w:rPr>
                    <w:t>1</w:t>
                  </w:r>
                </w:p>
              </w:tc>
              <w:tc>
                <w:tcPr>
                  <w:tcW w:w="1061" w:type="dxa"/>
                  <w:vAlign w:val="center"/>
                </w:tcPr>
                <w:p>
                  <w:pPr>
                    <w:spacing w:line="276" w:lineRule="auto"/>
                    <w:jc w:val="center"/>
                    <w:textAlignment w:val="baseline"/>
                    <w:rPr>
                      <w:bCs/>
                      <w:color w:val="000000"/>
                      <w:szCs w:val="21"/>
                    </w:rPr>
                  </w:pPr>
                  <w:r>
                    <w:rPr>
                      <w:bCs/>
                      <w:color w:val="000000"/>
                      <w:szCs w:val="21"/>
                    </w:rPr>
                    <w:t>废抹布</w:t>
                  </w:r>
                </w:p>
              </w:tc>
              <w:tc>
                <w:tcPr>
                  <w:tcW w:w="1274" w:type="dxa"/>
                  <w:vAlign w:val="center"/>
                </w:tcPr>
                <w:p>
                  <w:pPr>
                    <w:spacing w:line="276" w:lineRule="auto"/>
                    <w:jc w:val="center"/>
                    <w:textAlignment w:val="baseline"/>
                    <w:rPr>
                      <w:bCs/>
                      <w:color w:val="000000"/>
                      <w:szCs w:val="21"/>
                    </w:rPr>
                  </w:pPr>
                  <w:r>
                    <w:rPr>
                      <w:bCs/>
                      <w:color w:val="000000"/>
                      <w:szCs w:val="21"/>
                    </w:rPr>
                    <w:t>0.015t/a</w:t>
                  </w:r>
                </w:p>
              </w:tc>
              <w:tc>
                <w:tcPr>
                  <w:tcW w:w="970" w:type="dxa"/>
                  <w:vAlign w:val="center"/>
                </w:tcPr>
                <w:p>
                  <w:pPr>
                    <w:spacing w:line="276" w:lineRule="auto"/>
                    <w:jc w:val="center"/>
                    <w:textAlignment w:val="baseline"/>
                    <w:rPr>
                      <w:bCs/>
                      <w:color w:val="000000"/>
                      <w:szCs w:val="21"/>
                    </w:rPr>
                  </w:pPr>
                  <w:r>
                    <w:rPr>
                      <w:bCs/>
                      <w:color w:val="000000"/>
                      <w:szCs w:val="21"/>
                    </w:rPr>
                    <w:t>900-041-49</w:t>
                  </w:r>
                </w:p>
              </w:tc>
              <w:tc>
                <w:tcPr>
                  <w:tcW w:w="1896" w:type="dxa"/>
                  <w:vAlign w:val="center"/>
                </w:tcPr>
                <w:p>
                  <w:pPr>
                    <w:spacing w:line="276" w:lineRule="auto"/>
                    <w:jc w:val="center"/>
                    <w:textAlignment w:val="baseline"/>
                    <w:rPr>
                      <w:bCs/>
                      <w:color w:val="000000"/>
                      <w:szCs w:val="21"/>
                    </w:rPr>
                  </w:pPr>
                  <w:r>
                    <w:rPr>
                      <w:bCs/>
                      <w:color w:val="000000"/>
                      <w:szCs w:val="21"/>
                    </w:rPr>
                    <w:t>危险废物，全过程豁免</w:t>
                  </w:r>
                </w:p>
              </w:tc>
              <w:tc>
                <w:tcPr>
                  <w:tcW w:w="1964" w:type="dxa"/>
                  <w:vAlign w:val="center"/>
                </w:tcPr>
                <w:p>
                  <w:pPr>
                    <w:spacing w:line="276" w:lineRule="auto"/>
                    <w:jc w:val="center"/>
                    <w:textAlignment w:val="baseline"/>
                    <w:rPr>
                      <w:bCs/>
                      <w:color w:val="000000"/>
                      <w:szCs w:val="21"/>
                    </w:rPr>
                  </w:pPr>
                  <w:r>
                    <w:rPr>
                      <w:bCs/>
                      <w:color w:val="000000"/>
                      <w:szCs w:val="21"/>
                    </w:rPr>
                    <w:t>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Align w:val="center"/>
                </w:tcPr>
                <w:p>
                  <w:pPr>
                    <w:spacing w:line="276" w:lineRule="auto"/>
                    <w:jc w:val="center"/>
                    <w:textAlignment w:val="baseline"/>
                    <w:rPr>
                      <w:bCs/>
                      <w:color w:val="000000"/>
                      <w:szCs w:val="21"/>
                    </w:rPr>
                  </w:pPr>
                  <w:r>
                    <w:rPr>
                      <w:bCs/>
                      <w:color w:val="000000"/>
                      <w:szCs w:val="21"/>
                    </w:rPr>
                    <w:t>2</w:t>
                  </w:r>
                </w:p>
              </w:tc>
              <w:tc>
                <w:tcPr>
                  <w:tcW w:w="1061" w:type="dxa"/>
                  <w:vAlign w:val="center"/>
                </w:tcPr>
                <w:p>
                  <w:pPr>
                    <w:spacing w:line="276" w:lineRule="auto"/>
                    <w:jc w:val="center"/>
                    <w:textAlignment w:val="baseline"/>
                    <w:rPr>
                      <w:bCs/>
                      <w:color w:val="000000"/>
                      <w:szCs w:val="21"/>
                    </w:rPr>
                  </w:pPr>
                  <w:r>
                    <w:rPr>
                      <w:bCs/>
                      <w:color w:val="000000"/>
                      <w:szCs w:val="21"/>
                    </w:rPr>
                    <w:t>洗罐油水混合物及废渣</w:t>
                  </w:r>
                </w:p>
              </w:tc>
              <w:tc>
                <w:tcPr>
                  <w:tcW w:w="1274" w:type="dxa"/>
                  <w:vAlign w:val="center"/>
                </w:tcPr>
                <w:p>
                  <w:pPr>
                    <w:spacing w:line="276" w:lineRule="auto"/>
                    <w:jc w:val="center"/>
                    <w:textAlignment w:val="baseline"/>
                    <w:rPr>
                      <w:bCs/>
                      <w:color w:val="000000"/>
                      <w:szCs w:val="21"/>
                    </w:rPr>
                  </w:pPr>
                  <w:r>
                    <w:rPr>
                      <w:bCs/>
                      <w:color w:val="000000"/>
                      <w:szCs w:val="21"/>
                    </w:rPr>
                    <w:t>1t/3a</w:t>
                  </w:r>
                </w:p>
              </w:tc>
              <w:tc>
                <w:tcPr>
                  <w:tcW w:w="970" w:type="dxa"/>
                  <w:vAlign w:val="center"/>
                </w:tcPr>
                <w:p>
                  <w:pPr>
                    <w:spacing w:line="276" w:lineRule="auto"/>
                    <w:jc w:val="center"/>
                    <w:textAlignment w:val="baseline"/>
                    <w:rPr>
                      <w:bCs/>
                      <w:color w:val="000000"/>
                      <w:szCs w:val="21"/>
                    </w:rPr>
                  </w:pPr>
                  <w:r>
                    <w:rPr>
                      <w:bCs/>
                      <w:color w:val="000000"/>
                      <w:szCs w:val="21"/>
                    </w:rPr>
                    <w:t>900-221-08</w:t>
                  </w:r>
                </w:p>
              </w:tc>
              <w:tc>
                <w:tcPr>
                  <w:tcW w:w="1896" w:type="dxa"/>
                  <w:vAlign w:val="center"/>
                </w:tcPr>
                <w:p>
                  <w:pPr>
                    <w:spacing w:line="276" w:lineRule="auto"/>
                    <w:jc w:val="center"/>
                    <w:textAlignment w:val="baseline"/>
                    <w:rPr>
                      <w:bCs/>
                      <w:color w:val="000000"/>
                      <w:szCs w:val="21"/>
                    </w:rPr>
                  </w:pPr>
                  <w:r>
                    <w:rPr>
                      <w:bCs/>
                      <w:color w:val="000000"/>
                      <w:szCs w:val="21"/>
                    </w:rPr>
                    <w:t>危险废物</w:t>
                  </w:r>
                </w:p>
                <w:p>
                  <w:pPr>
                    <w:spacing w:line="276" w:lineRule="auto"/>
                    <w:jc w:val="center"/>
                    <w:textAlignment w:val="baseline"/>
                    <w:rPr>
                      <w:bCs/>
                      <w:color w:val="000000"/>
                      <w:szCs w:val="21"/>
                    </w:rPr>
                  </w:pPr>
                  <w:r>
                    <w:rPr>
                      <w:bCs/>
                      <w:color w:val="000000"/>
                      <w:szCs w:val="21"/>
                    </w:rPr>
                    <w:t>（HW08废矿物油与含矿物油废物）</w:t>
                  </w:r>
                </w:p>
              </w:tc>
              <w:tc>
                <w:tcPr>
                  <w:tcW w:w="1964" w:type="dxa"/>
                  <w:vAlign w:val="center"/>
                </w:tcPr>
                <w:p>
                  <w:pPr>
                    <w:spacing w:line="276" w:lineRule="auto"/>
                    <w:jc w:val="center"/>
                    <w:textAlignment w:val="baseline"/>
                    <w:rPr>
                      <w:bCs/>
                      <w:color w:val="000000"/>
                      <w:szCs w:val="21"/>
                    </w:rPr>
                  </w:pPr>
                  <w:r>
                    <w:rPr>
                      <w:color w:val="000000"/>
                      <w:szCs w:val="21"/>
                    </w:rPr>
                    <w:t>由油罐清洗公司一并带走处置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vAlign w:val="center"/>
                </w:tcPr>
                <w:p>
                  <w:pPr>
                    <w:spacing w:line="276" w:lineRule="auto"/>
                    <w:jc w:val="center"/>
                    <w:textAlignment w:val="baseline"/>
                    <w:rPr>
                      <w:bCs/>
                      <w:color w:val="000000"/>
                      <w:szCs w:val="21"/>
                    </w:rPr>
                  </w:pPr>
                  <w:r>
                    <w:rPr>
                      <w:bCs/>
                      <w:color w:val="000000"/>
                      <w:szCs w:val="21"/>
                    </w:rPr>
                    <w:t>3</w:t>
                  </w:r>
                </w:p>
              </w:tc>
              <w:tc>
                <w:tcPr>
                  <w:tcW w:w="1061" w:type="dxa"/>
                  <w:vAlign w:val="center"/>
                </w:tcPr>
                <w:p>
                  <w:pPr>
                    <w:spacing w:line="276" w:lineRule="auto"/>
                    <w:jc w:val="center"/>
                    <w:textAlignment w:val="baseline"/>
                    <w:rPr>
                      <w:bCs/>
                      <w:color w:val="000000"/>
                      <w:szCs w:val="21"/>
                    </w:rPr>
                  </w:pPr>
                  <w:r>
                    <w:rPr>
                      <w:bCs/>
                      <w:color w:val="000000"/>
                      <w:szCs w:val="21"/>
                    </w:rPr>
                    <w:t>生活垃圾</w:t>
                  </w:r>
                </w:p>
              </w:tc>
              <w:tc>
                <w:tcPr>
                  <w:tcW w:w="1274" w:type="dxa"/>
                  <w:vAlign w:val="center"/>
                </w:tcPr>
                <w:p>
                  <w:pPr>
                    <w:spacing w:line="276" w:lineRule="auto"/>
                    <w:jc w:val="center"/>
                    <w:textAlignment w:val="baseline"/>
                    <w:rPr>
                      <w:bCs/>
                      <w:color w:val="000000"/>
                      <w:szCs w:val="21"/>
                    </w:rPr>
                  </w:pPr>
                  <w:r>
                    <w:rPr>
                      <w:rFonts w:hint="eastAsia"/>
                      <w:bCs/>
                      <w:color w:val="000000"/>
                      <w:szCs w:val="21"/>
                    </w:rPr>
                    <w:t>0.3</w:t>
                  </w:r>
                  <w:r>
                    <w:rPr>
                      <w:bCs/>
                      <w:color w:val="000000"/>
                      <w:szCs w:val="21"/>
                    </w:rPr>
                    <w:t>t/a</w:t>
                  </w:r>
                </w:p>
              </w:tc>
              <w:tc>
                <w:tcPr>
                  <w:tcW w:w="970" w:type="dxa"/>
                </w:tcPr>
                <w:p>
                  <w:pPr>
                    <w:spacing w:line="276" w:lineRule="auto"/>
                    <w:jc w:val="center"/>
                    <w:textAlignment w:val="baseline"/>
                    <w:rPr>
                      <w:bCs/>
                      <w:color w:val="000000"/>
                      <w:szCs w:val="21"/>
                    </w:rPr>
                  </w:pPr>
                  <w:r>
                    <w:rPr>
                      <w:bCs/>
                      <w:color w:val="000000"/>
                      <w:szCs w:val="21"/>
                    </w:rPr>
                    <w:t>/</w:t>
                  </w:r>
                </w:p>
              </w:tc>
              <w:tc>
                <w:tcPr>
                  <w:tcW w:w="1896" w:type="dxa"/>
                  <w:vAlign w:val="center"/>
                </w:tcPr>
                <w:p>
                  <w:pPr>
                    <w:spacing w:line="276" w:lineRule="auto"/>
                    <w:jc w:val="center"/>
                    <w:textAlignment w:val="baseline"/>
                    <w:rPr>
                      <w:bCs/>
                      <w:color w:val="000000"/>
                      <w:szCs w:val="21"/>
                    </w:rPr>
                  </w:pPr>
                  <w:r>
                    <w:rPr>
                      <w:bCs/>
                      <w:color w:val="000000"/>
                      <w:szCs w:val="21"/>
                    </w:rPr>
                    <w:t>/</w:t>
                  </w:r>
                </w:p>
              </w:tc>
              <w:tc>
                <w:tcPr>
                  <w:tcW w:w="1964" w:type="dxa"/>
                  <w:vAlign w:val="center"/>
                </w:tcPr>
                <w:p>
                  <w:pPr>
                    <w:spacing w:line="276" w:lineRule="auto"/>
                    <w:jc w:val="center"/>
                    <w:textAlignment w:val="baseline"/>
                    <w:rPr>
                      <w:bCs/>
                      <w:color w:val="000000"/>
                      <w:szCs w:val="21"/>
                    </w:rPr>
                  </w:pPr>
                  <w:r>
                    <w:rPr>
                      <w:bCs/>
                      <w:color w:val="000000"/>
                      <w:szCs w:val="21"/>
                    </w:rPr>
                    <w:t>交由环卫部门处置</w:t>
                  </w:r>
                </w:p>
              </w:tc>
            </w:tr>
          </w:tbl>
          <w:p>
            <w:pPr>
              <w:autoSpaceDE w:val="0"/>
              <w:autoSpaceDN w:val="0"/>
              <w:adjustRightInd w:val="0"/>
              <w:spacing w:line="360" w:lineRule="auto"/>
              <w:jc w:val="center"/>
              <w:rPr>
                <w:b/>
                <w:color w:val="000000"/>
                <w:sz w:val="24"/>
              </w:rPr>
            </w:pPr>
            <w:r>
              <w:rPr>
                <w:b/>
                <w:color w:val="000000"/>
                <w:sz w:val="24"/>
                <w:lang w:bidi="ar"/>
              </w:rPr>
              <w:t>表4-1</w:t>
            </w:r>
            <w:r>
              <w:rPr>
                <w:rFonts w:hint="eastAsia"/>
                <w:b/>
                <w:color w:val="000000"/>
                <w:sz w:val="24"/>
                <w:lang w:bidi="ar"/>
              </w:rPr>
              <w:t>2</w:t>
            </w:r>
            <w:r>
              <w:rPr>
                <w:b/>
                <w:color w:val="000000"/>
                <w:sz w:val="24"/>
                <w:lang w:bidi="ar"/>
              </w:rPr>
              <w:t xml:space="preserve">  项目危险废物产生情况一览表</w:t>
            </w:r>
          </w:p>
          <w:tbl>
            <w:tblPr>
              <w:tblStyle w:val="23"/>
              <w:tblW w:w="7936" w:type="dxa"/>
              <w:jc w:val="center"/>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908"/>
              <w:gridCol w:w="1087"/>
              <w:gridCol w:w="760"/>
              <w:gridCol w:w="959"/>
              <w:gridCol w:w="601"/>
              <w:gridCol w:w="739"/>
              <w:gridCol w:w="623"/>
              <w:gridCol w:w="1088"/>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危险废物名称</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危险废物类别</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危险废物代码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产生量</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产生工序及装置</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rPr>
                    <w:t>形态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outlineLvl w:val="0"/>
                    <w:rPr>
                      <w:b/>
                      <w:color w:val="000000"/>
                      <w:szCs w:val="21"/>
                    </w:rPr>
                  </w:pPr>
                  <w:r>
                    <w:rPr>
                      <w:b/>
                      <w:color w:val="000000"/>
                      <w:szCs w:val="21"/>
                      <w:lang w:bidi="ar"/>
                    </w:rPr>
                    <w:t>产废周期</w:t>
                  </w:r>
                </w:p>
              </w:tc>
              <w:tc>
                <w:tcPr>
                  <w:tcW w:w="623" w:type="dxa"/>
                  <w:tcBorders>
                    <w:top w:val="single" w:color="auto" w:sz="4" w:space="0"/>
                    <w:left w:val="nil"/>
                    <w:bottom w:val="single" w:color="auto" w:sz="4" w:space="0"/>
                    <w:right w:val="single" w:color="auto" w:sz="4" w:space="0"/>
                  </w:tcBorders>
                  <w:vAlign w:val="center"/>
                </w:tcPr>
                <w:p>
                  <w:pPr>
                    <w:jc w:val="center"/>
                    <w:outlineLvl w:val="0"/>
                    <w:rPr>
                      <w:b/>
                      <w:color w:val="000000"/>
                      <w:szCs w:val="21"/>
                    </w:rPr>
                  </w:pPr>
                  <w:r>
                    <w:rPr>
                      <w:b/>
                      <w:color w:val="000000"/>
                      <w:szCs w:val="21"/>
                    </w:rPr>
                    <w:t>危险特性</w:t>
                  </w:r>
                </w:p>
              </w:tc>
              <w:tc>
                <w:tcPr>
                  <w:tcW w:w="1088" w:type="dxa"/>
                  <w:tcBorders>
                    <w:top w:val="single" w:color="auto" w:sz="4" w:space="0"/>
                    <w:left w:val="nil"/>
                    <w:bottom w:val="single" w:color="auto" w:sz="4" w:space="0"/>
                    <w:right w:val="single" w:color="auto" w:sz="4" w:space="0"/>
                  </w:tcBorders>
                  <w:vAlign w:val="center"/>
                </w:tcPr>
                <w:p>
                  <w:pPr>
                    <w:jc w:val="center"/>
                    <w:outlineLvl w:val="0"/>
                    <w:rPr>
                      <w:b/>
                      <w:color w:val="000000"/>
                      <w:szCs w:val="21"/>
                      <w:lang w:bidi="ar"/>
                    </w:rPr>
                  </w:pPr>
                  <w:r>
                    <w:rPr>
                      <w:b/>
                      <w:color w:val="000000"/>
                      <w:szCs w:val="21"/>
                      <w:lang w:bidi="ar"/>
                    </w:rPr>
                    <w:t>污染防治措施</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Cs w:val="21"/>
                    </w:rPr>
                  </w:pPr>
                  <w:r>
                    <w:rPr>
                      <w:bCs/>
                      <w:color w:val="000000"/>
                      <w:szCs w:val="21"/>
                    </w:rPr>
                    <w:t>洗罐油水混合物及废渣</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lang w:bidi="ar"/>
                    </w:rPr>
                    <w:t>HW08</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Cs w:val="21"/>
                    </w:rPr>
                  </w:pPr>
                  <w:r>
                    <w:rPr>
                      <w:color w:val="000000"/>
                      <w:szCs w:val="21"/>
                      <w:lang w:bidi="ar"/>
                    </w:rPr>
                    <w:t>900-221-08</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Cs w:val="21"/>
                    </w:rPr>
                  </w:pPr>
                  <w:r>
                    <w:rPr>
                      <w:rFonts w:hint="eastAsia"/>
                      <w:color w:val="000000"/>
                      <w:szCs w:val="21"/>
                      <w:lang w:bidi="ar"/>
                    </w:rPr>
                    <w:t>1</w:t>
                  </w:r>
                  <w:r>
                    <w:rPr>
                      <w:color w:val="000000"/>
                      <w:szCs w:val="21"/>
                      <w:lang w:bidi="ar"/>
                    </w:rPr>
                    <w:t>t/3a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Cs w:val="21"/>
                    </w:rPr>
                  </w:pPr>
                  <w:r>
                    <w:rPr>
                      <w:color w:val="000000"/>
                      <w:szCs w:val="21"/>
                      <w:lang w:bidi="ar"/>
                    </w:rPr>
                    <w:t>油罐清洗</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Cs w:val="21"/>
                    </w:rPr>
                  </w:pPr>
                  <w:r>
                    <w:rPr>
                      <w:color w:val="000000"/>
                      <w:szCs w:val="21"/>
                      <w:lang w:bidi="ar"/>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lang w:bidi="ar"/>
                    </w:rPr>
                    <w:t>3年</w:t>
                  </w:r>
                </w:p>
              </w:tc>
              <w:tc>
                <w:tcPr>
                  <w:tcW w:w="623" w:type="dxa"/>
                  <w:tcBorders>
                    <w:top w:val="single" w:color="auto" w:sz="4" w:space="0"/>
                    <w:left w:val="nil"/>
                    <w:bottom w:val="single" w:color="auto" w:sz="4" w:space="0"/>
                    <w:right w:val="single" w:color="auto" w:sz="4" w:space="0"/>
                  </w:tcBorders>
                  <w:vAlign w:val="center"/>
                </w:tcPr>
                <w:p>
                  <w:pPr>
                    <w:jc w:val="center"/>
                    <w:outlineLvl w:val="0"/>
                    <w:rPr>
                      <w:color w:val="000000"/>
                      <w:szCs w:val="21"/>
                    </w:rPr>
                  </w:pPr>
                  <w:r>
                    <w:rPr>
                      <w:color w:val="000000"/>
                      <w:szCs w:val="21"/>
                      <w:lang w:bidi="ar"/>
                    </w:rPr>
                    <w:t>T/In</w:t>
                  </w:r>
                </w:p>
              </w:tc>
              <w:tc>
                <w:tcPr>
                  <w:tcW w:w="1088" w:type="dxa"/>
                  <w:tcBorders>
                    <w:top w:val="single" w:color="auto" w:sz="4" w:space="0"/>
                    <w:left w:val="nil"/>
                    <w:right w:val="single" w:color="auto" w:sz="4" w:space="0"/>
                  </w:tcBorders>
                  <w:vAlign w:val="center"/>
                </w:tcPr>
                <w:p>
                  <w:pPr>
                    <w:jc w:val="center"/>
                    <w:outlineLvl w:val="0"/>
                    <w:rPr>
                      <w:color w:val="000000"/>
                      <w:szCs w:val="21"/>
                      <w:lang w:bidi="ar"/>
                    </w:rPr>
                  </w:pPr>
                  <w:r>
                    <w:rPr>
                      <w:color w:val="000000"/>
                      <w:szCs w:val="21"/>
                      <w:lang w:bidi="ar"/>
                    </w:rPr>
                    <w:t>不在厂区暂存，有油罐清洗公司一并带走</w:t>
                  </w:r>
                </w:p>
              </w:tc>
            </w:tr>
          </w:tbl>
          <w:p>
            <w:pPr>
              <w:adjustRightInd w:val="0"/>
              <w:snapToGrid w:val="0"/>
              <w:spacing w:line="360" w:lineRule="auto"/>
              <w:rPr>
                <w:b/>
                <w:color w:val="000000"/>
                <w:sz w:val="24"/>
              </w:rPr>
            </w:pPr>
            <w:r>
              <w:rPr>
                <w:b/>
                <w:color w:val="000000"/>
                <w:sz w:val="24"/>
              </w:rPr>
              <w:t>五、地下水</w:t>
            </w:r>
            <w:r>
              <w:rPr>
                <w:rFonts w:hint="eastAsia"/>
                <w:b/>
                <w:color w:val="000000"/>
                <w:sz w:val="24"/>
              </w:rPr>
              <w:t>、土壤</w:t>
            </w:r>
          </w:p>
          <w:p>
            <w:pPr>
              <w:adjustRightInd w:val="0"/>
              <w:snapToGrid w:val="0"/>
              <w:spacing w:line="360" w:lineRule="auto"/>
              <w:ind w:firstLine="480" w:firstLineChars="200"/>
              <w:rPr>
                <w:bCs/>
                <w:color w:val="000000"/>
                <w:sz w:val="24"/>
              </w:rPr>
            </w:pPr>
            <w:r>
              <w:rPr>
                <w:rFonts w:hint="eastAsia"/>
                <w:bCs/>
                <w:sz w:val="24"/>
              </w:rPr>
              <w:t>1、污染源及污染途径</w:t>
            </w:r>
          </w:p>
          <w:p>
            <w:pPr>
              <w:spacing w:line="360" w:lineRule="auto"/>
              <w:ind w:firstLine="480" w:firstLineChars="200"/>
              <w:rPr>
                <w:color w:val="000000"/>
                <w:sz w:val="24"/>
              </w:rPr>
            </w:pPr>
            <w:r>
              <w:rPr>
                <w:color w:val="000000"/>
                <w:sz w:val="24"/>
              </w:rPr>
              <w:t>本项目对地下水</w:t>
            </w:r>
            <w:r>
              <w:rPr>
                <w:rFonts w:hint="eastAsia"/>
                <w:color w:val="000000"/>
                <w:sz w:val="24"/>
              </w:rPr>
              <w:t>和土壤</w:t>
            </w:r>
            <w:r>
              <w:rPr>
                <w:color w:val="000000"/>
                <w:sz w:val="24"/>
              </w:rPr>
              <w:t>产生影响的污染途径是</w:t>
            </w:r>
            <w:r>
              <w:rPr>
                <w:rFonts w:ascii="宋体" w:hAnsi="宋体" w:cs="宋体"/>
                <w:sz w:val="24"/>
              </w:rPr>
              <w:t>撬装加油装置</w:t>
            </w:r>
            <w:r>
              <w:rPr>
                <w:color w:val="000000"/>
                <w:sz w:val="24"/>
              </w:rPr>
              <w:t>区的泄漏或渗漏，地下水一旦遭到燃料油的污染，将会产生严重异味，并有较强的致畸致癌性，根本无法饮用。又由于这种渗漏必然穿过较厚的土壤层，使土壤层中吸附了大量的燃料油，土壤层吸附的燃料油不仅会造成植物生物的死亡，而且土壤层吸附的燃料油还会随着地表水的下渗对土壤层的冲刷作用补充到地下水，这样尽管污染源得到及时控制，但这种污染仅靠地表雨水入渗的冲刷，含水层的自净降解将是一个长期的过程，达到地下水的完全恢复需几十年甚至上百年的时间。</w:t>
            </w:r>
          </w:p>
          <w:p>
            <w:pPr>
              <w:adjustRightInd w:val="0"/>
              <w:snapToGrid w:val="0"/>
              <w:spacing w:line="360" w:lineRule="auto"/>
              <w:ind w:firstLine="480" w:firstLineChars="200"/>
              <w:rPr>
                <w:color w:val="000000"/>
                <w:sz w:val="24"/>
              </w:rPr>
            </w:pPr>
            <w:r>
              <w:rPr>
                <w:rFonts w:hint="eastAsia"/>
                <w:bCs/>
                <w:sz w:val="24"/>
              </w:rPr>
              <w:t>2、防控措施</w:t>
            </w:r>
          </w:p>
          <w:p>
            <w:pPr>
              <w:spacing w:line="360" w:lineRule="auto"/>
              <w:ind w:firstLine="480" w:firstLineChars="200"/>
              <w:rPr>
                <w:color w:val="000000"/>
                <w:sz w:val="24"/>
              </w:rPr>
            </w:pPr>
            <w:r>
              <w:rPr>
                <w:color w:val="000000"/>
                <w:sz w:val="24"/>
              </w:rPr>
              <w:t>为防止储油罐泄漏或渗漏对地下水</w:t>
            </w:r>
            <w:r>
              <w:rPr>
                <w:rFonts w:hint="eastAsia"/>
                <w:color w:val="000000"/>
                <w:sz w:val="24"/>
              </w:rPr>
              <w:t>和土壤</w:t>
            </w:r>
            <w:r>
              <w:rPr>
                <w:color w:val="000000"/>
                <w:sz w:val="24"/>
              </w:rPr>
              <w:t>造成污染，根据《汽车加油加气站设计与施工规范（2014 年局部修订版）》（GB50156-2012）及加油站地下水污染防治技术指南（试行）-环办水体函[2017]323 号评价要求，本项目采取以下防范措施及要求：</w:t>
            </w:r>
          </w:p>
          <w:p>
            <w:pPr>
              <w:spacing w:line="360" w:lineRule="auto"/>
              <w:ind w:firstLine="480" w:firstLineChars="200"/>
              <w:rPr>
                <w:color w:val="000000"/>
                <w:sz w:val="24"/>
              </w:rPr>
            </w:pPr>
            <w:r>
              <w:rPr>
                <w:color w:val="000000"/>
                <w:sz w:val="24"/>
              </w:rPr>
              <w:t>（1）卸油时油罐车采取密闭式卸油方式，且油罐采取防满溢措施：油料达到油罐容量 90%时，即触动高液位报警装置；油料达到油罐容量 95%时，可自动停止油料继续进罐；</w:t>
            </w:r>
          </w:p>
          <w:p>
            <w:pPr>
              <w:spacing w:line="360" w:lineRule="auto"/>
              <w:ind w:firstLine="480" w:firstLineChars="200"/>
              <w:rPr>
                <w:color w:val="000000"/>
                <w:sz w:val="24"/>
              </w:rPr>
            </w:pPr>
            <w:r>
              <w:rPr>
                <w:color w:val="000000"/>
                <w:sz w:val="24"/>
              </w:rPr>
              <w:t>（2）</w:t>
            </w:r>
            <w:r>
              <w:rPr>
                <w:rFonts w:ascii="宋体" w:hAnsi="宋体" w:cs="宋体"/>
                <w:sz w:val="24"/>
              </w:rPr>
              <w:t>本项目撬装加油装置内</w:t>
            </w:r>
            <w:r>
              <w:rPr>
                <w:sz w:val="24"/>
              </w:rPr>
              <w:t>油罐</w:t>
            </w:r>
            <w:r>
              <w:rPr>
                <w:color w:val="000000"/>
                <w:sz w:val="24"/>
              </w:rPr>
              <w:t>采用</w:t>
            </w:r>
            <w:r>
              <w:rPr>
                <w:rFonts w:hint="eastAsia"/>
                <w:color w:val="000000"/>
                <w:sz w:val="24"/>
              </w:rPr>
              <w:t>ZS阻隔防爆储罐采用插接工艺和双层焊口强化工艺，其焊缝强度高于12mm厚钢板的对焊焊缝强度。</w:t>
            </w:r>
            <w:r>
              <w:rPr>
                <w:rFonts w:ascii="宋体" w:hAnsi="宋体" w:cs="宋体"/>
                <w:sz w:val="24"/>
              </w:rPr>
              <w:t>内</w:t>
            </w:r>
            <w:r>
              <w:rPr>
                <w:rFonts w:hint="eastAsia"/>
                <w:color w:val="000000"/>
                <w:sz w:val="24"/>
              </w:rPr>
              <w:t>罐有效容积为50m³（装填系数95%）。罐体可承受1小时的耐火试验，并有国家一级防爆鉴定资质的检测机构出具的检测报告。</w:t>
            </w:r>
            <w:r>
              <w:rPr>
                <w:color w:val="000000"/>
                <w:sz w:val="24"/>
              </w:rPr>
              <w:t>中间有均匀夹层空间，并配有 24h 检测泄漏的自动检测仪，无论是内层罐发生渗漏还是外层罐发生渗漏，都能在贯通间隙内被发现，从而可有效的避免渗漏油品进入环境污染土壤和地下水。</w:t>
            </w:r>
          </w:p>
          <w:p>
            <w:pPr>
              <w:spacing w:line="360" w:lineRule="auto"/>
              <w:ind w:firstLine="480" w:firstLineChars="200"/>
              <w:rPr>
                <w:color w:val="000000"/>
                <w:sz w:val="24"/>
              </w:rPr>
            </w:pPr>
            <w:r>
              <w:rPr>
                <w:color w:val="000000"/>
                <w:sz w:val="24"/>
              </w:rPr>
              <w:t>（3）分区防渗</w:t>
            </w:r>
          </w:p>
          <w:p>
            <w:pPr>
              <w:spacing w:line="360" w:lineRule="auto"/>
              <w:ind w:firstLine="480" w:firstLineChars="200"/>
              <w:rPr>
                <w:color w:val="000000"/>
                <w:sz w:val="24"/>
              </w:rPr>
            </w:pPr>
            <w:r>
              <w:rPr>
                <w:color w:val="000000"/>
                <w:sz w:val="24"/>
              </w:rPr>
              <w:t>将全场按物料或者污染物泄漏的途径和生产功能单元所处的位置划分为重点防渗区</w:t>
            </w:r>
            <w:r>
              <w:rPr>
                <w:rFonts w:hint="eastAsia"/>
                <w:color w:val="000000"/>
                <w:sz w:val="24"/>
              </w:rPr>
              <w:t>和</w:t>
            </w:r>
            <w:r>
              <w:rPr>
                <w:color w:val="000000"/>
                <w:sz w:val="24"/>
              </w:rPr>
              <w:t>一般防渗区</w:t>
            </w:r>
            <w:r>
              <w:rPr>
                <w:rFonts w:hint="eastAsia"/>
                <w:color w:val="000000"/>
                <w:sz w:val="24"/>
              </w:rPr>
              <w:t>2</w:t>
            </w:r>
            <w:r>
              <w:rPr>
                <w:color w:val="000000"/>
                <w:sz w:val="24"/>
              </w:rPr>
              <w:t>类地下水污染防治区域。重点防渗区为：</w:t>
            </w:r>
            <w:r>
              <w:rPr>
                <w:rFonts w:ascii="宋体" w:hAnsi="宋体" w:cs="宋体"/>
                <w:sz w:val="24"/>
              </w:rPr>
              <w:t>撬装加油装置</w:t>
            </w:r>
            <w:r>
              <w:rPr>
                <w:color w:val="000000"/>
                <w:sz w:val="24"/>
              </w:rPr>
              <w:t>区等；一般防渗区为：</w:t>
            </w:r>
            <w:r>
              <w:rPr>
                <w:rFonts w:ascii="宋体" w:hAnsi="宋体" w:cs="宋体"/>
                <w:sz w:val="24"/>
              </w:rPr>
              <w:t>撬装加</w:t>
            </w:r>
            <w:r>
              <w:rPr>
                <w:sz w:val="24"/>
              </w:rPr>
              <w:t>油装置</w:t>
            </w:r>
            <w:r>
              <w:rPr>
                <w:color w:val="000000"/>
                <w:sz w:val="24"/>
              </w:rPr>
              <w:t>区</w:t>
            </w:r>
            <w:r>
              <w:rPr>
                <w:sz w:val="24"/>
              </w:rPr>
              <w:t>周边</w:t>
            </w:r>
            <w:r>
              <w:rPr>
                <w:rFonts w:hint="eastAsia"/>
                <w:sz w:val="24"/>
              </w:rPr>
              <w:t>1</w:t>
            </w:r>
            <w:r>
              <w:rPr>
                <w:sz w:val="24"/>
              </w:rPr>
              <w:t>0米范围</w:t>
            </w:r>
            <w:r>
              <w:rPr>
                <w:rFonts w:ascii="宋体" w:hAnsi="宋体" w:cs="宋体"/>
                <w:sz w:val="24"/>
              </w:rPr>
              <w:t>包括管理用房</w:t>
            </w:r>
            <w:r>
              <w:rPr>
                <w:color w:val="000000"/>
                <w:sz w:val="24"/>
              </w:rPr>
              <w:t>等；采取的具体防渗措施如下：</w:t>
            </w:r>
          </w:p>
          <w:p>
            <w:pPr>
              <w:spacing w:line="360" w:lineRule="auto"/>
              <w:ind w:firstLine="480" w:firstLineChars="200"/>
              <w:rPr>
                <w:color w:val="000000"/>
                <w:sz w:val="24"/>
              </w:rPr>
            </w:pPr>
            <w:r>
              <w:rPr>
                <w:color w:val="000000"/>
                <w:sz w:val="24"/>
              </w:rPr>
              <w:t>重点防渗区：</w:t>
            </w:r>
            <w:r>
              <w:rPr>
                <w:rFonts w:ascii="宋体" w:hAnsi="宋体" w:cs="宋体"/>
                <w:sz w:val="24"/>
              </w:rPr>
              <w:t>撬装加</w:t>
            </w:r>
            <w:r>
              <w:rPr>
                <w:sz w:val="24"/>
              </w:rPr>
              <w:t>油装置</w:t>
            </w:r>
            <w:r>
              <w:rPr>
                <w:color w:val="000000"/>
                <w:sz w:val="24"/>
              </w:rPr>
              <w:t>区等。防渗措施为：</w:t>
            </w:r>
            <w:r>
              <w:rPr>
                <w:rFonts w:hint="eastAsia"/>
                <w:color w:val="000000"/>
                <w:sz w:val="24"/>
              </w:rPr>
              <w:t>基础必须防渗，防渗层为至少1米厚粘土层（渗透系数≤10-7cm/s），或2mm厚高密度聚乙烯，或至少2mm厚的其它人工材料，渗透系数≤10-10cm/s</w:t>
            </w:r>
          </w:p>
          <w:p>
            <w:pPr>
              <w:spacing w:line="360" w:lineRule="auto"/>
              <w:ind w:firstLine="480" w:firstLineChars="200"/>
              <w:rPr>
                <w:color w:val="000000"/>
                <w:sz w:val="24"/>
              </w:rPr>
            </w:pPr>
            <w:r>
              <w:rPr>
                <w:color w:val="000000"/>
                <w:sz w:val="24"/>
              </w:rPr>
              <w:t>一般防渗区：</w:t>
            </w:r>
            <w:r>
              <w:rPr>
                <w:rFonts w:ascii="宋体" w:hAnsi="宋体" w:cs="宋体"/>
                <w:sz w:val="24"/>
              </w:rPr>
              <w:t>撬装加</w:t>
            </w:r>
            <w:r>
              <w:rPr>
                <w:sz w:val="24"/>
              </w:rPr>
              <w:t>油装置</w:t>
            </w:r>
            <w:r>
              <w:rPr>
                <w:color w:val="000000"/>
                <w:sz w:val="24"/>
              </w:rPr>
              <w:t>区</w:t>
            </w:r>
            <w:r>
              <w:rPr>
                <w:sz w:val="24"/>
              </w:rPr>
              <w:t>周边</w:t>
            </w:r>
            <w:r>
              <w:rPr>
                <w:rFonts w:hint="eastAsia"/>
                <w:sz w:val="24"/>
              </w:rPr>
              <w:t>1</w:t>
            </w:r>
            <w:r>
              <w:rPr>
                <w:sz w:val="24"/>
              </w:rPr>
              <w:t>0米范围</w:t>
            </w:r>
            <w:r>
              <w:rPr>
                <w:rFonts w:ascii="宋体" w:hAnsi="宋体" w:cs="宋体"/>
                <w:sz w:val="24"/>
              </w:rPr>
              <w:t>包括管理用房</w:t>
            </w:r>
            <w:r>
              <w:rPr>
                <w:color w:val="000000"/>
                <w:sz w:val="24"/>
              </w:rPr>
              <w:t>等。防渗措施为：地面采取粘土铺底，再在上层铺 10~15cm 的水泥进行硬化。通过上述措施可使一般防渗区各单元防渗层渗透系数≤10</w:t>
            </w:r>
            <w:r>
              <w:rPr>
                <w:color w:val="000000"/>
                <w:sz w:val="24"/>
                <w:vertAlign w:val="superscript"/>
              </w:rPr>
              <w:t>-7</w:t>
            </w:r>
            <w:r>
              <w:rPr>
                <w:color w:val="000000"/>
                <w:sz w:val="24"/>
              </w:rPr>
              <w:t>cm/s。</w:t>
            </w:r>
          </w:p>
          <w:p>
            <w:pPr>
              <w:spacing w:line="360" w:lineRule="auto"/>
              <w:ind w:firstLine="480" w:firstLineChars="200"/>
              <w:rPr>
                <w:color w:val="000000"/>
                <w:sz w:val="24"/>
              </w:rPr>
            </w:pPr>
            <w:r>
              <w:rPr>
                <w:color w:val="000000"/>
                <w:sz w:val="24"/>
              </w:rPr>
              <w:t>（4）根据</w:t>
            </w:r>
            <w:r>
              <w:rPr>
                <w:rFonts w:hint="eastAsia"/>
                <w:color w:val="000000"/>
                <w:sz w:val="24"/>
              </w:rPr>
              <w:t>《</w:t>
            </w:r>
            <w:r>
              <w:rPr>
                <w:color w:val="000000"/>
                <w:sz w:val="24"/>
              </w:rPr>
              <w:t>加油站地下水污染防治技术指南（试行）</w:t>
            </w:r>
            <w:r>
              <w:rPr>
                <w:rFonts w:hint="eastAsia"/>
                <w:color w:val="000000"/>
                <w:sz w:val="24"/>
              </w:rPr>
              <w:t>》</w:t>
            </w:r>
            <w:r>
              <w:rPr>
                <w:color w:val="000000"/>
                <w:sz w:val="24"/>
              </w:rPr>
              <w:t>，本项目需落实地下水日常监测。为了加强对地下水污染进行预防，本次环评要求项目在</w:t>
            </w:r>
            <w:r>
              <w:rPr>
                <w:rFonts w:ascii="宋体" w:hAnsi="宋体" w:cs="宋体"/>
                <w:sz w:val="24"/>
              </w:rPr>
              <w:t>撬装加油装置</w:t>
            </w:r>
            <w:r>
              <w:rPr>
                <w:color w:val="000000"/>
                <w:sz w:val="24"/>
              </w:rPr>
              <w:t>附近设置一口地下水监测井，定期对地下水质进行定性或定量检测。</w:t>
            </w:r>
          </w:p>
          <w:p>
            <w:pPr>
              <w:spacing w:line="360" w:lineRule="auto"/>
              <w:ind w:firstLine="480" w:firstLineChars="200"/>
              <w:rPr>
                <w:color w:val="000000"/>
                <w:sz w:val="24"/>
              </w:rPr>
            </w:pPr>
            <w:r>
              <w:rPr>
                <w:color w:val="000000"/>
                <w:sz w:val="24"/>
              </w:rPr>
              <w:t>综上，建设单位在确保防治措施有效运行和加强管理的情况下，项目对地下水环境影响是可接受的。</w:t>
            </w:r>
          </w:p>
          <w:p>
            <w:pPr>
              <w:adjustRightInd w:val="0"/>
              <w:snapToGrid w:val="0"/>
              <w:spacing w:line="360" w:lineRule="auto"/>
              <w:rPr>
                <w:b/>
                <w:color w:val="000000"/>
                <w:sz w:val="24"/>
              </w:rPr>
            </w:pPr>
            <w:r>
              <w:rPr>
                <w:rFonts w:hint="eastAsia"/>
                <w:b/>
                <w:color w:val="000000"/>
                <w:sz w:val="24"/>
              </w:rPr>
              <w:t>六</w:t>
            </w:r>
            <w:r>
              <w:rPr>
                <w:b/>
                <w:color w:val="000000"/>
                <w:sz w:val="24"/>
              </w:rPr>
              <w:t>、生态</w:t>
            </w:r>
          </w:p>
          <w:p>
            <w:pPr>
              <w:adjustRightInd w:val="0"/>
              <w:snapToGrid w:val="0"/>
              <w:spacing w:line="360" w:lineRule="auto"/>
              <w:ind w:firstLine="480" w:firstLineChars="200"/>
              <w:rPr>
                <w:bCs/>
                <w:color w:val="000000"/>
                <w:szCs w:val="21"/>
              </w:rPr>
            </w:pPr>
            <w:r>
              <w:rPr>
                <w:bCs/>
                <w:color w:val="000000"/>
                <w:sz w:val="24"/>
              </w:rPr>
              <w:t>项目位于</w:t>
            </w:r>
            <w:r>
              <w:rPr>
                <w:rFonts w:ascii="宋体" w:hAnsi="宋体" w:cs="宋体"/>
                <w:sz w:val="24"/>
              </w:rPr>
              <w:t>泗县泗城镇新型工业园区</w:t>
            </w:r>
            <w:r>
              <w:rPr>
                <w:rFonts w:hint="eastAsia"/>
                <w:kern w:val="0"/>
                <w:sz w:val="24"/>
              </w:rPr>
              <w:t>吉顺驾校内</w:t>
            </w:r>
            <w:r>
              <w:rPr>
                <w:bCs/>
                <w:color w:val="000000"/>
                <w:sz w:val="24"/>
              </w:rPr>
              <w:t>，属于</w:t>
            </w:r>
            <w:r>
              <w:rPr>
                <w:rFonts w:ascii="宋体" w:hAnsi="宋体" w:cs="宋体"/>
                <w:sz w:val="24"/>
              </w:rPr>
              <w:t>泗县</w:t>
            </w:r>
            <w:r>
              <w:rPr>
                <w:bCs/>
                <w:color w:val="000000"/>
                <w:sz w:val="24"/>
              </w:rPr>
              <w:t>经济开发区范围内，用地范围内不含生态环境保护目标，故不对生态环境进行影响分析</w:t>
            </w:r>
            <w:r>
              <w:rPr>
                <w:bCs/>
                <w:color w:val="000000"/>
                <w:szCs w:val="21"/>
              </w:rPr>
              <w:t>。</w:t>
            </w:r>
          </w:p>
          <w:p>
            <w:pPr>
              <w:adjustRightInd w:val="0"/>
              <w:snapToGrid w:val="0"/>
              <w:spacing w:line="360" w:lineRule="auto"/>
              <w:rPr>
                <w:b/>
                <w:color w:val="000000"/>
                <w:sz w:val="24"/>
              </w:rPr>
            </w:pPr>
            <w:r>
              <w:rPr>
                <w:rFonts w:hint="eastAsia"/>
                <w:b/>
                <w:color w:val="000000"/>
                <w:sz w:val="24"/>
              </w:rPr>
              <w:t>七</w:t>
            </w:r>
            <w:r>
              <w:rPr>
                <w:b/>
                <w:color w:val="000000"/>
                <w:sz w:val="24"/>
              </w:rPr>
              <w:t>、环境风险</w:t>
            </w:r>
          </w:p>
          <w:p>
            <w:pPr>
              <w:pStyle w:val="57"/>
              <w:spacing w:line="360" w:lineRule="auto"/>
              <w:ind w:firstLine="480" w:firstLineChars="200"/>
              <w:rPr>
                <w:bCs/>
                <w:color w:val="000000"/>
                <w:kern w:val="2"/>
                <w:sz w:val="24"/>
                <w:szCs w:val="24"/>
                <w:lang w:eastAsia="zh-CN"/>
              </w:rPr>
            </w:pPr>
            <w:r>
              <w:rPr>
                <w:rFonts w:ascii="宋体" w:hAnsi="宋体" w:cs="宋体"/>
                <w:sz w:val="24"/>
                <w:szCs w:val="24"/>
                <w:lang w:eastAsia="zh-CN"/>
              </w:rPr>
              <w:t>本项目</w:t>
            </w:r>
            <w:r>
              <w:rPr>
                <w:bCs/>
                <w:color w:val="000000"/>
                <w:kern w:val="2"/>
                <w:sz w:val="24"/>
                <w:szCs w:val="24"/>
                <w:lang w:eastAsia="zh-CN"/>
              </w:rPr>
              <w:t>的环境风险</w:t>
            </w:r>
            <w:r>
              <w:rPr>
                <w:rFonts w:hint="eastAsia"/>
                <w:bCs/>
                <w:color w:val="000000"/>
                <w:kern w:val="2"/>
                <w:sz w:val="24"/>
                <w:szCs w:val="24"/>
                <w:lang w:eastAsia="zh-CN"/>
              </w:rPr>
              <w:t>为</w:t>
            </w:r>
            <w:r>
              <w:rPr>
                <w:bCs/>
                <w:color w:val="000000"/>
                <w:kern w:val="2"/>
                <w:sz w:val="24"/>
                <w:szCs w:val="24"/>
                <w:lang w:eastAsia="zh-CN"/>
              </w:rPr>
              <w:t>油品在运输、贮存和使用过程中，物料在失控状态下发生的突发事故对环境（或健康）的危害程度，其定义为事故发生的概率与事故造成的环境（或健康）后果的乘积。这类事故发生概率大小及事故造成的环境（或健康）后果影响程度与物料的性质、物料的泄漏量、工艺流程、管理状况以及防范补救措施等多种因素有关，较难用数字准确表示。但事故一旦发生，将会对周围生态环境及人体健康造成比较严重的影响。</w:t>
            </w:r>
          </w:p>
          <w:p>
            <w:pPr>
              <w:pStyle w:val="57"/>
              <w:spacing w:before="2" w:line="360" w:lineRule="auto"/>
              <w:ind w:firstLine="452" w:firstLineChars="200"/>
              <w:rPr>
                <w:color w:val="000000"/>
                <w:spacing w:val="-7"/>
                <w:sz w:val="24"/>
                <w:szCs w:val="24"/>
                <w:lang w:eastAsia="zh-CN"/>
              </w:rPr>
            </w:pPr>
            <w:r>
              <w:rPr>
                <w:color w:val="000000"/>
                <w:spacing w:val="-7"/>
                <w:sz w:val="24"/>
                <w:szCs w:val="24"/>
                <w:lang w:eastAsia="zh-CN"/>
              </w:rPr>
              <w:t>1、环境风险评价的依据</w:t>
            </w:r>
          </w:p>
          <w:p>
            <w:pPr>
              <w:spacing w:line="360" w:lineRule="auto"/>
              <w:ind w:firstLine="482"/>
              <w:rPr>
                <w:color w:val="000000"/>
                <w:spacing w:val="-7"/>
                <w:kern w:val="0"/>
                <w:sz w:val="24"/>
              </w:rPr>
            </w:pPr>
            <w:r>
              <w:rPr>
                <w:color w:val="000000"/>
                <w:spacing w:val="-7"/>
                <w:kern w:val="0"/>
                <w:sz w:val="24"/>
              </w:rPr>
              <w:t>危险物质的临界量（Q）</w:t>
            </w:r>
          </w:p>
          <w:p>
            <w:pPr>
              <w:spacing w:line="360" w:lineRule="auto"/>
              <w:ind w:firstLine="482"/>
              <w:rPr>
                <w:color w:val="000000"/>
                <w:spacing w:val="-7"/>
                <w:kern w:val="0"/>
                <w:sz w:val="24"/>
              </w:rPr>
            </w:pPr>
            <w:r>
              <w:rPr>
                <w:color w:val="000000"/>
                <w:spacing w:val="-7"/>
                <w:kern w:val="0"/>
                <w:sz w:val="24"/>
              </w:rPr>
              <w:t>当只涉及一种危险物质时，计算该物质的总量与其临界量比值，即为 Q；</w:t>
            </w:r>
          </w:p>
          <w:p>
            <w:pPr>
              <w:spacing w:line="360" w:lineRule="auto"/>
              <w:ind w:firstLine="482"/>
              <w:rPr>
                <w:color w:val="000000"/>
              </w:rPr>
            </w:pPr>
            <w:r>
              <w:rPr>
                <w:color w:val="000000"/>
                <w:spacing w:val="-7"/>
                <w:kern w:val="0"/>
                <w:sz w:val="24"/>
              </w:rPr>
              <w:t>当存在多种危险物质时，则按下式计算物质总量与其临界量比值（Q）：</w:t>
            </w:r>
          </w:p>
          <w:p>
            <w:pPr>
              <w:jc w:val="center"/>
              <w:rPr>
                <w:color w:val="000000"/>
              </w:rPr>
            </w:pPr>
            <w:r>
              <w:rPr>
                <w:color w:val="000000"/>
              </w:rPr>
              <w:drawing>
                <wp:inline distT="0" distB="0" distL="114300" distR="114300">
                  <wp:extent cx="2133600" cy="542925"/>
                  <wp:effectExtent l="0" t="0" r="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pic:cNvPicPr>
                            <a:picLocks noChangeAspect="1"/>
                          </pic:cNvPicPr>
                        </pic:nvPicPr>
                        <pic:blipFill>
                          <a:blip r:embed="rId24"/>
                          <a:stretch>
                            <a:fillRect/>
                          </a:stretch>
                        </pic:blipFill>
                        <pic:spPr>
                          <a:xfrm>
                            <a:off x="0" y="0"/>
                            <a:ext cx="2133600" cy="542925"/>
                          </a:xfrm>
                          <a:prstGeom prst="rect">
                            <a:avLst/>
                          </a:prstGeom>
                          <a:noFill/>
                          <a:ln>
                            <a:noFill/>
                          </a:ln>
                        </pic:spPr>
                      </pic:pic>
                    </a:graphicData>
                  </a:graphic>
                </wp:inline>
              </w:drawing>
            </w:r>
          </w:p>
          <w:p>
            <w:pPr>
              <w:spacing w:line="360" w:lineRule="auto"/>
              <w:ind w:firstLine="480"/>
              <w:rPr>
                <w:color w:val="000000"/>
                <w:spacing w:val="-7"/>
                <w:kern w:val="0"/>
                <w:sz w:val="24"/>
              </w:rPr>
            </w:pPr>
            <w:r>
              <w:rPr>
                <w:color w:val="000000"/>
                <w:spacing w:val="-7"/>
                <w:kern w:val="0"/>
                <w:sz w:val="24"/>
              </w:rPr>
              <w:t>式中：</w:t>
            </w:r>
            <w:r>
              <w:rPr>
                <w:i/>
                <w:iCs/>
                <w:color w:val="000000"/>
                <w:spacing w:val="-7"/>
                <w:kern w:val="0"/>
                <w:sz w:val="24"/>
              </w:rPr>
              <w:t>q</w:t>
            </w:r>
            <w:r>
              <w:rPr>
                <w:i/>
                <w:iCs/>
                <w:color w:val="000000"/>
                <w:spacing w:val="-7"/>
                <w:kern w:val="0"/>
                <w:sz w:val="24"/>
                <w:vertAlign w:val="subscript"/>
              </w:rPr>
              <w:t>1</w:t>
            </w:r>
            <w:r>
              <w:rPr>
                <w:i/>
                <w:iCs/>
                <w:color w:val="000000"/>
                <w:spacing w:val="-7"/>
                <w:kern w:val="0"/>
                <w:sz w:val="24"/>
              </w:rPr>
              <w:t>，q</w:t>
            </w:r>
            <w:r>
              <w:rPr>
                <w:i/>
                <w:iCs/>
                <w:color w:val="000000"/>
                <w:spacing w:val="-7"/>
                <w:kern w:val="0"/>
                <w:sz w:val="24"/>
                <w:vertAlign w:val="subscript"/>
              </w:rPr>
              <w:t>2</w:t>
            </w:r>
            <w:r>
              <w:rPr>
                <w:i/>
                <w:iCs/>
                <w:color w:val="000000"/>
                <w:spacing w:val="-7"/>
                <w:kern w:val="0"/>
                <w:sz w:val="24"/>
              </w:rPr>
              <w:t>，...，q</w:t>
            </w:r>
            <w:r>
              <w:rPr>
                <w:i/>
                <w:iCs/>
                <w:color w:val="000000"/>
                <w:spacing w:val="-7"/>
                <w:kern w:val="0"/>
                <w:sz w:val="24"/>
                <w:vertAlign w:val="subscript"/>
              </w:rPr>
              <w:t>n</w:t>
            </w:r>
            <w:r>
              <w:rPr>
                <w:color w:val="000000"/>
                <w:spacing w:val="-7"/>
                <w:kern w:val="0"/>
                <w:sz w:val="24"/>
              </w:rPr>
              <w:t>——每种危险物质的最大存在总量，t；</w:t>
            </w:r>
          </w:p>
          <w:p>
            <w:pPr>
              <w:spacing w:line="360" w:lineRule="auto"/>
              <w:ind w:firstLine="480"/>
              <w:rPr>
                <w:color w:val="000000"/>
                <w:spacing w:val="-7"/>
                <w:kern w:val="0"/>
                <w:sz w:val="24"/>
              </w:rPr>
            </w:pPr>
            <w:r>
              <w:rPr>
                <w:i/>
                <w:iCs/>
                <w:color w:val="000000"/>
                <w:spacing w:val="-7"/>
                <w:kern w:val="0"/>
                <w:sz w:val="24"/>
              </w:rPr>
              <w:t>Q</w:t>
            </w:r>
            <w:r>
              <w:rPr>
                <w:i/>
                <w:iCs/>
                <w:color w:val="000000"/>
                <w:spacing w:val="-7"/>
                <w:kern w:val="0"/>
                <w:sz w:val="24"/>
                <w:vertAlign w:val="subscript"/>
              </w:rPr>
              <w:t>1</w:t>
            </w:r>
            <w:r>
              <w:rPr>
                <w:i/>
                <w:iCs/>
                <w:color w:val="000000"/>
                <w:spacing w:val="-7"/>
                <w:kern w:val="0"/>
                <w:sz w:val="24"/>
              </w:rPr>
              <w:t>, Q</w:t>
            </w:r>
            <w:r>
              <w:rPr>
                <w:i/>
                <w:iCs/>
                <w:color w:val="000000"/>
                <w:spacing w:val="-7"/>
                <w:kern w:val="0"/>
                <w:sz w:val="24"/>
                <w:vertAlign w:val="subscript"/>
              </w:rPr>
              <w:t>2</w:t>
            </w:r>
            <w:r>
              <w:rPr>
                <w:i/>
                <w:iCs/>
                <w:color w:val="000000"/>
                <w:spacing w:val="-7"/>
                <w:kern w:val="0"/>
                <w:sz w:val="24"/>
              </w:rPr>
              <w:t>, ..., Q</w:t>
            </w:r>
            <w:r>
              <w:rPr>
                <w:i/>
                <w:iCs/>
                <w:color w:val="000000"/>
                <w:spacing w:val="-7"/>
                <w:kern w:val="0"/>
                <w:sz w:val="24"/>
                <w:vertAlign w:val="subscript"/>
              </w:rPr>
              <w:t>n</w:t>
            </w:r>
            <w:r>
              <w:rPr>
                <w:color w:val="000000"/>
                <w:spacing w:val="-7"/>
                <w:kern w:val="0"/>
                <w:sz w:val="24"/>
              </w:rPr>
              <w:t>——每种危险物质的临界量，t。</w:t>
            </w:r>
          </w:p>
          <w:p>
            <w:pPr>
              <w:pStyle w:val="57"/>
              <w:spacing w:line="360" w:lineRule="auto"/>
              <w:ind w:firstLine="452" w:firstLineChars="200"/>
              <w:rPr>
                <w:color w:val="000000"/>
                <w:sz w:val="24"/>
                <w:szCs w:val="24"/>
                <w:lang w:eastAsia="zh-CN"/>
              </w:rPr>
            </w:pPr>
            <w:r>
              <w:rPr>
                <w:color w:val="000000"/>
                <w:spacing w:val="-7"/>
                <w:sz w:val="24"/>
                <w:szCs w:val="24"/>
                <w:lang w:eastAsia="zh-CN"/>
              </w:rPr>
              <w:t>本项目设置</w:t>
            </w:r>
            <w:r>
              <w:rPr>
                <w:rFonts w:ascii="宋体" w:hAnsi="宋体" w:cs="宋体"/>
                <w:sz w:val="24"/>
                <w:szCs w:val="24"/>
                <w:lang w:eastAsia="zh-CN"/>
              </w:rPr>
              <w:t>撬装加</w:t>
            </w:r>
            <w:r>
              <w:rPr>
                <w:sz w:val="24"/>
                <w:szCs w:val="24"/>
                <w:lang w:eastAsia="zh-CN"/>
              </w:rPr>
              <w:t>油装置</w:t>
            </w:r>
            <w:r>
              <w:rPr>
                <w:rFonts w:hint="eastAsia"/>
                <w:sz w:val="24"/>
                <w:szCs w:val="24"/>
                <w:lang w:eastAsia="zh-CN"/>
              </w:rPr>
              <w:t>1</w:t>
            </w:r>
            <w:r>
              <w:rPr>
                <w:color w:val="000000"/>
                <w:spacing w:val="-7"/>
                <w:sz w:val="24"/>
                <w:szCs w:val="24"/>
                <w:lang w:eastAsia="zh-CN"/>
              </w:rPr>
              <w:t>个，单罐储油</w:t>
            </w:r>
            <w:r>
              <w:rPr>
                <w:color w:val="000000"/>
                <w:spacing w:val="-6"/>
                <w:sz w:val="24"/>
                <w:szCs w:val="24"/>
                <w:lang w:eastAsia="zh-CN"/>
              </w:rPr>
              <w:t>量</w:t>
            </w:r>
            <w:r>
              <w:rPr>
                <w:rFonts w:hint="eastAsia"/>
                <w:color w:val="000000"/>
                <w:spacing w:val="-6"/>
                <w:sz w:val="24"/>
                <w:szCs w:val="24"/>
                <w:lang w:eastAsia="zh-CN"/>
              </w:rPr>
              <w:t>5</w:t>
            </w:r>
            <w:r>
              <w:rPr>
                <w:color w:val="000000"/>
                <w:sz w:val="24"/>
                <w:szCs w:val="24"/>
                <w:lang w:eastAsia="zh-CN"/>
              </w:rPr>
              <w:t>0m</w:t>
            </w:r>
            <w:r>
              <w:rPr>
                <w:color w:val="000000"/>
                <w:sz w:val="24"/>
                <w:szCs w:val="24"/>
                <w:vertAlign w:val="superscript"/>
                <w:lang w:eastAsia="zh-CN"/>
              </w:rPr>
              <w:t>3</w:t>
            </w:r>
            <w:r>
              <w:rPr>
                <w:color w:val="000000"/>
                <w:spacing w:val="-9"/>
                <w:sz w:val="24"/>
                <w:szCs w:val="24"/>
                <w:lang w:eastAsia="zh-CN"/>
              </w:rPr>
              <w:t>，储存汽油</w:t>
            </w:r>
            <w:r>
              <w:rPr>
                <w:rFonts w:hint="eastAsia"/>
                <w:color w:val="000000"/>
                <w:spacing w:val="-9"/>
                <w:sz w:val="24"/>
                <w:szCs w:val="24"/>
                <w:lang w:eastAsia="zh-CN"/>
              </w:rPr>
              <w:t>25</w:t>
            </w:r>
            <w:r>
              <w:rPr>
                <w:color w:val="000000"/>
                <w:sz w:val="24"/>
                <w:szCs w:val="24"/>
                <w:lang w:eastAsia="zh-CN"/>
              </w:rPr>
              <w:t>m</w:t>
            </w:r>
            <w:r>
              <w:rPr>
                <w:color w:val="000000"/>
                <w:sz w:val="24"/>
                <w:szCs w:val="24"/>
                <w:vertAlign w:val="superscript"/>
                <w:lang w:eastAsia="zh-CN"/>
              </w:rPr>
              <w:t>3</w:t>
            </w:r>
            <w:r>
              <w:rPr>
                <w:color w:val="000000"/>
                <w:sz w:val="24"/>
                <w:szCs w:val="24"/>
                <w:lang w:eastAsia="zh-CN"/>
              </w:rPr>
              <w:t>，汽油相对密度取0.75g/cm</w:t>
            </w:r>
            <w:r>
              <w:rPr>
                <w:color w:val="000000"/>
                <w:sz w:val="24"/>
                <w:szCs w:val="24"/>
                <w:vertAlign w:val="superscript"/>
                <w:lang w:eastAsia="zh-CN"/>
              </w:rPr>
              <w:t>3</w:t>
            </w:r>
            <w:r>
              <w:rPr>
                <w:color w:val="000000"/>
                <w:sz w:val="24"/>
                <w:szCs w:val="24"/>
                <w:lang w:eastAsia="zh-CN"/>
              </w:rPr>
              <w:t>，折算储量为</w:t>
            </w:r>
            <w:r>
              <w:rPr>
                <w:rFonts w:hint="eastAsia"/>
                <w:color w:val="000000"/>
                <w:sz w:val="24"/>
                <w:szCs w:val="24"/>
                <w:lang w:eastAsia="zh-CN"/>
              </w:rPr>
              <w:t>18.75</w:t>
            </w:r>
            <w:r>
              <w:rPr>
                <w:color w:val="000000"/>
                <w:sz w:val="24"/>
                <w:szCs w:val="24"/>
                <w:lang w:eastAsia="zh-CN"/>
              </w:rPr>
              <w:t>t；</w:t>
            </w:r>
            <w:r>
              <w:rPr>
                <w:color w:val="000000"/>
                <w:spacing w:val="-9"/>
                <w:sz w:val="24"/>
                <w:szCs w:val="24"/>
                <w:lang w:eastAsia="zh-CN"/>
              </w:rPr>
              <w:t>储存存柴油</w:t>
            </w:r>
            <w:r>
              <w:rPr>
                <w:rFonts w:hint="eastAsia"/>
                <w:color w:val="000000"/>
                <w:spacing w:val="-9"/>
                <w:sz w:val="24"/>
                <w:szCs w:val="24"/>
                <w:lang w:eastAsia="zh-CN"/>
              </w:rPr>
              <w:t>25</w:t>
            </w:r>
            <w:r>
              <w:rPr>
                <w:color w:val="000000"/>
                <w:sz w:val="24"/>
                <w:szCs w:val="24"/>
                <w:lang w:eastAsia="zh-CN"/>
              </w:rPr>
              <w:t>m</w:t>
            </w:r>
            <w:r>
              <w:rPr>
                <w:color w:val="000000"/>
                <w:sz w:val="24"/>
                <w:szCs w:val="24"/>
                <w:vertAlign w:val="superscript"/>
                <w:lang w:eastAsia="zh-CN"/>
              </w:rPr>
              <w:t>3</w:t>
            </w:r>
            <w:r>
              <w:rPr>
                <w:color w:val="000000"/>
                <w:sz w:val="24"/>
                <w:szCs w:val="24"/>
                <w:lang w:eastAsia="zh-CN"/>
              </w:rPr>
              <w:t>，柴油相对密度取0.84g/cm</w:t>
            </w:r>
            <w:r>
              <w:rPr>
                <w:color w:val="000000"/>
                <w:sz w:val="24"/>
                <w:szCs w:val="24"/>
                <w:vertAlign w:val="superscript"/>
                <w:lang w:eastAsia="zh-CN"/>
              </w:rPr>
              <w:t>3</w:t>
            </w:r>
            <w:r>
              <w:rPr>
                <w:color w:val="000000"/>
                <w:sz w:val="24"/>
                <w:szCs w:val="24"/>
                <w:lang w:eastAsia="zh-CN"/>
              </w:rPr>
              <w:t>，折算储量为</w:t>
            </w:r>
            <w:r>
              <w:rPr>
                <w:rFonts w:hint="eastAsia"/>
                <w:color w:val="000000"/>
                <w:sz w:val="24"/>
                <w:szCs w:val="24"/>
                <w:lang w:eastAsia="zh-CN"/>
              </w:rPr>
              <w:t>21</w:t>
            </w:r>
            <w:r>
              <w:rPr>
                <w:color w:val="000000"/>
                <w:sz w:val="24"/>
                <w:szCs w:val="24"/>
                <w:lang w:eastAsia="zh-CN"/>
              </w:rPr>
              <w:t>t，本项目重大危险源辨识结果见下表：</w:t>
            </w:r>
          </w:p>
          <w:p>
            <w:pPr>
              <w:tabs>
                <w:tab w:val="left" w:pos="2160"/>
              </w:tabs>
              <w:spacing w:before="132" w:after="20"/>
              <w:jc w:val="center"/>
              <w:rPr>
                <w:color w:val="000000"/>
                <w:sz w:val="24"/>
              </w:rPr>
            </w:pPr>
            <w:r>
              <w:rPr>
                <w:b/>
                <w:color w:val="000000"/>
                <w:sz w:val="24"/>
              </w:rPr>
              <w:t>表4</w:t>
            </w:r>
            <w:r>
              <w:rPr>
                <w:rFonts w:hint="eastAsia"/>
                <w:b/>
                <w:color w:val="000000"/>
                <w:sz w:val="24"/>
              </w:rPr>
              <w:t>-</w:t>
            </w:r>
            <w:r>
              <w:rPr>
                <w:b/>
                <w:color w:val="000000"/>
                <w:sz w:val="24"/>
              </w:rPr>
              <w:t>1</w:t>
            </w:r>
            <w:r>
              <w:rPr>
                <w:rFonts w:hint="eastAsia"/>
                <w:b/>
                <w:color w:val="000000"/>
                <w:sz w:val="24"/>
              </w:rPr>
              <w:t>3</w:t>
            </w:r>
            <w:r>
              <w:rPr>
                <w:b/>
                <w:color w:val="000000"/>
                <w:sz w:val="24"/>
              </w:rPr>
              <w:t xml:space="preserve">  </w:t>
            </w:r>
            <w:r>
              <w:rPr>
                <w:b/>
                <w:bCs/>
                <w:color w:val="000000"/>
                <w:sz w:val="24"/>
              </w:rPr>
              <w:t>项目危险物质数量与临界量分析</w:t>
            </w:r>
          </w:p>
          <w:tbl>
            <w:tblPr>
              <w:tblStyle w:val="23"/>
              <w:tblW w:w="793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1193"/>
              <w:gridCol w:w="1341"/>
              <w:gridCol w:w="1530"/>
              <w:gridCol w:w="2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1635" w:type="dxa"/>
                  <w:tcBorders>
                    <w:bottom w:val="single" w:color="000000" w:sz="6" w:space="0"/>
                    <w:right w:val="single" w:color="000000" w:sz="6" w:space="0"/>
                  </w:tcBorders>
                  <w:vAlign w:val="center"/>
                </w:tcPr>
                <w:p>
                  <w:pPr>
                    <w:pStyle w:val="57"/>
                    <w:jc w:val="center"/>
                    <w:rPr>
                      <w:b/>
                      <w:bCs/>
                      <w:color w:val="000000"/>
                      <w:sz w:val="21"/>
                      <w:szCs w:val="21"/>
                      <w:lang w:eastAsia="zh-CN"/>
                    </w:rPr>
                  </w:pPr>
                  <w:r>
                    <w:rPr>
                      <w:b/>
                      <w:bCs/>
                      <w:color w:val="000000"/>
                      <w:sz w:val="21"/>
                      <w:szCs w:val="21"/>
                      <w:lang w:eastAsia="zh-CN"/>
                    </w:rPr>
                    <w:t>所属单元</w:t>
                  </w:r>
                </w:p>
              </w:tc>
              <w:tc>
                <w:tcPr>
                  <w:tcW w:w="1193" w:type="dxa"/>
                  <w:tcBorders>
                    <w:left w:val="single" w:color="000000" w:sz="6" w:space="0"/>
                    <w:bottom w:val="single" w:color="000000" w:sz="6" w:space="0"/>
                    <w:right w:val="single" w:color="000000" w:sz="6" w:space="0"/>
                  </w:tcBorders>
                  <w:vAlign w:val="center"/>
                </w:tcPr>
                <w:p>
                  <w:pPr>
                    <w:pStyle w:val="57"/>
                    <w:jc w:val="center"/>
                    <w:rPr>
                      <w:b/>
                      <w:bCs/>
                      <w:color w:val="000000"/>
                      <w:sz w:val="21"/>
                      <w:szCs w:val="21"/>
                      <w:lang w:eastAsia="zh-CN"/>
                    </w:rPr>
                  </w:pPr>
                  <w:r>
                    <w:rPr>
                      <w:b/>
                      <w:bCs/>
                      <w:color w:val="000000"/>
                      <w:sz w:val="21"/>
                      <w:szCs w:val="21"/>
                      <w:lang w:eastAsia="zh-CN"/>
                    </w:rPr>
                    <w:t>物质名称</w:t>
                  </w:r>
                </w:p>
              </w:tc>
              <w:tc>
                <w:tcPr>
                  <w:tcW w:w="1341" w:type="dxa"/>
                  <w:tcBorders>
                    <w:left w:val="single" w:color="000000" w:sz="6" w:space="0"/>
                    <w:bottom w:val="single" w:color="000000" w:sz="6" w:space="0"/>
                    <w:right w:val="single" w:color="000000" w:sz="6" w:space="0"/>
                  </w:tcBorders>
                  <w:vAlign w:val="center"/>
                </w:tcPr>
                <w:p>
                  <w:pPr>
                    <w:pStyle w:val="57"/>
                    <w:jc w:val="center"/>
                    <w:rPr>
                      <w:b/>
                      <w:bCs/>
                      <w:color w:val="000000"/>
                      <w:sz w:val="21"/>
                      <w:szCs w:val="21"/>
                      <w:lang w:eastAsia="zh-CN"/>
                    </w:rPr>
                  </w:pPr>
                  <w:r>
                    <w:rPr>
                      <w:b/>
                      <w:bCs/>
                      <w:color w:val="000000"/>
                      <w:sz w:val="21"/>
                      <w:szCs w:val="21"/>
                      <w:lang w:eastAsia="zh-CN"/>
                    </w:rPr>
                    <w:t>标准临界量</w:t>
                  </w:r>
                </w:p>
              </w:tc>
              <w:tc>
                <w:tcPr>
                  <w:tcW w:w="1530" w:type="dxa"/>
                  <w:tcBorders>
                    <w:left w:val="single" w:color="000000" w:sz="6" w:space="0"/>
                    <w:bottom w:val="single" w:color="000000" w:sz="6" w:space="0"/>
                    <w:right w:val="single" w:color="000000" w:sz="6" w:space="0"/>
                  </w:tcBorders>
                  <w:vAlign w:val="center"/>
                </w:tcPr>
                <w:p>
                  <w:pPr>
                    <w:pStyle w:val="57"/>
                    <w:jc w:val="center"/>
                    <w:rPr>
                      <w:b/>
                      <w:bCs/>
                      <w:color w:val="000000"/>
                      <w:sz w:val="21"/>
                      <w:szCs w:val="21"/>
                      <w:lang w:eastAsia="zh-CN"/>
                    </w:rPr>
                  </w:pPr>
                  <w:r>
                    <w:rPr>
                      <w:b/>
                      <w:bCs/>
                      <w:color w:val="000000"/>
                      <w:sz w:val="21"/>
                      <w:szCs w:val="21"/>
                      <w:lang w:eastAsia="zh-CN"/>
                    </w:rPr>
                    <w:t>最大储存量</w:t>
                  </w:r>
                </w:p>
              </w:tc>
              <w:tc>
                <w:tcPr>
                  <w:tcW w:w="2239" w:type="dxa"/>
                  <w:tcBorders>
                    <w:left w:val="single" w:color="000000" w:sz="6" w:space="0"/>
                    <w:bottom w:val="single" w:color="000000" w:sz="6" w:space="0"/>
                    <w:right w:val="single" w:color="000000" w:sz="6" w:space="0"/>
                  </w:tcBorders>
                  <w:vAlign w:val="center"/>
                </w:tcPr>
                <w:p>
                  <w:pPr>
                    <w:pStyle w:val="57"/>
                    <w:jc w:val="center"/>
                    <w:rPr>
                      <w:b/>
                      <w:bCs/>
                      <w:color w:val="000000"/>
                      <w:sz w:val="21"/>
                      <w:szCs w:val="21"/>
                      <w:lang w:eastAsia="zh-CN"/>
                    </w:rPr>
                  </w:pPr>
                  <w:r>
                    <w:rPr>
                      <w:b/>
                      <w:bCs/>
                      <w:color w:val="000000"/>
                      <w:position w:val="2"/>
                      <w:sz w:val="21"/>
                      <w:szCs w:val="21"/>
                      <w:lang w:eastAsia="zh-CN"/>
                    </w:rPr>
                    <w:t>q</w:t>
                  </w:r>
                  <w:r>
                    <w:rPr>
                      <w:b/>
                      <w:bCs/>
                      <w:color w:val="000000"/>
                      <w:position w:val="2"/>
                      <w:sz w:val="21"/>
                      <w:szCs w:val="21"/>
                      <w:vertAlign w:val="subscript"/>
                      <w:lang w:eastAsia="zh-CN"/>
                    </w:rPr>
                    <w:t>n</w:t>
                  </w:r>
                  <w:r>
                    <w:rPr>
                      <w:b/>
                      <w:bCs/>
                      <w:color w:val="000000"/>
                      <w:position w:val="2"/>
                      <w:sz w:val="21"/>
                      <w:szCs w:val="21"/>
                      <w:lang w:eastAsia="zh-CN"/>
                    </w:rPr>
                    <w:t>/Q</w:t>
                  </w:r>
                  <w:r>
                    <w:rPr>
                      <w:b/>
                      <w:bCs/>
                      <w:color w:val="000000"/>
                      <w:position w:val="2"/>
                      <w:sz w:val="21"/>
                      <w:szCs w:val="21"/>
                      <w:vertAlign w:val="subscript"/>
                      <w:lang w:eastAsia="zh-CN"/>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1635" w:type="dxa"/>
                  <w:vMerge w:val="restart"/>
                  <w:tcBorders>
                    <w:top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rFonts w:ascii="宋体" w:hAnsi="宋体" w:cs="宋体"/>
                      <w:sz w:val="21"/>
                      <w:szCs w:val="21"/>
                      <w:lang w:eastAsia="zh-CN"/>
                    </w:rPr>
                    <w:t>撬装加</w:t>
                  </w:r>
                  <w:r>
                    <w:rPr>
                      <w:sz w:val="21"/>
                      <w:szCs w:val="21"/>
                      <w:lang w:eastAsia="zh-CN"/>
                    </w:rPr>
                    <w:t>油装置</w:t>
                  </w:r>
                  <w:r>
                    <w:rPr>
                      <w:color w:val="000000"/>
                      <w:sz w:val="21"/>
                      <w:szCs w:val="21"/>
                      <w:lang w:eastAsia="zh-CN"/>
                    </w:rPr>
                    <w:t>区</w:t>
                  </w:r>
                </w:p>
              </w:tc>
              <w:tc>
                <w:tcPr>
                  <w:tcW w:w="1193"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sz w:val="21"/>
                      <w:szCs w:val="21"/>
                      <w:lang w:eastAsia="zh-CN"/>
                    </w:rPr>
                    <w:t>汽油</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sz w:val="21"/>
                      <w:szCs w:val="21"/>
                      <w:lang w:eastAsia="zh-CN"/>
                    </w:rPr>
                    <w:t>2500t</w:t>
                  </w:r>
                </w:p>
              </w:tc>
              <w:tc>
                <w:tcPr>
                  <w:tcW w:w="1530"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rFonts w:hint="eastAsia"/>
                      <w:color w:val="000000"/>
                      <w:sz w:val="21"/>
                      <w:szCs w:val="21"/>
                      <w:lang w:eastAsia="zh-CN"/>
                    </w:rPr>
                    <w:t>18.75</w:t>
                  </w:r>
                  <w:r>
                    <w:rPr>
                      <w:color w:val="000000"/>
                      <w:sz w:val="21"/>
                      <w:szCs w:val="21"/>
                      <w:lang w:eastAsia="zh-CN"/>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position w:val="2"/>
                      <w:sz w:val="21"/>
                      <w:szCs w:val="21"/>
                      <w:lang w:eastAsia="zh-CN"/>
                    </w:rPr>
                    <w:t>q</w:t>
                  </w:r>
                  <w:r>
                    <w:rPr>
                      <w:color w:val="000000"/>
                      <w:position w:val="2"/>
                      <w:sz w:val="21"/>
                      <w:szCs w:val="21"/>
                      <w:vertAlign w:val="subscript"/>
                      <w:lang w:eastAsia="zh-CN"/>
                    </w:rPr>
                    <w:t>1</w:t>
                  </w:r>
                  <w:r>
                    <w:rPr>
                      <w:color w:val="000000"/>
                      <w:position w:val="2"/>
                      <w:sz w:val="21"/>
                      <w:szCs w:val="21"/>
                      <w:lang w:eastAsia="zh-CN"/>
                    </w:rPr>
                    <w:t>/Q</w:t>
                  </w:r>
                  <w:r>
                    <w:rPr>
                      <w:color w:val="000000"/>
                      <w:position w:val="2"/>
                      <w:sz w:val="21"/>
                      <w:szCs w:val="21"/>
                      <w:vertAlign w:val="subscript"/>
                      <w:lang w:eastAsia="zh-CN"/>
                    </w:rPr>
                    <w:t>1</w:t>
                  </w:r>
                  <w:r>
                    <w:rPr>
                      <w:color w:val="000000"/>
                      <w:position w:val="2"/>
                      <w:sz w:val="21"/>
                      <w:szCs w:val="21"/>
                      <w:lang w:eastAsia="zh-CN"/>
                    </w:rPr>
                    <w:t>=0.0</w:t>
                  </w:r>
                  <w:r>
                    <w:rPr>
                      <w:rFonts w:hint="eastAsia"/>
                      <w:color w:val="000000"/>
                      <w:position w:val="2"/>
                      <w:sz w:val="21"/>
                      <w:szCs w:val="21"/>
                      <w:lang w:eastAsia="zh-CN"/>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1635" w:type="dxa"/>
                  <w:vMerge w:val="continue"/>
                  <w:tcBorders>
                    <w:top w:val="nil"/>
                    <w:bottom w:val="single" w:color="000000" w:sz="6" w:space="0"/>
                    <w:right w:val="single" w:color="000000" w:sz="6" w:space="0"/>
                  </w:tcBorders>
                  <w:vAlign w:val="center"/>
                </w:tcPr>
                <w:p>
                  <w:pPr>
                    <w:jc w:val="center"/>
                    <w:rPr>
                      <w:color w:val="000000"/>
                      <w:szCs w:val="21"/>
                    </w:rPr>
                  </w:pPr>
                </w:p>
              </w:tc>
              <w:tc>
                <w:tcPr>
                  <w:tcW w:w="1193"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sz w:val="21"/>
                      <w:szCs w:val="21"/>
                      <w:lang w:eastAsia="zh-CN"/>
                    </w:rPr>
                    <w:t>柴油</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sz w:val="21"/>
                      <w:szCs w:val="21"/>
                      <w:lang w:eastAsia="zh-CN"/>
                    </w:rPr>
                    <w:t>2500t</w:t>
                  </w:r>
                </w:p>
              </w:tc>
              <w:tc>
                <w:tcPr>
                  <w:tcW w:w="1530"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rFonts w:hint="eastAsia"/>
                      <w:color w:val="000000"/>
                      <w:sz w:val="21"/>
                      <w:szCs w:val="21"/>
                      <w:lang w:eastAsia="zh-CN"/>
                    </w:rPr>
                    <w:t>21</w:t>
                  </w:r>
                  <w:r>
                    <w:rPr>
                      <w:color w:val="000000"/>
                      <w:sz w:val="21"/>
                      <w:szCs w:val="21"/>
                      <w:lang w:eastAsia="zh-CN"/>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57"/>
                    <w:jc w:val="center"/>
                    <w:rPr>
                      <w:color w:val="000000"/>
                      <w:sz w:val="21"/>
                      <w:szCs w:val="21"/>
                      <w:lang w:eastAsia="zh-CN"/>
                    </w:rPr>
                  </w:pPr>
                  <w:r>
                    <w:rPr>
                      <w:color w:val="000000"/>
                      <w:position w:val="2"/>
                      <w:sz w:val="21"/>
                      <w:szCs w:val="21"/>
                      <w:lang w:eastAsia="zh-CN"/>
                    </w:rPr>
                    <w:t>q</w:t>
                  </w:r>
                  <w:r>
                    <w:rPr>
                      <w:color w:val="000000"/>
                      <w:position w:val="2"/>
                      <w:sz w:val="21"/>
                      <w:szCs w:val="21"/>
                      <w:vertAlign w:val="subscript"/>
                      <w:lang w:eastAsia="zh-CN"/>
                    </w:rPr>
                    <w:t>2</w:t>
                  </w:r>
                  <w:r>
                    <w:rPr>
                      <w:color w:val="000000"/>
                      <w:position w:val="2"/>
                      <w:sz w:val="21"/>
                      <w:szCs w:val="21"/>
                      <w:lang w:eastAsia="zh-CN"/>
                    </w:rPr>
                    <w:t>/Q</w:t>
                  </w:r>
                  <w:r>
                    <w:rPr>
                      <w:color w:val="000000"/>
                      <w:position w:val="2"/>
                      <w:sz w:val="21"/>
                      <w:szCs w:val="21"/>
                      <w:vertAlign w:val="subscript"/>
                      <w:lang w:eastAsia="zh-CN"/>
                    </w:rPr>
                    <w:t>2</w:t>
                  </w:r>
                  <w:r>
                    <w:rPr>
                      <w:color w:val="000000"/>
                      <w:position w:val="2"/>
                      <w:sz w:val="21"/>
                      <w:szCs w:val="21"/>
                      <w:lang w:eastAsia="zh-CN"/>
                    </w:rPr>
                    <w:t>=0.0</w:t>
                  </w:r>
                  <w:r>
                    <w:rPr>
                      <w:rFonts w:hint="eastAsia"/>
                      <w:color w:val="000000"/>
                      <w:position w:val="2"/>
                      <w:sz w:val="21"/>
                      <w:szCs w:val="21"/>
                      <w:lang w:eastAsia="zh-CN"/>
                    </w:rPr>
                    <w:t>084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5699" w:type="dxa"/>
                  <w:gridSpan w:val="4"/>
                  <w:tcBorders>
                    <w:top w:val="single" w:color="000000" w:sz="6" w:space="0"/>
                    <w:right w:val="single" w:color="000000" w:sz="6" w:space="0"/>
                  </w:tcBorders>
                  <w:vAlign w:val="center"/>
                </w:tcPr>
                <w:p>
                  <w:pPr>
                    <w:pStyle w:val="57"/>
                    <w:tabs>
                      <w:tab w:val="left" w:pos="492"/>
                      <w:tab w:val="center" w:pos="2796"/>
                    </w:tabs>
                    <w:jc w:val="center"/>
                    <w:rPr>
                      <w:color w:val="000000"/>
                      <w:sz w:val="21"/>
                      <w:szCs w:val="21"/>
                      <w:lang w:eastAsia="zh-CN"/>
                    </w:rPr>
                  </w:pPr>
                  <w:r>
                    <w:rPr>
                      <w:color w:val="000000"/>
                      <w:sz w:val="21"/>
                      <w:szCs w:val="21"/>
                      <w:lang w:eastAsia="zh-CN"/>
                    </w:rPr>
                    <w:t>合计</w:t>
                  </w:r>
                </w:p>
              </w:tc>
              <w:tc>
                <w:tcPr>
                  <w:tcW w:w="2239" w:type="dxa"/>
                  <w:tcBorders>
                    <w:top w:val="single" w:color="000000" w:sz="6" w:space="0"/>
                    <w:left w:val="single" w:color="000000" w:sz="6" w:space="0"/>
                    <w:right w:val="single" w:color="000000" w:sz="6" w:space="0"/>
                  </w:tcBorders>
                  <w:vAlign w:val="center"/>
                </w:tcPr>
                <w:p>
                  <w:pPr>
                    <w:pStyle w:val="57"/>
                    <w:jc w:val="center"/>
                    <w:rPr>
                      <w:color w:val="000000"/>
                      <w:sz w:val="21"/>
                      <w:szCs w:val="21"/>
                      <w:lang w:eastAsia="zh-CN"/>
                    </w:rPr>
                  </w:pPr>
                  <w:r>
                    <w:rPr>
                      <w:color w:val="000000"/>
                      <w:sz w:val="21"/>
                      <w:szCs w:val="21"/>
                      <w:lang w:eastAsia="zh-CN"/>
                    </w:rPr>
                    <w:t>q /Q =0.0</w:t>
                  </w:r>
                  <w:r>
                    <w:rPr>
                      <w:rFonts w:hint="eastAsia"/>
                      <w:color w:val="000000"/>
                      <w:sz w:val="21"/>
                      <w:szCs w:val="21"/>
                      <w:lang w:eastAsia="zh-CN"/>
                    </w:rPr>
                    <w:t>159</w:t>
                  </w:r>
                </w:p>
              </w:tc>
            </w:tr>
          </w:tbl>
          <w:p>
            <w:pPr>
              <w:spacing w:line="360" w:lineRule="auto"/>
              <w:ind w:firstLine="468" w:firstLineChars="200"/>
              <w:rPr>
                <w:color w:val="000000"/>
                <w:spacing w:val="-3"/>
                <w:sz w:val="24"/>
              </w:rPr>
            </w:pPr>
            <w:r>
              <w:rPr>
                <w:color w:val="000000"/>
                <w:spacing w:val="-3"/>
                <w:sz w:val="24"/>
              </w:rPr>
              <w:t>由上表可知，本项目危险物质数量与临界量比值Q＜1。</w:t>
            </w:r>
          </w:p>
          <w:p>
            <w:pPr>
              <w:spacing w:line="360" w:lineRule="auto"/>
              <w:ind w:firstLine="468" w:firstLineChars="200"/>
              <w:rPr>
                <w:color w:val="000000"/>
                <w:spacing w:val="-3"/>
                <w:sz w:val="24"/>
              </w:rPr>
            </w:pPr>
            <w:r>
              <w:rPr>
                <w:color w:val="000000"/>
                <w:spacing w:val="-3"/>
                <w:sz w:val="24"/>
              </w:rPr>
              <w:t>根据《建设项目环境风险评价技术导则》（HJ169-2018），本项目Q＜1时，该项目风险潜势为I。</w:t>
            </w:r>
          </w:p>
          <w:p>
            <w:pPr>
              <w:spacing w:line="360" w:lineRule="auto"/>
              <w:ind w:firstLine="459"/>
              <w:rPr>
                <w:color w:val="000000"/>
                <w:sz w:val="24"/>
              </w:rPr>
            </w:pPr>
            <w:r>
              <w:rPr>
                <w:color w:val="000000"/>
                <w:sz w:val="24"/>
              </w:rPr>
              <w:t>根据《建设项目环境风险评价技术导则》（HJ 169-2018）规定，风险评价的等级划分是基于项目涉及的物质和工艺系统的危险性及其所在地的环境敏感性确定环境风险潜势，按下表确定评价工作等级。</w:t>
            </w:r>
          </w:p>
          <w:p>
            <w:pPr>
              <w:ind w:firstLine="27"/>
              <w:jc w:val="center"/>
              <w:rPr>
                <w:b/>
                <w:bCs/>
                <w:color w:val="000000"/>
                <w:sz w:val="24"/>
              </w:rPr>
            </w:pPr>
            <w:r>
              <w:rPr>
                <w:b/>
                <w:bCs/>
                <w:color w:val="000000"/>
                <w:sz w:val="24"/>
              </w:rPr>
              <w:t>表4</w:t>
            </w:r>
            <w:r>
              <w:rPr>
                <w:rFonts w:hint="eastAsia"/>
                <w:b/>
                <w:bCs/>
                <w:color w:val="000000"/>
                <w:sz w:val="24"/>
              </w:rPr>
              <w:t>-</w:t>
            </w:r>
            <w:r>
              <w:rPr>
                <w:b/>
                <w:bCs/>
                <w:color w:val="000000"/>
                <w:sz w:val="24"/>
              </w:rPr>
              <w:t>1</w:t>
            </w:r>
            <w:r>
              <w:rPr>
                <w:rFonts w:hint="eastAsia"/>
                <w:b/>
                <w:bCs/>
                <w:color w:val="000000"/>
                <w:sz w:val="24"/>
              </w:rPr>
              <w:t>4</w:t>
            </w:r>
            <w:r>
              <w:rPr>
                <w:b/>
                <w:bCs/>
                <w:color w:val="000000"/>
                <w:sz w:val="24"/>
              </w:rPr>
              <w:t xml:space="preserve">  环境风险评价工作等级划分</w:t>
            </w:r>
          </w:p>
          <w:tbl>
            <w:tblPr>
              <w:tblStyle w:val="23"/>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41"/>
              <w:gridCol w:w="1572"/>
              <w:gridCol w:w="163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16" w:type="dxa"/>
                  <w:vAlign w:val="center"/>
                </w:tcPr>
                <w:p>
                  <w:pPr>
                    <w:pStyle w:val="10"/>
                    <w:spacing w:after="0"/>
                    <w:ind w:left="0" w:leftChars="0"/>
                    <w:jc w:val="center"/>
                    <w:rPr>
                      <w:color w:val="000000"/>
                      <w:sz w:val="21"/>
                      <w:szCs w:val="21"/>
                    </w:rPr>
                  </w:pPr>
                  <w:r>
                    <w:rPr>
                      <w:color w:val="000000"/>
                      <w:sz w:val="21"/>
                      <w:szCs w:val="21"/>
                    </w:rPr>
                    <w:t>环境风险潜势</w:t>
                  </w:r>
                </w:p>
              </w:tc>
              <w:tc>
                <w:tcPr>
                  <w:tcW w:w="1241" w:type="dxa"/>
                  <w:vAlign w:val="center"/>
                </w:tcPr>
                <w:p>
                  <w:pPr>
                    <w:pStyle w:val="10"/>
                    <w:spacing w:after="0"/>
                    <w:ind w:left="0" w:leftChars="0"/>
                    <w:jc w:val="center"/>
                    <w:rPr>
                      <w:color w:val="000000"/>
                      <w:sz w:val="21"/>
                      <w:szCs w:val="21"/>
                    </w:rPr>
                  </w:pPr>
                  <w:r>
                    <w:rPr>
                      <w:color w:val="000000"/>
                      <w:sz w:val="21"/>
                      <w:szCs w:val="21"/>
                    </w:rPr>
                    <w:t>Ⅳ、Ⅳ</w:t>
                  </w:r>
                  <w:r>
                    <w:rPr>
                      <w:color w:val="000000"/>
                      <w:sz w:val="21"/>
                      <w:szCs w:val="21"/>
                      <w:vertAlign w:val="superscript"/>
                    </w:rPr>
                    <w:t>+</w:t>
                  </w:r>
                </w:p>
              </w:tc>
              <w:tc>
                <w:tcPr>
                  <w:tcW w:w="1572" w:type="dxa"/>
                  <w:vAlign w:val="center"/>
                </w:tcPr>
                <w:p>
                  <w:pPr>
                    <w:pStyle w:val="10"/>
                    <w:spacing w:after="0"/>
                    <w:ind w:left="0" w:leftChars="0"/>
                    <w:jc w:val="center"/>
                    <w:rPr>
                      <w:color w:val="000000"/>
                      <w:sz w:val="21"/>
                      <w:szCs w:val="21"/>
                    </w:rPr>
                  </w:pPr>
                  <w:r>
                    <w:rPr>
                      <w:color w:val="000000"/>
                      <w:sz w:val="21"/>
                      <w:szCs w:val="21"/>
                    </w:rPr>
                    <w:t>Ⅲ</w:t>
                  </w:r>
                </w:p>
              </w:tc>
              <w:tc>
                <w:tcPr>
                  <w:tcW w:w="1633" w:type="dxa"/>
                  <w:vAlign w:val="center"/>
                </w:tcPr>
                <w:p>
                  <w:pPr>
                    <w:pStyle w:val="10"/>
                    <w:spacing w:after="0"/>
                    <w:ind w:left="0" w:leftChars="0"/>
                    <w:jc w:val="center"/>
                    <w:rPr>
                      <w:color w:val="000000"/>
                      <w:sz w:val="21"/>
                      <w:szCs w:val="21"/>
                    </w:rPr>
                  </w:pPr>
                  <w:r>
                    <w:rPr>
                      <w:color w:val="000000"/>
                      <w:sz w:val="21"/>
                      <w:szCs w:val="21"/>
                    </w:rPr>
                    <w:t>Ⅱ</w:t>
                  </w:r>
                </w:p>
              </w:tc>
              <w:tc>
                <w:tcPr>
                  <w:tcW w:w="1476" w:type="dxa"/>
                  <w:vAlign w:val="center"/>
                </w:tcPr>
                <w:p>
                  <w:pPr>
                    <w:pStyle w:val="10"/>
                    <w:spacing w:after="0"/>
                    <w:ind w:left="0" w:leftChars="0"/>
                    <w:jc w:val="center"/>
                    <w:rPr>
                      <w:color w:val="000000"/>
                      <w:sz w:val="21"/>
                      <w:szCs w:val="21"/>
                    </w:rPr>
                  </w:pPr>
                  <w:r>
                    <w:rPr>
                      <w:color w:val="000000"/>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16" w:type="dxa"/>
                  <w:vAlign w:val="center"/>
                </w:tcPr>
                <w:p>
                  <w:pPr>
                    <w:pStyle w:val="10"/>
                    <w:spacing w:after="0"/>
                    <w:ind w:left="0" w:leftChars="0"/>
                    <w:jc w:val="center"/>
                    <w:rPr>
                      <w:color w:val="000000"/>
                      <w:sz w:val="21"/>
                      <w:szCs w:val="21"/>
                    </w:rPr>
                  </w:pPr>
                  <w:r>
                    <w:rPr>
                      <w:color w:val="000000"/>
                      <w:sz w:val="21"/>
                      <w:szCs w:val="21"/>
                    </w:rPr>
                    <w:t>评价工作等级</w:t>
                  </w:r>
                </w:p>
              </w:tc>
              <w:tc>
                <w:tcPr>
                  <w:tcW w:w="1241" w:type="dxa"/>
                  <w:vAlign w:val="center"/>
                </w:tcPr>
                <w:p>
                  <w:pPr>
                    <w:pStyle w:val="10"/>
                    <w:spacing w:after="0"/>
                    <w:ind w:left="0" w:leftChars="0"/>
                    <w:jc w:val="center"/>
                    <w:rPr>
                      <w:color w:val="000000"/>
                      <w:sz w:val="21"/>
                      <w:szCs w:val="21"/>
                    </w:rPr>
                  </w:pPr>
                  <w:r>
                    <w:rPr>
                      <w:color w:val="000000"/>
                      <w:sz w:val="21"/>
                      <w:szCs w:val="21"/>
                    </w:rPr>
                    <w:t>一</w:t>
                  </w:r>
                </w:p>
              </w:tc>
              <w:tc>
                <w:tcPr>
                  <w:tcW w:w="1572" w:type="dxa"/>
                  <w:vAlign w:val="center"/>
                </w:tcPr>
                <w:p>
                  <w:pPr>
                    <w:pStyle w:val="10"/>
                    <w:spacing w:after="0"/>
                    <w:ind w:left="0" w:leftChars="0"/>
                    <w:jc w:val="center"/>
                    <w:rPr>
                      <w:color w:val="000000"/>
                      <w:sz w:val="21"/>
                      <w:szCs w:val="21"/>
                    </w:rPr>
                  </w:pPr>
                  <w:r>
                    <w:rPr>
                      <w:color w:val="000000"/>
                      <w:sz w:val="21"/>
                      <w:szCs w:val="21"/>
                    </w:rPr>
                    <w:t>二</w:t>
                  </w:r>
                </w:p>
              </w:tc>
              <w:tc>
                <w:tcPr>
                  <w:tcW w:w="1633" w:type="dxa"/>
                  <w:vAlign w:val="center"/>
                </w:tcPr>
                <w:p>
                  <w:pPr>
                    <w:pStyle w:val="10"/>
                    <w:spacing w:after="0"/>
                    <w:ind w:left="0" w:leftChars="0"/>
                    <w:jc w:val="center"/>
                    <w:rPr>
                      <w:color w:val="000000"/>
                      <w:sz w:val="21"/>
                      <w:szCs w:val="21"/>
                    </w:rPr>
                  </w:pPr>
                  <w:r>
                    <w:rPr>
                      <w:color w:val="000000"/>
                      <w:sz w:val="21"/>
                      <w:szCs w:val="21"/>
                    </w:rPr>
                    <w:t>三</w:t>
                  </w:r>
                </w:p>
              </w:tc>
              <w:tc>
                <w:tcPr>
                  <w:tcW w:w="1476" w:type="dxa"/>
                  <w:vAlign w:val="center"/>
                </w:tcPr>
                <w:p>
                  <w:pPr>
                    <w:pStyle w:val="10"/>
                    <w:spacing w:after="0"/>
                    <w:ind w:left="0" w:leftChars="0"/>
                    <w:jc w:val="center"/>
                    <w:rPr>
                      <w:color w:val="000000"/>
                      <w:sz w:val="21"/>
                      <w:szCs w:val="21"/>
                    </w:rPr>
                  </w:pPr>
                  <w:r>
                    <w:rPr>
                      <w:color w:val="000000"/>
                      <w:sz w:val="21"/>
                      <w:szCs w:val="21"/>
                    </w:rPr>
                    <w:t>简单分析</w:t>
                  </w:r>
                  <w:r>
                    <w:rPr>
                      <w:color w:val="00000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5"/>
                  <w:vAlign w:val="center"/>
                </w:tcPr>
                <w:p>
                  <w:pPr>
                    <w:pStyle w:val="10"/>
                    <w:spacing w:after="0"/>
                    <w:ind w:left="0" w:leftChars="0"/>
                    <w:jc w:val="center"/>
                    <w:rPr>
                      <w:color w:val="000000"/>
                      <w:sz w:val="21"/>
                      <w:szCs w:val="21"/>
                    </w:rPr>
                  </w:pPr>
                  <w:r>
                    <w:rPr>
                      <w:color w:val="000000"/>
                      <w:sz w:val="21"/>
                      <w:szCs w:val="21"/>
                    </w:rPr>
                    <w:t>a是相对于详细评价工作内容而言，在描述风险物质、环境影响途径、环境危害后果、风险防范措施等方面给出定性的说明。</w:t>
                  </w:r>
                </w:p>
              </w:tc>
            </w:tr>
          </w:tbl>
          <w:p>
            <w:pPr>
              <w:spacing w:line="360" w:lineRule="auto"/>
              <w:ind w:firstLine="468" w:firstLineChars="200"/>
              <w:rPr>
                <w:color w:val="000000"/>
                <w:spacing w:val="-3"/>
                <w:sz w:val="24"/>
              </w:rPr>
            </w:pPr>
            <w:r>
              <w:rPr>
                <w:color w:val="000000"/>
                <w:spacing w:val="-3"/>
                <w:sz w:val="24"/>
              </w:rPr>
              <w:t>本项目厂区内风险物质数量与临界量比值Q＜1，风险潜势为Ⅰ，可开展简单分析。</w:t>
            </w:r>
          </w:p>
          <w:p>
            <w:pPr>
              <w:spacing w:line="360" w:lineRule="auto"/>
              <w:ind w:firstLine="480" w:firstLineChars="200"/>
              <w:rPr>
                <w:bCs/>
                <w:color w:val="000000"/>
                <w:sz w:val="24"/>
              </w:rPr>
            </w:pPr>
            <w:r>
              <w:rPr>
                <w:bCs/>
                <w:color w:val="000000"/>
                <w:sz w:val="24"/>
              </w:rPr>
              <w:t>2、</w:t>
            </w:r>
            <w:r>
              <w:rPr>
                <w:rFonts w:hint="eastAsia"/>
                <w:bCs/>
                <w:color w:val="000000"/>
                <w:sz w:val="24"/>
              </w:rPr>
              <w:t>物质</w:t>
            </w:r>
            <w:r>
              <w:rPr>
                <w:bCs/>
                <w:color w:val="000000"/>
                <w:sz w:val="24"/>
              </w:rPr>
              <w:t>风险识别</w:t>
            </w:r>
          </w:p>
          <w:p>
            <w:pPr>
              <w:spacing w:line="360" w:lineRule="auto"/>
              <w:ind w:firstLine="480" w:firstLineChars="200"/>
              <w:rPr>
                <w:color w:val="000000"/>
                <w:sz w:val="24"/>
              </w:rPr>
            </w:pPr>
            <w:r>
              <w:rPr>
                <w:color w:val="000000"/>
                <w:sz w:val="24"/>
              </w:rPr>
              <w:t>按《建设项目环境风险评价技术导则》（HJ169-2018）中“物质危险性标准”，对拟建项目涉及的物质进行危险性识别。本</w:t>
            </w:r>
            <w:r>
              <w:rPr>
                <w:rFonts w:ascii="宋体" w:hAnsi="宋体" w:cs="宋体"/>
                <w:sz w:val="24"/>
              </w:rPr>
              <w:t>项目</w:t>
            </w:r>
            <w:r>
              <w:rPr>
                <w:color w:val="000000"/>
                <w:sz w:val="24"/>
              </w:rPr>
              <w:t>涉及的危险物料为汽油和柴油，这两种物质的理化性质和危险特性见下表。</w:t>
            </w:r>
          </w:p>
          <w:p>
            <w:pPr>
              <w:jc w:val="center"/>
              <w:rPr>
                <w:b/>
                <w:bCs/>
                <w:color w:val="000000"/>
                <w:spacing w:val="-3"/>
                <w:sz w:val="24"/>
              </w:rPr>
            </w:pPr>
            <w:r>
              <w:rPr>
                <w:b/>
                <w:bCs/>
                <w:color w:val="000000"/>
                <w:spacing w:val="-3"/>
                <w:sz w:val="24"/>
              </w:rPr>
              <w:t>表4</w:t>
            </w:r>
            <w:r>
              <w:rPr>
                <w:rFonts w:hint="eastAsia"/>
                <w:b/>
                <w:bCs/>
                <w:color w:val="000000"/>
                <w:spacing w:val="-3"/>
                <w:sz w:val="24"/>
              </w:rPr>
              <w:t>-</w:t>
            </w:r>
            <w:r>
              <w:rPr>
                <w:b/>
                <w:bCs/>
                <w:color w:val="000000"/>
                <w:spacing w:val="-3"/>
                <w:sz w:val="24"/>
              </w:rPr>
              <w:t>1</w:t>
            </w:r>
            <w:r>
              <w:rPr>
                <w:rFonts w:hint="eastAsia"/>
                <w:b/>
                <w:bCs/>
                <w:color w:val="000000"/>
                <w:spacing w:val="-3"/>
                <w:sz w:val="24"/>
              </w:rPr>
              <w:t>5</w:t>
            </w:r>
            <w:r>
              <w:rPr>
                <w:b/>
                <w:bCs/>
                <w:color w:val="000000"/>
                <w:spacing w:val="-3"/>
                <w:sz w:val="24"/>
              </w:rPr>
              <w:t xml:space="preserve">  汽油理化性质一览表</w:t>
            </w:r>
          </w:p>
          <w:tbl>
            <w:tblPr>
              <w:tblStyle w:val="23"/>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374"/>
              <w:gridCol w:w="180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bCs/>
                      <w:color w:val="000000"/>
                      <w:szCs w:val="21"/>
                    </w:rPr>
                    <w:t>一、危险性概述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燃爆危险：</w:t>
                  </w:r>
                </w:p>
              </w:tc>
              <w:tc>
                <w:tcPr>
                  <w:tcW w:w="2374" w:type="dxa"/>
                  <w:vAlign w:val="center"/>
                </w:tcPr>
                <w:p>
                  <w:pPr>
                    <w:jc w:val="center"/>
                    <w:rPr>
                      <w:color w:val="000000"/>
                      <w:szCs w:val="21"/>
                    </w:rPr>
                  </w:pPr>
                  <w:r>
                    <w:rPr>
                      <w:color w:val="000000"/>
                      <w:szCs w:val="21"/>
                    </w:rPr>
                    <w:t>易燃</w:t>
                  </w:r>
                </w:p>
              </w:tc>
              <w:tc>
                <w:tcPr>
                  <w:tcW w:w="1805" w:type="dxa"/>
                  <w:vAlign w:val="center"/>
                </w:tcPr>
                <w:p>
                  <w:pPr>
                    <w:jc w:val="center"/>
                    <w:rPr>
                      <w:color w:val="000000"/>
                      <w:szCs w:val="21"/>
                    </w:rPr>
                  </w:pPr>
                  <w:r>
                    <w:rPr>
                      <w:color w:val="000000"/>
                      <w:szCs w:val="21"/>
                    </w:rPr>
                    <w:t>危险品类别：</w:t>
                  </w:r>
                </w:p>
              </w:tc>
              <w:tc>
                <w:tcPr>
                  <w:tcW w:w="1985" w:type="dxa"/>
                  <w:vAlign w:val="center"/>
                </w:tcPr>
                <w:p>
                  <w:pPr>
                    <w:jc w:val="center"/>
                    <w:rPr>
                      <w:color w:val="000000"/>
                      <w:szCs w:val="21"/>
                    </w:rPr>
                  </w:pPr>
                  <w:r>
                    <w:rPr>
                      <w:color w:val="000000"/>
                      <w:szCs w:val="21"/>
                    </w:rPr>
                    <w:t>低闪点易燃液体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侵入途径：</w:t>
                  </w:r>
                </w:p>
              </w:tc>
              <w:tc>
                <w:tcPr>
                  <w:tcW w:w="2374" w:type="dxa"/>
                  <w:vAlign w:val="center"/>
                </w:tcPr>
                <w:p>
                  <w:pPr>
                    <w:jc w:val="center"/>
                    <w:rPr>
                      <w:color w:val="000000"/>
                      <w:szCs w:val="21"/>
                    </w:rPr>
                  </w:pPr>
                  <w:r>
                    <w:rPr>
                      <w:color w:val="000000"/>
                      <w:szCs w:val="21"/>
                    </w:rPr>
                    <w:t>吸入、食入、经皮肤吸收</w:t>
                  </w:r>
                </w:p>
              </w:tc>
              <w:tc>
                <w:tcPr>
                  <w:tcW w:w="1805" w:type="dxa"/>
                  <w:vAlign w:val="center"/>
                </w:tcPr>
                <w:p>
                  <w:pPr>
                    <w:jc w:val="center"/>
                    <w:rPr>
                      <w:color w:val="000000"/>
                      <w:szCs w:val="21"/>
                    </w:rPr>
                  </w:pPr>
                  <w:r>
                    <w:rPr>
                      <w:color w:val="000000"/>
                      <w:szCs w:val="21"/>
                    </w:rPr>
                    <w:t>有害燃烧产物：</w:t>
                  </w:r>
                </w:p>
              </w:tc>
              <w:tc>
                <w:tcPr>
                  <w:tcW w:w="1985" w:type="dxa"/>
                  <w:vAlign w:val="center"/>
                </w:tcPr>
                <w:p>
                  <w:pPr>
                    <w:jc w:val="center"/>
                    <w:rPr>
                      <w:color w:val="000000"/>
                      <w:szCs w:val="21"/>
                    </w:rPr>
                  </w:pPr>
                  <w:r>
                    <w:rPr>
                      <w:color w:val="000000"/>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二、理化性质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性状：</w:t>
                  </w:r>
                </w:p>
              </w:tc>
              <w:tc>
                <w:tcPr>
                  <w:tcW w:w="2374" w:type="dxa"/>
                  <w:vAlign w:val="center"/>
                </w:tcPr>
                <w:p>
                  <w:pPr>
                    <w:jc w:val="center"/>
                    <w:rPr>
                      <w:color w:val="000000"/>
                      <w:szCs w:val="21"/>
                    </w:rPr>
                  </w:pPr>
                  <w:r>
                    <w:rPr>
                      <w:color w:val="000000"/>
                      <w:szCs w:val="21"/>
                    </w:rPr>
                    <w:t>无色或淡黄色易挥发液体</w:t>
                  </w:r>
                </w:p>
              </w:tc>
              <w:tc>
                <w:tcPr>
                  <w:tcW w:w="1805" w:type="dxa"/>
                  <w:vAlign w:val="center"/>
                </w:tcPr>
                <w:p>
                  <w:pPr>
                    <w:jc w:val="center"/>
                    <w:rPr>
                      <w:color w:val="000000"/>
                      <w:szCs w:val="21"/>
                    </w:rPr>
                  </w:pPr>
                  <w:r>
                    <w:rPr>
                      <w:color w:val="000000"/>
                      <w:szCs w:val="21"/>
                    </w:rPr>
                    <w:t>熔点（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相对密度（水=1）：</w:t>
                  </w:r>
                </w:p>
              </w:tc>
              <w:tc>
                <w:tcPr>
                  <w:tcW w:w="2374" w:type="dxa"/>
                  <w:vAlign w:val="center"/>
                </w:tcPr>
                <w:p>
                  <w:pPr>
                    <w:jc w:val="center"/>
                    <w:rPr>
                      <w:color w:val="000000"/>
                      <w:szCs w:val="21"/>
                    </w:rPr>
                  </w:pPr>
                  <w:r>
                    <w:rPr>
                      <w:color w:val="000000"/>
                      <w:szCs w:val="21"/>
                    </w:rPr>
                    <w:t>0.70~0.79</w:t>
                  </w:r>
                </w:p>
              </w:tc>
              <w:tc>
                <w:tcPr>
                  <w:tcW w:w="1805" w:type="dxa"/>
                  <w:vAlign w:val="center"/>
                </w:tcPr>
                <w:p>
                  <w:pPr>
                    <w:jc w:val="center"/>
                    <w:rPr>
                      <w:color w:val="000000"/>
                      <w:szCs w:val="21"/>
                    </w:rPr>
                  </w:pPr>
                  <w:r>
                    <w:rPr>
                      <w:color w:val="000000"/>
                      <w:szCs w:val="21"/>
                    </w:rPr>
                    <w:t>闪点（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相对密度（空气=1）：</w:t>
                  </w:r>
                </w:p>
              </w:tc>
              <w:tc>
                <w:tcPr>
                  <w:tcW w:w="2374" w:type="dxa"/>
                  <w:vAlign w:val="center"/>
                </w:tcPr>
                <w:p>
                  <w:pPr>
                    <w:jc w:val="center"/>
                    <w:rPr>
                      <w:color w:val="000000"/>
                      <w:szCs w:val="21"/>
                    </w:rPr>
                  </w:pPr>
                  <w:r>
                    <w:rPr>
                      <w:color w:val="000000"/>
                      <w:szCs w:val="21"/>
                    </w:rPr>
                    <w:t>3.5</w:t>
                  </w:r>
                </w:p>
              </w:tc>
              <w:tc>
                <w:tcPr>
                  <w:tcW w:w="1805" w:type="dxa"/>
                  <w:vAlign w:val="center"/>
                </w:tcPr>
                <w:p>
                  <w:pPr>
                    <w:jc w:val="center"/>
                    <w:rPr>
                      <w:color w:val="000000"/>
                      <w:szCs w:val="21"/>
                    </w:rPr>
                  </w:pPr>
                  <w:r>
                    <w:rPr>
                      <w:color w:val="000000"/>
                      <w:szCs w:val="21"/>
                    </w:rPr>
                    <w:t>引燃温度（</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415~530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溶解性：</w:t>
                  </w:r>
                </w:p>
              </w:tc>
              <w:tc>
                <w:tcPr>
                  <w:tcW w:w="2374" w:type="dxa"/>
                  <w:vAlign w:val="center"/>
                </w:tcPr>
                <w:p>
                  <w:pPr>
                    <w:jc w:val="center"/>
                    <w:rPr>
                      <w:color w:val="000000"/>
                      <w:szCs w:val="21"/>
                    </w:rPr>
                  </w:pPr>
                  <w:r>
                    <w:rPr>
                      <w:color w:val="000000"/>
                      <w:szCs w:val="21"/>
                    </w:rPr>
                    <w:t>不溶于水、易溶于笨、脂肪烃</w:t>
                  </w:r>
                </w:p>
              </w:tc>
              <w:tc>
                <w:tcPr>
                  <w:tcW w:w="1805" w:type="dxa"/>
                  <w:vAlign w:val="center"/>
                </w:tcPr>
                <w:p>
                  <w:pPr>
                    <w:jc w:val="center"/>
                    <w:rPr>
                      <w:color w:val="000000"/>
                      <w:szCs w:val="21"/>
                    </w:rPr>
                  </w:pPr>
                  <w:r>
                    <w:rPr>
                      <w:color w:val="000000"/>
                      <w:szCs w:val="21"/>
                    </w:rPr>
                    <w:t>沸点（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爆炸上限%（V/V）:</w:t>
                  </w:r>
                </w:p>
              </w:tc>
              <w:tc>
                <w:tcPr>
                  <w:tcW w:w="2374" w:type="dxa"/>
                  <w:vAlign w:val="center"/>
                </w:tcPr>
                <w:p>
                  <w:pPr>
                    <w:jc w:val="center"/>
                    <w:rPr>
                      <w:color w:val="000000"/>
                      <w:szCs w:val="21"/>
                    </w:rPr>
                  </w:pPr>
                  <w:r>
                    <w:rPr>
                      <w:color w:val="000000"/>
                      <w:szCs w:val="21"/>
                    </w:rPr>
                    <w:t>6.0</w:t>
                  </w:r>
                </w:p>
              </w:tc>
              <w:tc>
                <w:tcPr>
                  <w:tcW w:w="1805" w:type="dxa"/>
                  <w:vAlign w:val="center"/>
                </w:tcPr>
                <w:p>
                  <w:pPr>
                    <w:jc w:val="center"/>
                    <w:rPr>
                      <w:color w:val="000000"/>
                      <w:szCs w:val="21"/>
                    </w:rPr>
                  </w:pPr>
                  <w:r>
                    <w:rPr>
                      <w:color w:val="000000"/>
                      <w:szCs w:val="21"/>
                    </w:rPr>
                    <w:t>爆炸下限%（V/V）</w:t>
                  </w:r>
                </w:p>
              </w:tc>
              <w:tc>
                <w:tcPr>
                  <w:tcW w:w="1985" w:type="dxa"/>
                  <w:vAlign w:val="center"/>
                </w:tcPr>
                <w:p>
                  <w:pPr>
                    <w:jc w:val="center"/>
                    <w:rPr>
                      <w:color w:val="000000"/>
                      <w:szCs w:val="21"/>
                    </w:rPr>
                  </w:pPr>
                  <w:r>
                    <w:rPr>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三、毒性及健康危害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健康危害：</w:t>
                  </w:r>
                </w:p>
              </w:tc>
              <w:tc>
                <w:tcPr>
                  <w:tcW w:w="6164" w:type="dxa"/>
                  <w:gridSpan w:val="3"/>
                  <w:vAlign w:val="center"/>
                </w:tcPr>
                <w:p>
                  <w:pPr>
                    <w:jc w:val="center"/>
                    <w:rPr>
                      <w:color w:val="000000"/>
                      <w:szCs w:val="21"/>
                    </w:rPr>
                  </w:pPr>
                  <w:r>
                    <w:rPr>
                      <w:color w:val="000000"/>
                      <w:szCs w:val="21"/>
                    </w:rPr>
                    <w:t>急性中毒，对中枢神经系统有麻醉作用，轻度中毒症状有头晕、头痛、恶心、呕吐。高浓度吸入出现中毒性脑病。极高浓度吸入引起意识突然丧失，反射性呼吸停止。可伴有中毒性周围神经病及化学性肺炎。吸入呼吸道可引起吸入性肺炎。溅入眼内可致角膜溃疡、穿孔，甚至失明。皮肤接触致急性接触性皮炎，甚至灼伤。吞咽引起急性胃肠炎。并可引起肝、肾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慢性中毒：</w:t>
                  </w:r>
                </w:p>
              </w:tc>
              <w:tc>
                <w:tcPr>
                  <w:tcW w:w="6164" w:type="dxa"/>
                  <w:gridSpan w:val="3"/>
                  <w:vAlign w:val="center"/>
                </w:tcPr>
                <w:p>
                  <w:pPr>
                    <w:jc w:val="center"/>
                    <w:rPr>
                      <w:color w:val="000000"/>
                      <w:szCs w:val="21"/>
                    </w:rPr>
                  </w:pPr>
                  <w:r>
                    <w:rPr>
                      <w:color w:val="000000"/>
                      <w:szCs w:val="21"/>
                    </w:rPr>
                    <w:t>神经衰弱综合症，植物神经功能紊乱，周围神经病。严重中毒出现中毒性脑病。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四、防护措施及储运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呼吸系统防护：</w:t>
                  </w:r>
                </w:p>
              </w:tc>
              <w:tc>
                <w:tcPr>
                  <w:tcW w:w="6164" w:type="dxa"/>
                  <w:gridSpan w:val="3"/>
                  <w:vAlign w:val="center"/>
                </w:tcPr>
                <w:p>
                  <w:pPr>
                    <w:jc w:val="center"/>
                    <w:rPr>
                      <w:color w:val="000000"/>
                      <w:szCs w:val="21"/>
                    </w:rPr>
                  </w:pPr>
                  <w:r>
                    <w:rPr>
                      <w:color w:val="000000"/>
                      <w:szCs w:val="21"/>
                    </w:rPr>
                    <w:t>高浓度接触时，可佩戴自吸过滤式防毒面具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眼睛系统防护：</w:t>
                  </w:r>
                </w:p>
              </w:tc>
              <w:tc>
                <w:tcPr>
                  <w:tcW w:w="6164" w:type="dxa"/>
                  <w:gridSpan w:val="3"/>
                  <w:vAlign w:val="center"/>
                </w:tcPr>
                <w:p>
                  <w:pPr>
                    <w:jc w:val="center"/>
                    <w:rPr>
                      <w:color w:val="000000"/>
                      <w:szCs w:val="21"/>
                    </w:rPr>
                  </w:pPr>
                  <w:r>
                    <w:rPr>
                      <w:color w:val="000000"/>
                      <w:szCs w:val="21"/>
                    </w:rPr>
                    <w:t>高浓度接触时，可佩戴化学安全防护眼镜。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身体系统防护：</w:t>
                  </w:r>
                </w:p>
              </w:tc>
              <w:tc>
                <w:tcPr>
                  <w:tcW w:w="6164" w:type="dxa"/>
                  <w:gridSpan w:val="3"/>
                  <w:vAlign w:val="center"/>
                </w:tcPr>
                <w:p>
                  <w:pPr>
                    <w:jc w:val="center"/>
                    <w:rPr>
                      <w:color w:val="000000"/>
                      <w:szCs w:val="21"/>
                    </w:rPr>
                  </w:pPr>
                  <w:r>
                    <w:rPr>
                      <w:color w:val="000000"/>
                      <w:szCs w:val="21"/>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手系统防护：</w:t>
                  </w:r>
                </w:p>
              </w:tc>
              <w:tc>
                <w:tcPr>
                  <w:tcW w:w="6164" w:type="dxa"/>
                  <w:gridSpan w:val="3"/>
                  <w:vAlign w:val="center"/>
                </w:tcPr>
                <w:p>
                  <w:pPr>
                    <w:jc w:val="center"/>
                    <w:rPr>
                      <w:color w:val="000000"/>
                      <w:szCs w:val="21"/>
                    </w:rPr>
                  </w:pPr>
                  <w:r>
                    <w:rPr>
                      <w:color w:val="000000"/>
                      <w:szCs w:val="21"/>
                    </w:rPr>
                    <w:t>戴耐油手套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vAlign w:val="center"/>
                </w:tcPr>
                <w:p>
                  <w:pPr>
                    <w:jc w:val="center"/>
                    <w:rPr>
                      <w:color w:val="000000"/>
                      <w:szCs w:val="21"/>
                    </w:rPr>
                  </w:pPr>
                  <w:r>
                    <w:rPr>
                      <w:color w:val="000000"/>
                      <w:szCs w:val="21"/>
                    </w:rPr>
                    <w:t>储运：</w:t>
                  </w:r>
                </w:p>
              </w:tc>
              <w:tc>
                <w:tcPr>
                  <w:tcW w:w="6164" w:type="dxa"/>
                  <w:gridSpan w:val="3"/>
                  <w:vAlign w:val="center"/>
                </w:tcPr>
                <w:p>
                  <w:pPr>
                    <w:jc w:val="center"/>
                    <w:rPr>
                      <w:color w:val="000000"/>
                      <w:szCs w:val="21"/>
                    </w:rPr>
                  </w:pPr>
                  <w:r>
                    <w:rPr>
                      <w:color w:val="000000"/>
                      <w:szCs w:val="21"/>
                    </w:rPr>
                    <w:t>存储要保持容器密封，要有防火、防爆技术措施，禁止使用易产生火花的机械设备和工具。灌装时应注意流速（不超过3m/s），且有接地装置，防止静电积聚。</w:t>
                  </w:r>
                </w:p>
              </w:tc>
            </w:tr>
          </w:tbl>
          <w:p>
            <w:pPr>
              <w:jc w:val="center"/>
              <w:rPr>
                <w:b/>
                <w:bCs/>
                <w:color w:val="000000"/>
                <w:spacing w:val="-3"/>
                <w:sz w:val="24"/>
              </w:rPr>
            </w:pPr>
            <w:r>
              <w:rPr>
                <w:b/>
                <w:bCs/>
                <w:color w:val="000000"/>
                <w:spacing w:val="-3"/>
                <w:sz w:val="24"/>
              </w:rPr>
              <w:t>表4</w:t>
            </w:r>
            <w:r>
              <w:rPr>
                <w:rFonts w:hint="eastAsia"/>
                <w:b/>
                <w:bCs/>
                <w:color w:val="000000"/>
                <w:spacing w:val="-3"/>
                <w:sz w:val="24"/>
              </w:rPr>
              <w:t>-</w:t>
            </w:r>
            <w:r>
              <w:rPr>
                <w:b/>
                <w:bCs/>
                <w:color w:val="000000"/>
                <w:spacing w:val="-3"/>
                <w:sz w:val="24"/>
              </w:rPr>
              <w:t>1</w:t>
            </w:r>
            <w:r>
              <w:rPr>
                <w:rFonts w:hint="eastAsia"/>
                <w:b/>
                <w:bCs/>
                <w:color w:val="000000"/>
                <w:spacing w:val="-3"/>
                <w:sz w:val="24"/>
              </w:rPr>
              <w:t>6</w:t>
            </w:r>
            <w:r>
              <w:rPr>
                <w:b/>
                <w:bCs/>
                <w:color w:val="000000"/>
                <w:spacing w:val="-3"/>
                <w:sz w:val="24"/>
              </w:rPr>
              <w:t xml:space="preserve">  柴油理化性质及危险特性表</w:t>
            </w:r>
          </w:p>
          <w:tbl>
            <w:tblPr>
              <w:tblStyle w:val="23"/>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279"/>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7938" w:type="dxa"/>
                  <w:gridSpan w:val="4"/>
                  <w:vAlign w:val="center"/>
                </w:tcPr>
                <w:p>
                  <w:pPr>
                    <w:jc w:val="center"/>
                    <w:rPr>
                      <w:color w:val="000000"/>
                      <w:szCs w:val="21"/>
                    </w:rPr>
                  </w:pPr>
                  <w:r>
                    <w:rPr>
                      <w:color w:val="000000"/>
                      <w:szCs w:val="21"/>
                    </w:rPr>
                    <w:t>一、危险性概述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燃爆危险：</w:t>
                  </w:r>
                </w:p>
              </w:tc>
              <w:tc>
                <w:tcPr>
                  <w:tcW w:w="2279" w:type="dxa"/>
                  <w:vAlign w:val="center"/>
                </w:tcPr>
                <w:p>
                  <w:pPr>
                    <w:jc w:val="center"/>
                    <w:rPr>
                      <w:color w:val="000000"/>
                      <w:szCs w:val="21"/>
                    </w:rPr>
                  </w:pPr>
                  <w:r>
                    <w:rPr>
                      <w:color w:val="000000"/>
                      <w:szCs w:val="21"/>
                    </w:rPr>
                    <w:t>易燃</w:t>
                  </w:r>
                </w:p>
              </w:tc>
              <w:tc>
                <w:tcPr>
                  <w:tcW w:w="1984" w:type="dxa"/>
                  <w:vAlign w:val="center"/>
                </w:tcPr>
                <w:p>
                  <w:pPr>
                    <w:jc w:val="center"/>
                    <w:rPr>
                      <w:color w:val="000000"/>
                      <w:szCs w:val="21"/>
                    </w:rPr>
                  </w:pPr>
                  <w:r>
                    <w:rPr>
                      <w:color w:val="000000"/>
                      <w:szCs w:val="21"/>
                    </w:rPr>
                    <w:t>危险品类别：</w:t>
                  </w:r>
                </w:p>
              </w:tc>
              <w:tc>
                <w:tcPr>
                  <w:tcW w:w="1985" w:type="dxa"/>
                  <w:vAlign w:val="center"/>
                </w:tcPr>
                <w:p>
                  <w:pPr>
                    <w:jc w:val="center"/>
                    <w:rPr>
                      <w:color w:val="000000"/>
                      <w:szCs w:val="21"/>
                    </w:rPr>
                  </w:pPr>
                  <w:r>
                    <w:rPr>
                      <w:color w:val="000000"/>
                      <w:szCs w:val="21"/>
                    </w:rPr>
                    <w:t>可燃液体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侵入途径：</w:t>
                  </w:r>
                </w:p>
              </w:tc>
              <w:tc>
                <w:tcPr>
                  <w:tcW w:w="2279" w:type="dxa"/>
                  <w:vAlign w:val="center"/>
                </w:tcPr>
                <w:p>
                  <w:pPr>
                    <w:jc w:val="center"/>
                    <w:rPr>
                      <w:color w:val="000000"/>
                      <w:szCs w:val="21"/>
                    </w:rPr>
                  </w:pPr>
                  <w:r>
                    <w:rPr>
                      <w:color w:val="000000"/>
                      <w:szCs w:val="21"/>
                    </w:rPr>
                    <w:t>吸入、食入、经皮肤吸收</w:t>
                  </w:r>
                </w:p>
              </w:tc>
              <w:tc>
                <w:tcPr>
                  <w:tcW w:w="1984" w:type="dxa"/>
                  <w:vAlign w:val="center"/>
                </w:tcPr>
                <w:p>
                  <w:pPr>
                    <w:jc w:val="center"/>
                    <w:rPr>
                      <w:color w:val="000000"/>
                      <w:szCs w:val="21"/>
                    </w:rPr>
                  </w:pPr>
                  <w:r>
                    <w:rPr>
                      <w:color w:val="000000"/>
                      <w:szCs w:val="21"/>
                    </w:rPr>
                    <w:t>有害燃烧产物：</w:t>
                  </w:r>
                </w:p>
              </w:tc>
              <w:tc>
                <w:tcPr>
                  <w:tcW w:w="1985" w:type="dxa"/>
                  <w:vAlign w:val="center"/>
                </w:tcPr>
                <w:p>
                  <w:pPr>
                    <w:jc w:val="center"/>
                    <w:rPr>
                      <w:color w:val="000000"/>
                      <w:szCs w:val="21"/>
                    </w:rPr>
                  </w:pPr>
                  <w:r>
                    <w:rPr>
                      <w:color w:val="000000"/>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二、理化性质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性状：</w:t>
                  </w:r>
                </w:p>
              </w:tc>
              <w:tc>
                <w:tcPr>
                  <w:tcW w:w="2279" w:type="dxa"/>
                  <w:vAlign w:val="center"/>
                </w:tcPr>
                <w:p>
                  <w:pPr>
                    <w:jc w:val="center"/>
                    <w:rPr>
                      <w:color w:val="000000"/>
                      <w:szCs w:val="21"/>
                    </w:rPr>
                  </w:pPr>
                  <w:r>
                    <w:rPr>
                      <w:color w:val="000000"/>
                      <w:szCs w:val="21"/>
                    </w:rPr>
                    <w:t>稍有粘性的棕色液体</w:t>
                  </w:r>
                </w:p>
              </w:tc>
              <w:tc>
                <w:tcPr>
                  <w:tcW w:w="1984" w:type="dxa"/>
                  <w:vAlign w:val="center"/>
                </w:tcPr>
                <w:p>
                  <w:pPr>
                    <w:jc w:val="center"/>
                    <w:rPr>
                      <w:color w:val="000000"/>
                      <w:szCs w:val="21"/>
                    </w:rPr>
                  </w:pPr>
                  <w:r>
                    <w:rPr>
                      <w:color w:val="000000"/>
                      <w:szCs w:val="21"/>
                    </w:rPr>
                    <w:t>熔点（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引燃温度（</w:t>
                  </w:r>
                  <w:r>
                    <w:rPr>
                      <w:color w:val="000000"/>
                      <w:szCs w:val="21"/>
                      <w:vertAlign w:val="superscript"/>
                    </w:rPr>
                    <w:t>o</w:t>
                  </w:r>
                  <w:r>
                    <w:rPr>
                      <w:color w:val="000000"/>
                      <w:szCs w:val="21"/>
                    </w:rPr>
                    <w:t>C）：</w:t>
                  </w:r>
                </w:p>
              </w:tc>
              <w:tc>
                <w:tcPr>
                  <w:tcW w:w="2279" w:type="dxa"/>
                  <w:vAlign w:val="center"/>
                </w:tcPr>
                <w:p>
                  <w:pPr>
                    <w:jc w:val="center"/>
                    <w:rPr>
                      <w:color w:val="000000"/>
                      <w:szCs w:val="21"/>
                    </w:rPr>
                  </w:pPr>
                  <w:r>
                    <w:rPr>
                      <w:color w:val="000000"/>
                      <w:szCs w:val="21"/>
                    </w:rPr>
                    <w:t>415~530</w:t>
                  </w:r>
                </w:p>
              </w:tc>
              <w:tc>
                <w:tcPr>
                  <w:tcW w:w="1984" w:type="dxa"/>
                  <w:vAlign w:val="center"/>
                </w:tcPr>
                <w:p>
                  <w:pPr>
                    <w:jc w:val="center"/>
                    <w:rPr>
                      <w:color w:val="000000"/>
                      <w:szCs w:val="21"/>
                    </w:rPr>
                  </w:pPr>
                  <w:r>
                    <w:rPr>
                      <w:color w:val="000000"/>
                      <w:szCs w:val="21"/>
                    </w:rPr>
                    <w:t>凝点（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溶解性：</w:t>
                  </w:r>
                </w:p>
              </w:tc>
              <w:tc>
                <w:tcPr>
                  <w:tcW w:w="2279" w:type="dxa"/>
                  <w:vAlign w:val="center"/>
                </w:tcPr>
                <w:p>
                  <w:pPr>
                    <w:jc w:val="center"/>
                    <w:rPr>
                      <w:color w:val="000000"/>
                      <w:szCs w:val="21"/>
                    </w:rPr>
                  </w:pPr>
                  <w:r>
                    <w:rPr>
                      <w:color w:val="000000"/>
                      <w:szCs w:val="21"/>
                    </w:rPr>
                    <w:t>不溶于水、与有机溶剂互溶</w:t>
                  </w:r>
                </w:p>
              </w:tc>
              <w:tc>
                <w:tcPr>
                  <w:tcW w:w="1984" w:type="dxa"/>
                  <w:vAlign w:val="center"/>
                </w:tcPr>
                <w:p>
                  <w:pPr>
                    <w:jc w:val="center"/>
                    <w:rPr>
                      <w:color w:val="000000"/>
                      <w:szCs w:val="21"/>
                    </w:rPr>
                  </w:pPr>
                  <w:r>
                    <w:rPr>
                      <w:color w:val="000000"/>
                      <w:szCs w:val="21"/>
                    </w:rPr>
                    <w:t>沸点（</w:t>
                  </w:r>
                  <w:r>
                    <w:rPr>
                      <w:color w:val="000000"/>
                      <w:szCs w:val="21"/>
                      <w:vertAlign w:val="superscript"/>
                    </w:rPr>
                    <w:t>o</w:t>
                  </w:r>
                  <w:r>
                    <w:rPr>
                      <w:color w:val="000000"/>
                      <w:szCs w:val="21"/>
                    </w:rPr>
                    <w:t>C）：</w:t>
                  </w:r>
                </w:p>
              </w:tc>
              <w:tc>
                <w:tcPr>
                  <w:tcW w:w="1985" w:type="dxa"/>
                  <w:vAlign w:val="center"/>
                </w:tcPr>
                <w:p>
                  <w:pPr>
                    <w:jc w:val="center"/>
                    <w:rPr>
                      <w:color w:val="000000"/>
                      <w:szCs w:val="21"/>
                    </w:rPr>
                  </w:pPr>
                  <w:r>
                    <w:rPr>
                      <w:color w:val="000000"/>
                      <w:szCs w:val="21"/>
                    </w:rPr>
                    <w:t>200~365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爆炸上限%（V/V）:</w:t>
                  </w:r>
                </w:p>
              </w:tc>
              <w:tc>
                <w:tcPr>
                  <w:tcW w:w="2279" w:type="dxa"/>
                  <w:vAlign w:val="center"/>
                </w:tcPr>
                <w:p>
                  <w:pPr>
                    <w:jc w:val="center"/>
                    <w:rPr>
                      <w:color w:val="000000"/>
                      <w:szCs w:val="21"/>
                    </w:rPr>
                  </w:pPr>
                  <w:r>
                    <w:rPr>
                      <w:color w:val="000000"/>
                      <w:szCs w:val="21"/>
                    </w:rPr>
                    <w:t>6.0</w:t>
                  </w:r>
                </w:p>
              </w:tc>
              <w:tc>
                <w:tcPr>
                  <w:tcW w:w="1984" w:type="dxa"/>
                  <w:vAlign w:val="center"/>
                </w:tcPr>
                <w:p>
                  <w:pPr>
                    <w:jc w:val="center"/>
                    <w:rPr>
                      <w:color w:val="000000"/>
                      <w:szCs w:val="21"/>
                    </w:rPr>
                  </w:pPr>
                  <w:r>
                    <w:rPr>
                      <w:color w:val="000000"/>
                      <w:szCs w:val="21"/>
                    </w:rPr>
                    <w:t>爆炸下限%（V/V）</w:t>
                  </w:r>
                </w:p>
              </w:tc>
              <w:tc>
                <w:tcPr>
                  <w:tcW w:w="1985" w:type="dxa"/>
                  <w:vAlign w:val="center"/>
                </w:tcPr>
                <w:p>
                  <w:pPr>
                    <w:jc w:val="center"/>
                    <w:rPr>
                      <w:color w:val="000000"/>
                      <w:szCs w:val="21"/>
                    </w:rPr>
                  </w:pPr>
                  <w:r>
                    <w:rPr>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三、毒性及健康危害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健康危害：</w:t>
                  </w:r>
                </w:p>
              </w:tc>
              <w:tc>
                <w:tcPr>
                  <w:tcW w:w="6248" w:type="dxa"/>
                  <w:gridSpan w:val="3"/>
                  <w:vAlign w:val="center"/>
                </w:tcPr>
                <w:p>
                  <w:pPr>
                    <w:jc w:val="center"/>
                    <w:rPr>
                      <w:color w:val="000000"/>
                      <w:szCs w:val="21"/>
                    </w:rPr>
                  </w:pPr>
                  <w:r>
                    <w:rPr>
                      <w:color w:val="000000"/>
                      <w:szCs w:val="21"/>
                    </w:rPr>
                    <w:t>急性中毒，对中枢神经系统有麻醉作用，轻度中毒症状有头晕、头痛、恶心、呕吐。高浓度吸入出现中毒性脑病。极高浓度吸入引起意识突然丧失，反射性呼吸停止。可伴有中毒性周围神经病及化学性肺炎。吸入呼吸道可引起吸入性肺炎。溅入眼内可致角膜溃疡、穿孔，甚至失明。皮肤接触致急性接触性皮炎，甚至灼伤。吞咽引起急性胃肠炎。并可引起肝、肾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慢性中毒：</w:t>
                  </w:r>
                </w:p>
              </w:tc>
              <w:tc>
                <w:tcPr>
                  <w:tcW w:w="6248" w:type="dxa"/>
                  <w:gridSpan w:val="3"/>
                  <w:vAlign w:val="center"/>
                </w:tcPr>
                <w:p>
                  <w:pPr>
                    <w:jc w:val="center"/>
                    <w:rPr>
                      <w:color w:val="000000"/>
                      <w:szCs w:val="21"/>
                    </w:rPr>
                  </w:pPr>
                  <w:r>
                    <w:rPr>
                      <w:color w:val="000000"/>
                      <w:szCs w:val="21"/>
                    </w:rPr>
                    <w:t>神经衰弱综合症，植物神经功能紊乱，周围神经病。严重中毒出现中毒性脑病。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4"/>
                  <w:vAlign w:val="center"/>
                </w:tcPr>
                <w:p>
                  <w:pPr>
                    <w:jc w:val="center"/>
                    <w:rPr>
                      <w:color w:val="000000"/>
                      <w:szCs w:val="21"/>
                    </w:rPr>
                  </w:pPr>
                  <w:r>
                    <w:rPr>
                      <w:color w:val="000000"/>
                      <w:szCs w:val="21"/>
                    </w:rPr>
                    <w:t>四、防护措施及储运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工程控制：</w:t>
                  </w:r>
                </w:p>
              </w:tc>
              <w:tc>
                <w:tcPr>
                  <w:tcW w:w="6248" w:type="dxa"/>
                  <w:gridSpan w:val="3"/>
                  <w:vAlign w:val="center"/>
                </w:tcPr>
                <w:p>
                  <w:pPr>
                    <w:jc w:val="center"/>
                    <w:rPr>
                      <w:color w:val="000000"/>
                      <w:szCs w:val="21"/>
                    </w:rPr>
                  </w:pPr>
                  <w:r>
                    <w:rPr>
                      <w:color w:val="000000"/>
                      <w:szCs w:val="21"/>
                    </w:rPr>
                    <w:t>密闭操作，全面通风，工作现场严禁火种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身体系统防护：</w:t>
                  </w:r>
                </w:p>
              </w:tc>
              <w:tc>
                <w:tcPr>
                  <w:tcW w:w="6248" w:type="dxa"/>
                  <w:gridSpan w:val="3"/>
                  <w:vAlign w:val="center"/>
                </w:tcPr>
                <w:p>
                  <w:pPr>
                    <w:jc w:val="center"/>
                    <w:rPr>
                      <w:color w:val="000000"/>
                      <w:szCs w:val="21"/>
                    </w:rPr>
                  </w:pPr>
                  <w:r>
                    <w:rPr>
                      <w:color w:val="000000"/>
                      <w:szCs w:val="21"/>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手系统防护：</w:t>
                  </w:r>
                </w:p>
              </w:tc>
              <w:tc>
                <w:tcPr>
                  <w:tcW w:w="6248" w:type="dxa"/>
                  <w:gridSpan w:val="3"/>
                  <w:vAlign w:val="center"/>
                </w:tcPr>
                <w:p>
                  <w:pPr>
                    <w:jc w:val="center"/>
                    <w:rPr>
                      <w:color w:val="000000"/>
                      <w:szCs w:val="21"/>
                    </w:rPr>
                  </w:pPr>
                  <w:r>
                    <w:rPr>
                      <w:color w:val="000000"/>
                      <w:szCs w:val="21"/>
                    </w:rPr>
                    <w:t>戴耐油手套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90" w:type="dxa"/>
                  <w:vAlign w:val="center"/>
                </w:tcPr>
                <w:p>
                  <w:pPr>
                    <w:jc w:val="center"/>
                    <w:rPr>
                      <w:color w:val="000000"/>
                      <w:szCs w:val="21"/>
                    </w:rPr>
                  </w:pPr>
                  <w:r>
                    <w:rPr>
                      <w:color w:val="000000"/>
                      <w:szCs w:val="21"/>
                    </w:rPr>
                    <w:t>储运：</w:t>
                  </w:r>
                </w:p>
              </w:tc>
              <w:tc>
                <w:tcPr>
                  <w:tcW w:w="6248" w:type="dxa"/>
                  <w:gridSpan w:val="3"/>
                  <w:vAlign w:val="center"/>
                </w:tcPr>
                <w:p>
                  <w:pPr>
                    <w:jc w:val="center"/>
                    <w:rPr>
                      <w:color w:val="000000"/>
                      <w:szCs w:val="21"/>
                    </w:rPr>
                  </w:pPr>
                  <w:r>
                    <w:rPr>
                      <w:color w:val="000000"/>
                      <w:szCs w:val="21"/>
                    </w:rPr>
                    <w:t>存储要保持容器密封，要有防火、防爆技术措施，禁止使用易产生火花的机械设备和工具。灌装时应注意流速，且有接地装置，防止静电积聚。</w:t>
                  </w:r>
                </w:p>
              </w:tc>
            </w:tr>
          </w:tbl>
          <w:p>
            <w:pPr>
              <w:pStyle w:val="57"/>
              <w:spacing w:line="360" w:lineRule="auto"/>
              <w:ind w:firstLine="480" w:firstLineChars="200"/>
              <w:rPr>
                <w:color w:val="000000"/>
                <w:sz w:val="24"/>
                <w:szCs w:val="24"/>
                <w:lang w:eastAsia="zh-CN"/>
              </w:rPr>
            </w:pPr>
            <w:r>
              <w:rPr>
                <w:color w:val="000000"/>
                <w:sz w:val="24"/>
                <w:szCs w:val="24"/>
                <w:lang w:eastAsia="zh-CN"/>
              </w:rPr>
              <w:t>（1）物质危险性识别</w:t>
            </w:r>
          </w:p>
          <w:p>
            <w:pPr>
              <w:pStyle w:val="57"/>
              <w:spacing w:line="360" w:lineRule="auto"/>
              <w:ind w:firstLine="480" w:firstLineChars="200"/>
              <w:rPr>
                <w:color w:val="000000"/>
                <w:sz w:val="24"/>
                <w:szCs w:val="24"/>
                <w:lang w:eastAsia="zh-CN"/>
              </w:rPr>
            </w:pPr>
            <w:r>
              <w:rPr>
                <w:color w:val="000000"/>
                <w:sz w:val="24"/>
                <w:szCs w:val="24"/>
                <w:lang w:eastAsia="zh-CN"/>
              </w:rPr>
              <w:t>根据物质特性，对照物质危险性标准，对项目所涉及的有毒有害、易燃易爆物质进行危险性识别，识别结果为：汽油、柴油为易燃易爆液体。</w:t>
            </w:r>
          </w:p>
          <w:p>
            <w:pPr>
              <w:pStyle w:val="57"/>
              <w:spacing w:line="360" w:lineRule="auto"/>
              <w:ind w:firstLine="480" w:firstLineChars="200"/>
              <w:rPr>
                <w:color w:val="000000"/>
                <w:sz w:val="24"/>
                <w:szCs w:val="24"/>
                <w:lang w:eastAsia="zh-CN"/>
              </w:rPr>
            </w:pPr>
            <w:r>
              <w:rPr>
                <w:color w:val="000000"/>
                <w:sz w:val="24"/>
                <w:szCs w:val="24"/>
                <w:lang w:eastAsia="zh-CN"/>
              </w:rPr>
              <w:t>（2）生产设施风险识别</w:t>
            </w:r>
          </w:p>
          <w:p>
            <w:pPr>
              <w:spacing w:line="360" w:lineRule="auto"/>
              <w:ind w:firstLine="468" w:firstLineChars="200"/>
              <w:rPr>
                <w:color w:val="000000"/>
                <w:spacing w:val="-3"/>
                <w:sz w:val="24"/>
              </w:rPr>
            </w:pPr>
            <w:r>
              <w:rPr>
                <w:color w:val="000000"/>
                <w:spacing w:val="-3"/>
                <w:sz w:val="24"/>
              </w:rPr>
              <w:t>撬装加油装置区主要用于储存汽油、柴油、一旦发生泄露，汽油、柴油一部分会以蒸汽形式挥发至空气中，遇明火会燃烧，并且人吸入会略微不适及中毒。</w:t>
            </w:r>
          </w:p>
          <w:p>
            <w:pPr>
              <w:pStyle w:val="57"/>
              <w:spacing w:line="360" w:lineRule="auto"/>
              <w:ind w:firstLine="480" w:firstLineChars="200"/>
              <w:rPr>
                <w:color w:val="000000"/>
                <w:sz w:val="24"/>
                <w:szCs w:val="24"/>
                <w:lang w:eastAsia="zh-CN"/>
              </w:rPr>
            </w:pPr>
            <w:r>
              <w:rPr>
                <w:color w:val="000000"/>
                <w:sz w:val="24"/>
                <w:szCs w:val="24"/>
                <w:lang w:eastAsia="zh-CN"/>
              </w:rPr>
              <w:t>3、风险类型识别</w:t>
            </w:r>
          </w:p>
          <w:p>
            <w:pPr>
              <w:spacing w:after="20"/>
              <w:ind w:left="-115"/>
              <w:jc w:val="center"/>
              <w:rPr>
                <w:color w:val="000000"/>
                <w:sz w:val="24"/>
              </w:rPr>
            </w:pPr>
            <w:r>
              <w:rPr>
                <w:b/>
                <w:color w:val="000000"/>
                <w:sz w:val="24"/>
              </w:rPr>
              <w:t>表4</w:t>
            </w:r>
            <w:r>
              <w:rPr>
                <w:rFonts w:hint="eastAsia"/>
                <w:b/>
                <w:color w:val="000000"/>
                <w:sz w:val="24"/>
              </w:rPr>
              <w:t>-</w:t>
            </w:r>
            <w:r>
              <w:rPr>
                <w:b/>
                <w:color w:val="000000"/>
                <w:sz w:val="24"/>
              </w:rPr>
              <w:t>1</w:t>
            </w:r>
            <w:r>
              <w:rPr>
                <w:rFonts w:hint="eastAsia"/>
                <w:b/>
                <w:color w:val="000000"/>
                <w:sz w:val="24"/>
              </w:rPr>
              <w:t>7</w:t>
            </w:r>
            <w:r>
              <w:rPr>
                <w:b/>
                <w:color w:val="000000"/>
                <w:sz w:val="24"/>
              </w:rPr>
              <w:t xml:space="preserve">  项目存在的风险类型</w:t>
            </w:r>
          </w:p>
          <w:tbl>
            <w:tblPr>
              <w:tblStyle w:val="23"/>
              <w:tblW w:w="79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1657"/>
              <w:gridCol w:w="2799"/>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78" w:type="dxa"/>
                  <w:vAlign w:val="center"/>
                </w:tcPr>
                <w:p>
                  <w:pPr>
                    <w:pStyle w:val="57"/>
                    <w:jc w:val="center"/>
                    <w:rPr>
                      <w:b/>
                      <w:bCs/>
                      <w:color w:val="000000"/>
                    </w:rPr>
                  </w:pPr>
                  <w:r>
                    <w:rPr>
                      <w:b/>
                      <w:bCs/>
                      <w:color w:val="000000"/>
                      <w:sz w:val="21"/>
                      <w:szCs w:val="21"/>
                    </w:rPr>
                    <w:t>事故类型</w:t>
                  </w:r>
                </w:p>
              </w:tc>
              <w:tc>
                <w:tcPr>
                  <w:tcW w:w="1657" w:type="dxa"/>
                  <w:vAlign w:val="center"/>
                </w:tcPr>
                <w:p>
                  <w:pPr>
                    <w:pStyle w:val="57"/>
                    <w:jc w:val="center"/>
                    <w:rPr>
                      <w:b/>
                      <w:bCs/>
                      <w:color w:val="000000"/>
                      <w:sz w:val="21"/>
                      <w:szCs w:val="21"/>
                      <w:lang w:eastAsia="zh-CN"/>
                    </w:rPr>
                  </w:pPr>
                  <w:r>
                    <w:rPr>
                      <w:b/>
                      <w:bCs/>
                      <w:color w:val="000000"/>
                      <w:sz w:val="21"/>
                      <w:szCs w:val="21"/>
                      <w:lang w:eastAsia="zh-CN"/>
                    </w:rPr>
                    <w:t>发生位置</w:t>
                  </w:r>
                </w:p>
              </w:tc>
              <w:tc>
                <w:tcPr>
                  <w:tcW w:w="2799" w:type="dxa"/>
                  <w:vAlign w:val="center"/>
                </w:tcPr>
                <w:p>
                  <w:pPr>
                    <w:pStyle w:val="57"/>
                    <w:jc w:val="center"/>
                    <w:rPr>
                      <w:b/>
                      <w:bCs/>
                      <w:color w:val="000000"/>
                      <w:sz w:val="21"/>
                      <w:szCs w:val="21"/>
                      <w:lang w:eastAsia="zh-CN"/>
                    </w:rPr>
                  </w:pPr>
                  <w:r>
                    <w:rPr>
                      <w:b/>
                      <w:bCs/>
                      <w:color w:val="000000"/>
                      <w:sz w:val="21"/>
                      <w:szCs w:val="21"/>
                      <w:lang w:eastAsia="zh-CN"/>
                    </w:rPr>
                    <w:t>主要危害因素</w:t>
                  </w:r>
                </w:p>
              </w:tc>
              <w:tc>
                <w:tcPr>
                  <w:tcW w:w="2304" w:type="dxa"/>
                  <w:vAlign w:val="center"/>
                </w:tcPr>
                <w:p>
                  <w:pPr>
                    <w:pStyle w:val="57"/>
                    <w:jc w:val="center"/>
                    <w:rPr>
                      <w:b/>
                      <w:bCs/>
                      <w:color w:val="000000"/>
                      <w:sz w:val="21"/>
                      <w:szCs w:val="21"/>
                      <w:lang w:eastAsia="zh-CN"/>
                    </w:rPr>
                  </w:pPr>
                  <w:r>
                    <w:rPr>
                      <w:b/>
                      <w:bCs/>
                      <w:color w:val="000000"/>
                      <w:sz w:val="21"/>
                      <w:szCs w:val="21"/>
                      <w:lang w:eastAsia="zh-CN"/>
                    </w:rPr>
                    <w:t>导致后果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78" w:type="dxa"/>
                  <w:vAlign w:val="center"/>
                </w:tcPr>
                <w:p>
                  <w:pPr>
                    <w:pStyle w:val="57"/>
                    <w:jc w:val="center"/>
                    <w:rPr>
                      <w:color w:val="000000"/>
                    </w:rPr>
                  </w:pPr>
                  <w:r>
                    <w:rPr>
                      <w:color w:val="000000"/>
                      <w:sz w:val="21"/>
                      <w:szCs w:val="21"/>
                    </w:rPr>
                    <w:t>火灾爆炸</w:t>
                  </w:r>
                </w:p>
              </w:tc>
              <w:tc>
                <w:tcPr>
                  <w:tcW w:w="1657" w:type="dxa"/>
                  <w:vAlign w:val="center"/>
                </w:tcPr>
                <w:p>
                  <w:pPr>
                    <w:pStyle w:val="57"/>
                    <w:jc w:val="center"/>
                    <w:rPr>
                      <w:color w:val="000000"/>
                      <w:sz w:val="21"/>
                      <w:szCs w:val="21"/>
                      <w:lang w:eastAsia="zh-CN"/>
                    </w:rPr>
                  </w:pPr>
                  <w:r>
                    <w:rPr>
                      <w:color w:val="000000"/>
                      <w:sz w:val="21"/>
                      <w:szCs w:val="21"/>
                      <w:lang w:eastAsia="zh-CN"/>
                    </w:rPr>
                    <w:t>油罐、卸油、加油</w:t>
                  </w:r>
                </w:p>
              </w:tc>
              <w:tc>
                <w:tcPr>
                  <w:tcW w:w="2799" w:type="dxa"/>
                  <w:vAlign w:val="center"/>
                </w:tcPr>
                <w:p>
                  <w:pPr>
                    <w:pStyle w:val="57"/>
                    <w:jc w:val="center"/>
                    <w:rPr>
                      <w:color w:val="000000"/>
                      <w:sz w:val="21"/>
                      <w:szCs w:val="21"/>
                      <w:lang w:eastAsia="zh-CN"/>
                    </w:rPr>
                  </w:pPr>
                  <w:r>
                    <w:rPr>
                      <w:color w:val="000000"/>
                      <w:sz w:val="21"/>
                      <w:szCs w:val="21"/>
                      <w:lang w:eastAsia="zh-CN"/>
                    </w:rPr>
                    <w:t>自然灾害、人为破坏、违章操作</w:t>
                  </w:r>
                </w:p>
              </w:tc>
              <w:tc>
                <w:tcPr>
                  <w:tcW w:w="2304" w:type="dxa"/>
                  <w:vAlign w:val="center"/>
                </w:tcPr>
                <w:p>
                  <w:pPr>
                    <w:pStyle w:val="57"/>
                    <w:jc w:val="center"/>
                    <w:rPr>
                      <w:color w:val="000000"/>
                      <w:sz w:val="21"/>
                      <w:szCs w:val="21"/>
                      <w:lang w:eastAsia="zh-CN"/>
                    </w:rPr>
                  </w:pPr>
                  <w:r>
                    <w:rPr>
                      <w:color w:val="000000"/>
                      <w:sz w:val="21"/>
                      <w:szCs w:val="21"/>
                      <w:lang w:eastAsia="zh-CN"/>
                    </w:rPr>
                    <w:t>财产损失、伤亡、环境污染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78" w:type="dxa"/>
                  <w:vAlign w:val="center"/>
                </w:tcPr>
                <w:p>
                  <w:pPr>
                    <w:pStyle w:val="57"/>
                    <w:jc w:val="center"/>
                    <w:rPr>
                      <w:color w:val="000000"/>
                    </w:rPr>
                  </w:pPr>
                  <w:r>
                    <w:rPr>
                      <w:color w:val="000000"/>
                      <w:sz w:val="21"/>
                      <w:szCs w:val="21"/>
                    </w:rPr>
                    <w:t>油气泄露</w:t>
                  </w:r>
                </w:p>
              </w:tc>
              <w:tc>
                <w:tcPr>
                  <w:tcW w:w="1657" w:type="dxa"/>
                  <w:vAlign w:val="center"/>
                </w:tcPr>
                <w:p>
                  <w:pPr>
                    <w:pStyle w:val="57"/>
                    <w:jc w:val="center"/>
                    <w:rPr>
                      <w:color w:val="000000"/>
                      <w:sz w:val="21"/>
                      <w:szCs w:val="21"/>
                    </w:rPr>
                  </w:pPr>
                  <w:r>
                    <w:rPr>
                      <w:color w:val="000000"/>
                      <w:sz w:val="21"/>
                      <w:szCs w:val="21"/>
                    </w:rPr>
                    <w:t>整个厂区</w:t>
                  </w:r>
                </w:p>
              </w:tc>
              <w:tc>
                <w:tcPr>
                  <w:tcW w:w="2799" w:type="dxa"/>
                  <w:vAlign w:val="center"/>
                </w:tcPr>
                <w:p>
                  <w:pPr>
                    <w:pStyle w:val="57"/>
                    <w:jc w:val="center"/>
                    <w:rPr>
                      <w:color w:val="000000"/>
                      <w:sz w:val="21"/>
                      <w:szCs w:val="21"/>
                      <w:lang w:eastAsia="zh-CN"/>
                    </w:rPr>
                  </w:pPr>
                  <w:r>
                    <w:rPr>
                      <w:color w:val="000000"/>
                      <w:sz w:val="21"/>
                      <w:szCs w:val="21"/>
                      <w:lang w:eastAsia="zh-CN"/>
                    </w:rPr>
                    <w:t>自然灾害、人为破坏、违章操作</w:t>
                  </w:r>
                </w:p>
              </w:tc>
              <w:tc>
                <w:tcPr>
                  <w:tcW w:w="2304" w:type="dxa"/>
                  <w:vAlign w:val="center"/>
                </w:tcPr>
                <w:p>
                  <w:pPr>
                    <w:pStyle w:val="57"/>
                    <w:jc w:val="center"/>
                    <w:rPr>
                      <w:color w:val="000000"/>
                      <w:sz w:val="21"/>
                      <w:szCs w:val="21"/>
                      <w:lang w:eastAsia="zh-CN"/>
                    </w:rPr>
                  </w:pPr>
                  <w:r>
                    <w:rPr>
                      <w:color w:val="000000"/>
                      <w:sz w:val="21"/>
                      <w:szCs w:val="21"/>
                      <w:lang w:eastAsia="zh-CN"/>
                    </w:rPr>
                    <w:t>污染土壤、地下水及河流、破坏生态</w:t>
                  </w:r>
                </w:p>
              </w:tc>
            </w:tr>
          </w:tbl>
          <w:p>
            <w:pPr>
              <w:spacing w:line="360" w:lineRule="auto"/>
              <w:ind w:firstLine="468" w:firstLineChars="200"/>
              <w:rPr>
                <w:color w:val="000000"/>
                <w:spacing w:val="-3"/>
                <w:sz w:val="24"/>
              </w:rPr>
            </w:pPr>
            <w:r>
              <w:rPr>
                <w:color w:val="000000"/>
                <w:spacing w:val="-3"/>
                <w:sz w:val="24"/>
              </w:rPr>
              <w:t>4、环境风险分析</w:t>
            </w:r>
          </w:p>
          <w:p>
            <w:pPr>
              <w:spacing w:line="360" w:lineRule="auto"/>
              <w:ind w:firstLine="468" w:firstLineChars="200"/>
              <w:rPr>
                <w:color w:val="000000"/>
                <w:spacing w:val="-3"/>
                <w:sz w:val="24"/>
              </w:rPr>
            </w:pPr>
            <w:r>
              <w:rPr>
                <w:color w:val="000000"/>
                <w:spacing w:val="-3"/>
                <w:sz w:val="24"/>
              </w:rPr>
              <w:t>（1）油品自身火灾爆炸危险特性分析</w:t>
            </w:r>
          </w:p>
          <w:p>
            <w:pPr>
              <w:spacing w:line="360" w:lineRule="auto"/>
              <w:ind w:firstLine="468" w:firstLineChars="200"/>
              <w:rPr>
                <w:color w:val="000000"/>
                <w:spacing w:val="-3"/>
                <w:sz w:val="24"/>
              </w:rPr>
            </w:pPr>
            <w:r>
              <w:rPr>
                <w:color w:val="000000"/>
                <w:spacing w:val="-3"/>
                <w:sz w:val="24"/>
              </w:rPr>
              <w:t>本项目所经营的汽油和柴油采用</w:t>
            </w:r>
            <w:r>
              <w:rPr>
                <w:rFonts w:hint="eastAsia"/>
                <w:color w:val="000000"/>
                <w:spacing w:val="-3"/>
                <w:sz w:val="24"/>
              </w:rPr>
              <w:t>1</w:t>
            </w:r>
            <w:r>
              <w:rPr>
                <w:color w:val="000000"/>
                <w:spacing w:val="-3"/>
                <w:sz w:val="24"/>
              </w:rPr>
              <w:t>只</w:t>
            </w:r>
            <w:r>
              <w:rPr>
                <w:rFonts w:hint="eastAsia"/>
                <w:color w:val="000000"/>
                <w:spacing w:val="-3"/>
                <w:sz w:val="24"/>
              </w:rPr>
              <w:t>5</w:t>
            </w:r>
            <w:r>
              <w:rPr>
                <w:color w:val="000000"/>
                <w:spacing w:val="-3"/>
                <w:sz w:val="24"/>
              </w:rPr>
              <w:t>0m</w:t>
            </w:r>
            <w:r>
              <w:rPr>
                <w:color w:val="000000"/>
                <w:spacing w:val="-3"/>
                <w:sz w:val="24"/>
                <w:vertAlign w:val="superscript"/>
              </w:rPr>
              <w:t>3</w:t>
            </w:r>
            <w:r>
              <w:rPr>
                <w:color w:val="000000"/>
                <w:spacing w:val="-3"/>
                <w:sz w:val="24"/>
              </w:rPr>
              <w:t>撬装加油装置区进行储存，汽油为易燃液体，柴油为可燃液体，按照《石油库设计规范》（GB50074－2014）中油品的火灾危险性分类，汽油属于甲类，柴油属于丙A类，火灾危险性较</w:t>
            </w:r>
            <w:r>
              <w:rPr>
                <w:rFonts w:hint="eastAsia"/>
                <w:color w:val="000000"/>
                <w:spacing w:val="-3"/>
                <w:sz w:val="24"/>
              </w:rPr>
              <w:t>大</w:t>
            </w:r>
            <w:r>
              <w:rPr>
                <w:color w:val="000000"/>
                <w:spacing w:val="-3"/>
                <w:sz w:val="24"/>
              </w:rPr>
              <w:t>。</w:t>
            </w:r>
          </w:p>
          <w:p>
            <w:pPr>
              <w:spacing w:line="360" w:lineRule="auto"/>
              <w:ind w:firstLine="468" w:firstLineChars="200"/>
              <w:rPr>
                <w:color w:val="000000"/>
                <w:spacing w:val="-3"/>
                <w:sz w:val="24"/>
              </w:rPr>
            </w:pPr>
            <w:r>
              <w:rPr>
                <w:color w:val="000000"/>
                <w:spacing w:val="-3"/>
                <w:sz w:val="24"/>
              </w:rPr>
              <w:t>a、油品的易燃、易爆性</w:t>
            </w:r>
          </w:p>
          <w:p>
            <w:pPr>
              <w:spacing w:line="360" w:lineRule="auto"/>
              <w:ind w:firstLine="468" w:firstLineChars="200"/>
              <w:rPr>
                <w:color w:val="000000"/>
                <w:spacing w:val="-3"/>
                <w:sz w:val="24"/>
              </w:rPr>
            </w:pPr>
            <w:r>
              <w:rPr>
                <w:color w:val="000000"/>
                <w:spacing w:val="-3"/>
                <w:sz w:val="24"/>
              </w:rPr>
              <w:t>油品挥发出来的蒸气与空气混合，浓度处于爆炸浓度范围内时，遇有一定能量的着火源，容易发生爆炸，爆炸浓度（或极限）范围越宽，爆炸危险性就越大。在油品储运过程中，爆炸和燃烧经常同时出现。</w:t>
            </w:r>
          </w:p>
          <w:p>
            <w:pPr>
              <w:spacing w:line="360" w:lineRule="auto"/>
              <w:ind w:firstLine="468" w:firstLineChars="200"/>
              <w:rPr>
                <w:color w:val="000000"/>
                <w:spacing w:val="-3"/>
                <w:sz w:val="24"/>
              </w:rPr>
            </w:pPr>
            <w:r>
              <w:rPr>
                <w:color w:val="000000"/>
                <w:spacing w:val="-3"/>
                <w:sz w:val="24"/>
              </w:rPr>
              <w:t>b、油品有较大的蒸气压</w:t>
            </w:r>
          </w:p>
          <w:p>
            <w:pPr>
              <w:spacing w:line="360" w:lineRule="auto"/>
              <w:ind w:firstLine="468" w:firstLineChars="200"/>
              <w:rPr>
                <w:color w:val="000000"/>
                <w:spacing w:val="-3"/>
                <w:sz w:val="24"/>
              </w:rPr>
            </w:pPr>
            <w:r>
              <w:rPr>
                <w:color w:val="000000"/>
                <w:spacing w:val="-3"/>
                <w:sz w:val="24"/>
              </w:rPr>
              <w:t>油库储存物品都是蒸气压较大的液体，它们易产生能引起燃烧所需要的最低限度的蒸气量，蒸气压越大，其危险性也越大。另外，温度对蒸气压的大小影响很大，温度升高，其蒸气压将迅速增大。所以盛装易燃油品的容器，如储罐、槽车等，应有足够的强度以防止容器胀裂。此外，还应使油品远离热源、火源。</w:t>
            </w:r>
          </w:p>
          <w:p>
            <w:pPr>
              <w:spacing w:line="360" w:lineRule="auto"/>
              <w:ind w:firstLine="468" w:firstLineChars="200"/>
              <w:rPr>
                <w:color w:val="000000"/>
                <w:spacing w:val="-3"/>
                <w:sz w:val="24"/>
              </w:rPr>
            </w:pPr>
            <w:r>
              <w:rPr>
                <w:color w:val="000000"/>
                <w:spacing w:val="-3"/>
                <w:sz w:val="24"/>
              </w:rPr>
              <w:t>c、油品易积聚静电</w:t>
            </w:r>
          </w:p>
          <w:p>
            <w:pPr>
              <w:spacing w:line="360" w:lineRule="auto"/>
              <w:ind w:firstLine="468" w:firstLineChars="200"/>
              <w:rPr>
                <w:color w:val="000000"/>
                <w:spacing w:val="-3"/>
                <w:sz w:val="24"/>
              </w:rPr>
            </w:pPr>
            <w:r>
              <w:rPr>
                <w:color w:val="000000"/>
                <w:spacing w:val="-3"/>
                <w:sz w:val="24"/>
              </w:rPr>
              <w:t>据资料介绍，电阻率在 1010～1515Ω.cm 范围内的油品容易产生和积聚静电，且不易消散。油库储存的油品都具有易积聚静电荷的特点，在油品储运和生产过程中，其静电的产生和积聚量的大小与管道内壁粗糙度、流速、运送距离以及储运设备的导电性能等诸多因素有关。静电放电是导致火灾爆炸事故的一个重要原因。</w:t>
            </w:r>
          </w:p>
          <w:p>
            <w:pPr>
              <w:spacing w:line="360" w:lineRule="auto"/>
              <w:ind w:firstLine="468" w:firstLineChars="200"/>
              <w:rPr>
                <w:color w:val="000000"/>
                <w:spacing w:val="-3"/>
                <w:sz w:val="24"/>
              </w:rPr>
            </w:pPr>
            <w:r>
              <w:rPr>
                <w:color w:val="000000"/>
                <w:spacing w:val="-3"/>
                <w:sz w:val="24"/>
              </w:rPr>
              <w:t>d、油品的易扩散、流淌性</w:t>
            </w:r>
          </w:p>
          <w:p>
            <w:pPr>
              <w:spacing w:line="360" w:lineRule="auto"/>
              <w:ind w:firstLine="468" w:firstLineChars="200"/>
              <w:rPr>
                <w:color w:val="000000"/>
                <w:spacing w:val="-3"/>
                <w:sz w:val="24"/>
              </w:rPr>
            </w:pPr>
            <w:r>
              <w:rPr>
                <w:color w:val="000000"/>
                <w:spacing w:val="-3"/>
                <w:sz w:val="24"/>
              </w:rPr>
              <w:t>易燃油品的粘度一般较小，容易流淌扩散。同时，由于其渗透、浸润和毛细管引力等作用，而扩大其表面积，使蒸发速度加快，并向四周迅速扩散，与空气混合，遇有火源极易发生燃烧爆炸。</w:t>
            </w:r>
          </w:p>
          <w:p>
            <w:pPr>
              <w:spacing w:line="360" w:lineRule="auto"/>
              <w:ind w:firstLine="468" w:firstLineChars="200"/>
              <w:rPr>
                <w:color w:val="000000"/>
                <w:spacing w:val="-3"/>
                <w:sz w:val="24"/>
              </w:rPr>
            </w:pPr>
            <w:r>
              <w:rPr>
                <w:color w:val="000000"/>
                <w:spacing w:val="-3"/>
                <w:sz w:val="24"/>
              </w:rPr>
              <w:t>e、油品的受热易膨胀性</w:t>
            </w:r>
          </w:p>
          <w:p>
            <w:pPr>
              <w:spacing w:line="360" w:lineRule="auto"/>
              <w:ind w:firstLine="468" w:firstLineChars="200"/>
              <w:rPr>
                <w:color w:val="000000"/>
                <w:spacing w:val="-3"/>
                <w:sz w:val="24"/>
              </w:rPr>
            </w:pPr>
            <w:r>
              <w:rPr>
                <w:color w:val="000000"/>
                <w:spacing w:val="-3"/>
                <w:sz w:val="24"/>
              </w:rPr>
              <w:t>油品受热后，温度升高，体积膨胀，若容器灌装过满，管道输油后不及时排空而又无泄压装置，会导致容器和管道的损坏，可能引起油渗漏和外溢。另一方面，由于温度降低，体积收缩，容器内有可能出现负压，也会使容器变形损坏。</w:t>
            </w:r>
          </w:p>
          <w:p>
            <w:pPr>
              <w:spacing w:line="360" w:lineRule="auto"/>
              <w:ind w:firstLine="468" w:firstLineChars="200"/>
              <w:rPr>
                <w:color w:val="000000"/>
                <w:spacing w:val="-3"/>
                <w:sz w:val="24"/>
              </w:rPr>
            </w:pPr>
            <w:r>
              <w:rPr>
                <w:color w:val="000000"/>
                <w:spacing w:val="-3"/>
                <w:sz w:val="24"/>
              </w:rPr>
              <w:t>（2）设备火灾爆炸危险特性分析</w:t>
            </w:r>
          </w:p>
          <w:p>
            <w:pPr>
              <w:spacing w:line="360" w:lineRule="auto"/>
              <w:ind w:firstLine="468" w:firstLineChars="200"/>
              <w:rPr>
                <w:color w:val="000000"/>
                <w:spacing w:val="-3"/>
                <w:sz w:val="24"/>
              </w:rPr>
            </w:pPr>
            <w:r>
              <w:rPr>
                <w:color w:val="000000"/>
                <w:spacing w:val="-3"/>
                <w:sz w:val="24"/>
              </w:rPr>
              <w:t>油罐等设备本身设计不合格，或制造存在缺陷，造成其耐压能力不够，发生破裂，导致油品泄漏，遇点火源则发生火灾、爆炸事故；油罐与外部管线相连的阀门、法兰人孔等，若由于安装质量差，或由于疏忽漏装垫片，以及使用过程中的腐蚀穿孔或因油罐底板焊接不良而产生疲劳造成的裂纹等，都可能引起油品泄漏，泄漏油品遇点火源则易导致火灾、爆炸事故；另外，油罐在防雷设施失效的情况下遭受雷击、遭受电火花或在罐区内违禁使用明火、检修清洗时违规操作等情况，也易诱发火灾、爆炸事故。</w:t>
            </w:r>
          </w:p>
          <w:p>
            <w:pPr>
              <w:spacing w:line="360" w:lineRule="auto"/>
              <w:ind w:firstLine="468" w:firstLineChars="200"/>
              <w:rPr>
                <w:color w:val="000000"/>
                <w:spacing w:val="-3"/>
                <w:sz w:val="24"/>
              </w:rPr>
            </w:pPr>
            <w:r>
              <w:rPr>
                <w:color w:val="000000"/>
                <w:spacing w:val="-3"/>
                <w:sz w:val="24"/>
              </w:rPr>
              <w:t>（3）卸油、发油过程火灾爆炸危险特性分析</w:t>
            </w:r>
          </w:p>
          <w:p>
            <w:pPr>
              <w:spacing w:line="360" w:lineRule="auto"/>
              <w:ind w:firstLine="468" w:firstLineChars="200"/>
              <w:rPr>
                <w:color w:val="000000"/>
                <w:spacing w:val="-3"/>
                <w:sz w:val="24"/>
              </w:rPr>
            </w:pPr>
            <w:r>
              <w:rPr>
                <w:color w:val="000000"/>
                <w:spacing w:val="-3"/>
                <w:sz w:val="24"/>
              </w:rPr>
              <w:t>a、油罐漫溢。卸油时液位检测不及时易造成油罐漫溢。油罐漫溢后，周围空气中油蒸气的浓度迅速上升，达到或超过爆炸极限，遇明火即可能发生爆炸燃烧事故。</w:t>
            </w:r>
          </w:p>
          <w:p>
            <w:pPr>
              <w:spacing w:line="360" w:lineRule="auto"/>
              <w:ind w:firstLine="468" w:firstLineChars="200"/>
              <w:rPr>
                <w:color w:val="000000"/>
                <w:spacing w:val="-3"/>
                <w:sz w:val="24"/>
              </w:rPr>
            </w:pPr>
            <w:r>
              <w:rPr>
                <w:color w:val="000000"/>
                <w:spacing w:val="-3"/>
                <w:sz w:val="24"/>
              </w:rPr>
              <w:t>b、油品滴漏。卸、发油时，若油管破裂、密封垫破损、接头、紧固螺栓松动等原因使油品泄漏至地面，遇明火即可发生燃烧。</w:t>
            </w:r>
          </w:p>
          <w:p>
            <w:pPr>
              <w:spacing w:line="360" w:lineRule="auto"/>
              <w:ind w:firstLine="468" w:firstLineChars="200"/>
              <w:rPr>
                <w:color w:val="000000"/>
                <w:spacing w:val="-3"/>
                <w:sz w:val="24"/>
              </w:rPr>
            </w:pPr>
            <w:r>
              <w:rPr>
                <w:color w:val="000000"/>
                <w:spacing w:val="-3"/>
                <w:sz w:val="24"/>
              </w:rPr>
              <w:t>c、静电起火。由于油管线无静电接地连接、油罐车无静电接地或静电接地不良等原因，造成静电积聚可引起火灾、爆炸事故。</w:t>
            </w:r>
          </w:p>
          <w:p>
            <w:pPr>
              <w:spacing w:line="360" w:lineRule="auto"/>
              <w:ind w:firstLine="468" w:firstLineChars="200"/>
              <w:rPr>
                <w:color w:val="000000"/>
                <w:spacing w:val="-3"/>
                <w:sz w:val="24"/>
              </w:rPr>
            </w:pPr>
            <w:r>
              <w:rPr>
                <w:color w:val="000000"/>
                <w:spacing w:val="-3"/>
                <w:sz w:val="24"/>
              </w:rPr>
              <w:t>d、操作过程遇明火。在非密闭卸油、发油过程中，大量油蒸气从卸油口逸出，当周围出现烟火、火花时，就会产生爆炸燃烧。</w:t>
            </w:r>
          </w:p>
          <w:p>
            <w:pPr>
              <w:spacing w:line="360" w:lineRule="auto"/>
              <w:ind w:firstLine="468" w:firstLineChars="200"/>
              <w:rPr>
                <w:color w:val="000000"/>
                <w:spacing w:val="-3"/>
                <w:sz w:val="24"/>
              </w:rPr>
            </w:pPr>
            <w:r>
              <w:rPr>
                <w:color w:val="000000"/>
                <w:spacing w:val="-3"/>
                <w:sz w:val="24"/>
              </w:rPr>
              <w:t>（4）油品泄漏对环境及人体健康影响分析</w:t>
            </w:r>
          </w:p>
          <w:p>
            <w:pPr>
              <w:spacing w:line="360" w:lineRule="auto"/>
              <w:ind w:firstLine="468" w:firstLineChars="200"/>
              <w:rPr>
                <w:color w:val="000000"/>
                <w:spacing w:val="-3"/>
                <w:sz w:val="24"/>
              </w:rPr>
            </w:pPr>
            <w:r>
              <w:rPr>
                <w:color w:val="000000"/>
                <w:spacing w:val="-3"/>
                <w:sz w:val="24"/>
              </w:rPr>
              <w:t>a、对环境空气影响</w:t>
            </w:r>
          </w:p>
          <w:p>
            <w:pPr>
              <w:spacing w:line="360" w:lineRule="auto"/>
              <w:ind w:firstLine="468" w:firstLineChars="200"/>
              <w:rPr>
                <w:color w:val="000000"/>
                <w:spacing w:val="-3"/>
                <w:sz w:val="24"/>
              </w:rPr>
            </w:pPr>
            <w:r>
              <w:rPr>
                <w:color w:val="000000"/>
                <w:spacing w:val="-3"/>
                <w:sz w:val="24"/>
              </w:rPr>
              <w:t>油品泄漏事故对环境空气影响表现为油品的蒸发气体对环境空气的影响。储油区表面采用了混凝土硬化，较为密闭，油品将只要通过储油区通气管及人孔井非密封处挥发，不会造成大面积的扩散，对大气环境影响较小。</w:t>
            </w:r>
          </w:p>
          <w:p>
            <w:pPr>
              <w:spacing w:line="360" w:lineRule="auto"/>
              <w:ind w:firstLine="468" w:firstLineChars="200"/>
              <w:rPr>
                <w:color w:val="000000"/>
                <w:spacing w:val="-3"/>
                <w:sz w:val="24"/>
              </w:rPr>
            </w:pPr>
            <w:r>
              <w:rPr>
                <w:color w:val="000000"/>
                <w:spacing w:val="-3"/>
                <w:sz w:val="24"/>
              </w:rPr>
              <w:t>b、对地表水、地下水环境影响</w:t>
            </w:r>
          </w:p>
          <w:p>
            <w:pPr>
              <w:spacing w:line="360" w:lineRule="auto"/>
              <w:ind w:firstLine="468" w:firstLineChars="200"/>
              <w:rPr>
                <w:color w:val="000000"/>
                <w:spacing w:val="-3"/>
                <w:sz w:val="24"/>
              </w:rPr>
            </w:pPr>
            <w:r>
              <w:rPr>
                <w:color w:val="000000"/>
                <w:spacing w:val="-3"/>
                <w:sz w:val="24"/>
              </w:rPr>
              <w:t>泄漏或渗漏的成品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 C4～C9的烃类、芳烃类、醇酮类以及卤代烃类有机物，一旦进入水环境，由于可生化性较差，造成被污染水体长时间得不到净化，完全恢复则需十几年、甚至几十年的时间。</w:t>
            </w:r>
          </w:p>
          <w:p>
            <w:pPr>
              <w:spacing w:line="360" w:lineRule="auto"/>
              <w:ind w:firstLine="468" w:firstLineChars="200"/>
              <w:rPr>
                <w:color w:val="000000"/>
                <w:spacing w:val="-3"/>
                <w:sz w:val="24"/>
              </w:rPr>
            </w:pPr>
            <w:r>
              <w:rPr>
                <w:color w:val="000000"/>
                <w:spacing w:val="-3"/>
                <w:sz w:val="24"/>
              </w:rPr>
              <w:t>储油罐和输油管线的泄漏或渗漏对地下水的污染较为严重，地下水一旦遭到成品油的污染，将使地下水产生严重异味，并具有较强的致畸致癌性，根本无法饮用。又由于这种渗漏必然穿过较厚的土壤层，使土壤层中吸附了大量的燃料油，土壤层吸附的燃料油不仅会造成植物生物的死亡，而且土壤层吸附的燃料油还会随着地表水的下渗对土壤层的冲刷作用补充到地下水，这样即便污染源得到及时控制，地下水要完全恢复也需几十年甚至上百年的时间。</w:t>
            </w:r>
          </w:p>
          <w:p>
            <w:pPr>
              <w:spacing w:line="360" w:lineRule="auto"/>
              <w:ind w:firstLine="468" w:firstLineChars="200"/>
              <w:rPr>
                <w:color w:val="000000"/>
                <w:spacing w:val="-3"/>
                <w:sz w:val="24"/>
              </w:rPr>
            </w:pPr>
            <w:r>
              <w:rPr>
                <w:color w:val="000000"/>
                <w:spacing w:val="-3"/>
                <w:sz w:val="24"/>
              </w:rPr>
              <w:t>本项目严格按照《汽车加油加气站设计与施工规范》</w:t>
            </w:r>
            <w:r>
              <w:rPr>
                <w:color w:val="000000"/>
                <w:sz w:val="24"/>
              </w:rPr>
              <w:t>（GB50156-2012）</w:t>
            </w:r>
            <w:r>
              <w:rPr>
                <w:color w:val="000000"/>
                <w:spacing w:val="-3"/>
                <w:sz w:val="24"/>
              </w:rPr>
              <w:t>要求，对储油罐内外表面、油罐区地面均做了防渗防腐处理，加油站一旦发生溢出与渗漏事故，油品将由于防渗层的保护作用，积聚在储油区，泄漏的油品经收集后交由有资质处理危险废物的单位清运处理，故不会对地表水及地下水产生影响。</w:t>
            </w:r>
          </w:p>
          <w:p>
            <w:pPr>
              <w:spacing w:line="360" w:lineRule="auto"/>
              <w:ind w:firstLine="468" w:firstLineChars="200"/>
              <w:rPr>
                <w:color w:val="000000"/>
                <w:spacing w:val="-3"/>
                <w:sz w:val="24"/>
              </w:rPr>
            </w:pPr>
            <w:r>
              <w:rPr>
                <w:color w:val="000000"/>
                <w:spacing w:val="-3"/>
                <w:sz w:val="24"/>
              </w:rPr>
              <w:t>5、风险防范及应急措施</w:t>
            </w:r>
          </w:p>
          <w:p>
            <w:pPr>
              <w:spacing w:line="360" w:lineRule="auto"/>
              <w:ind w:firstLine="468" w:firstLineChars="200"/>
              <w:rPr>
                <w:color w:val="000000"/>
                <w:spacing w:val="-3"/>
                <w:sz w:val="24"/>
              </w:rPr>
            </w:pPr>
            <w:r>
              <w:rPr>
                <w:color w:val="000000"/>
                <w:spacing w:val="-3"/>
                <w:sz w:val="24"/>
              </w:rPr>
              <w:t>（1）风险事故预防措施</w:t>
            </w:r>
          </w:p>
          <w:p>
            <w:pPr>
              <w:spacing w:line="360" w:lineRule="auto"/>
              <w:ind w:firstLine="468" w:firstLineChars="200"/>
              <w:rPr>
                <w:color w:val="000000"/>
                <w:spacing w:val="-3"/>
                <w:sz w:val="24"/>
              </w:rPr>
            </w:pPr>
            <w:r>
              <w:rPr>
                <w:color w:val="000000"/>
                <w:spacing w:val="-3"/>
                <w:sz w:val="24"/>
              </w:rPr>
              <w:t>a、定期排除储罐内的积水和污物，以减轻储罐壁腐蚀。</w:t>
            </w:r>
          </w:p>
          <w:p>
            <w:pPr>
              <w:spacing w:line="360" w:lineRule="auto"/>
              <w:ind w:firstLine="468" w:firstLineChars="200"/>
              <w:rPr>
                <w:color w:val="000000"/>
                <w:spacing w:val="-3"/>
                <w:sz w:val="24"/>
              </w:rPr>
            </w:pPr>
            <w:r>
              <w:rPr>
                <w:color w:val="000000"/>
                <w:spacing w:val="-3"/>
                <w:sz w:val="24"/>
              </w:rPr>
              <w:t>b、在储罐区设置多路自动报警及排气装置，设备发生泄漏要能及时发现，及时采取措施。</w:t>
            </w:r>
          </w:p>
          <w:p>
            <w:pPr>
              <w:spacing w:line="360" w:lineRule="auto"/>
              <w:ind w:firstLine="468" w:firstLineChars="200"/>
              <w:rPr>
                <w:color w:val="000000"/>
                <w:spacing w:val="-3"/>
                <w:sz w:val="24"/>
              </w:rPr>
            </w:pPr>
            <w:r>
              <w:rPr>
                <w:color w:val="000000"/>
                <w:spacing w:val="-3"/>
                <w:sz w:val="24"/>
              </w:rPr>
              <w:t>c、做好设备维修检验工作。</w:t>
            </w:r>
          </w:p>
          <w:p>
            <w:pPr>
              <w:spacing w:line="360" w:lineRule="auto"/>
              <w:ind w:firstLine="468" w:firstLineChars="200"/>
              <w:rPr>
                <w:color w:val="000000"/>
                <w:spacing w:val="-3"/>
                <w:sz w:val="24"/>
              </w:rPr>
            </w:pPr>
            <w:r>
              <w:rPr>
                <w:color w:val="000000"/>
                <w:spacing w:val="-3"/>
                <w:sz w:val="24"/>
              </w:rPr>
              <w:t>d、站区要划定禁火区域，禁绝一切火源；配制消防器材、加强防爆电气设备的日常巡视和检查工作。</w:t>
            </w:r>
          </w:p>
          <w:p>
            <w:pPr>
              <w:spacing w:line="360" w:lineRule="auto"/>
              <w:ind w:firstLine="468" w:firstLineChars="200"/>
              <w:rPr>
                <w:color w:val="000000"/>
                <w:spacing w:val="-3"/>
                <w:sz w:val="24"/>
              </w:rPr>
            </w:pPr>
            <w:r>
              <w:rPr>
                <w:color w:val="000000"/>
                <w:spacing w:val="-3"/>
                <w:sz w:val="24"/>
              </w:rPr>
              <w:t>e、装卸车及车辆加油时地面一旦发生漏油，应及时清除地面的漏油，收集后的油在场内暂存设施应满足《危险废物污染防治技术政策》（环发[2001]199 号）、《危险废物贮存污染控制标准》（GB 18597-2001）及 2013 年修改单相关要求，及时运出交油品回收单位处理。</w:t>
            </w:r>
          </w:p>
          <w:p>
            <w:pPr>
              <w:spacing w:line="360" w:lineRule="auto"/>
              <w:ind w:firstLine="468" w:firstLineChars="200"/>
              <w:rPr>
                <w:color w:val="000000"/>
                <w:spacing w:val="-3"/>
                <w:sz w:val="24"/>
              </w:rPr>
            </w:pPr>
            <w:r>
              <w:rPr>
                <w:color w:val="000000"/>
                <w:spacing w:val="-3"/>
                <w:sz w:val="24"/>
              </w:rPr>
              <w:t>f、地面漏油清理后对地面进行冲洗，冲洗水收集至隔油池内进行处理</w:t>
            </w:r>
          </w:p>
          <w:p>
            <w:pPr>
              <w:spacing w:line="360" w:lineRule="auto"/>
              <w:ind w:firstLine="468" w:firstLineChars="200"/>
              <w:rPr>
                <w:color w:val="000000"/>
                <w:spacing w:val="-3"/>
                <w:sz w:val="24"/>
              </w:rPr>
            </w:pPr>
            <w:r>
              <w:rPr>
                <w:color w:val="000000"/>
                <w:spacing w:val="-3"/>
                <w:sz w:val="24"/>
              </w:rPr>
              <w:t>（2）风险应急措施</w:t>
            </w:r>
          </w:p>
          <w:p>
            <w:pPr>
              <w:spacing w:line="360" w:lineRule="auto"/>
              <w:ind w:firstLine="468" w:firstLineChars="200"/>
              <w:rPr>
                <w:color w:val="000000"/>
                <w:spacing w:val="-3"/>
                <w:sz w:val="24"/>
              </w:rPr>
            </w:pPr>
            <w:r>
              <w:rPr>
                <w:color w:val="000000"/>
                <w:spacing w:val="-3"/>
                <w:sz w:val="24"/>
              </w:rPr>
              <w:t>1）加油区火灾应急措施</w:t>
            </w:r>
          </w:p>
          <w:p>
            <w:pPr>
              <w:pStyle w:val="45"/>
              <w:tabs>
                <w:tab w:val="left" w:pos="1228"/>
              </w:tabs>
              <w:spacing w:line="360" w:lineRule="auto"/>
              <w:ind w:firstLine="480"/>
              <w:jc w:val="left"/>
              <w:rPr>
                <w:color w:val="000000"/>
                <w:sz w:val="24"/>
              </w:rPr>
            </w:pPr>
            <w:r>
              <w:rPr>
                <w:bCs/>
                <w:color w:val="000000"/>
                <w:sz w:val="24"/>
              </w:rPr>
              <w:t>a、发现起火，立即报警，通过消防</w:t>
            </w:r>
            <w:r>
              <w:rPr>
                <w:color w:val="000000"/>
                <w:sz w:val="24"/>
              </w:rPr>
              <w:t>灭火。首先采用泡沫灭火，控制消防喷淋水量；也需用水冷却罐壁，降低燃烧强度。</w:t>
            </w:r>
          </w:p>
          <w:p>
            <w:pPr>
              <w:pStyle w:val="45"/>
              <w:tabs>
                <w:tab w:val="left" w:pos="1242"/>
              </w:tabs>
              <w:spacing w:line="360" w:lineRule="auto"/>
              <w:ind w:firstLine="464"/>
              <w:jc w:val="left"/>
              <w:rPr>
                <w:color w:val="000000"/>
                <w:sz w:val="24"/>
              </w:rPr>
            </w:pPr>
            <w:r>
              <w:rPr>
                <w:color w:val="000000"/>
                <w:spacing w:val="-4"/>
                <w:sz w:val="24"/>
              </w:rPr>
              <w:t>b、切断火势蔓延的途径，冷却和疏散受火势威胁的密闭容器和可燃物，控制燃烧范围，并积极抢救受伤和被困人员。</w:t>
            </w:r>
          </w:p>
          <w:p>
            <w:pPr>
              <w:pStyle w:val="45"/>
              <w:tabs>
                <w:tab w:val="left" w:pos="1228"/>
              </w:tabs>
              <w:spacing w:line="360" w:lineRule="auto"/>
              <w:ind w:firstLine="480"/>
              <w:jc w:val="left"/>
              <w:rPr>
                <w:color w:val="000000"/>
                <w:sz w:val="24"/>
              </w:rPr>
            </w:pPr>
            <w:r>
              <w:rPr>
                <w:color w:val="000000"/>
                <w:sz w:val="24"/>
              </w:rPr>
              <w:t>c、在切断火势蔓延的同时，关闭输油管进、出阀门。</w:t>
            </w:r>
          </w:p>
          <w:p>
            <w:pPr>
              <w:pStyle w:val="45"/>
              <w:tabs>
                <w:tab w:val="left" w:pos="1242"/>
              </w:tabs>
              <w:spacing w:line="360" w:lineRule="auto"/>
              <w:ind w:firstLine="480"/>
              <w:jc w:val="left"/>
              <w:rPr>
                <w:color w:val="000000"/>
                <w:sz w:val="24"/>
              </w:rPr>
            </w:pPr>
            <w:r>
              <w:rPr>
                <w:color w:val="000000"/>
                <w:sz w:val="24"/>
              </w:rPr>
              <w:t>d、通知环保、安全、海事等相关部门人员，启动应急救护程序。</w:t>
            </w:r>
          </w:p>
          <w:p>
            <w:pPr>
              <w:pStyle w:val="45"/>
              <w:tabs>
                <w:tab w:val="left" w:pos="1228"/>
              </w:tabs>
              <w:spacing w:line="360" w:lineRule="auto"/>
              <w:ind w:firstLine="480"/>
              <w:jc w:val="left"/>
              <w:rPr>
                <w:color w:val="000000"/>
                <w:sz w:val="24"/>
              </w:rPr>
            </w:pPr>
            <w:r>
              <w:rPr>
                <w:color w:val="000000"/>
                <w:sz w:val="24"/>
              </w:rPr>
              <w:t>e、组织救援小组，封锁现场，疏散人员。</w:t>
            </w:r>
          </w:p>
          <w:p>
            <w:pPr>
              <w:pStyle w:val="45"/>
              <w:tabs>
                <w:tab w:val="left" w:pos="1201"/>
              </w:tabs>
              <w:spacing w:line="360" w:lineRule="auto"/>
              <w:ind w:firstLine="480"/>
              <w:jc w:val="left"/>
              <w:rPr>
                <w:color w:val="000000"/>
                <w:sz w:val="24"/>
              </w:rPr>
            </w:pPr>
            <w:r>
              <w:rPr>
                <w:color w:val="000000"/>
                <w:sz w:val="24"/>
              </w:rPr>
              <w:t>f、灭火工作结束后，对现场进行恢复清理，对环境可能受到污染范围内的空气、水样、土壤进行取样监测，判定污染影响程度和采取必要的处理。</w:t>
            </w:r>
          </w:p>
          <w:p>
            <w:pPr>
              <w:pStyle w:val="45"/>
              <w:tabs>
                <w:tab w:val="left" w:pos="1242"/>
              </w:tabs>
              <w:spacing w:line="360" w:lineRule="auto"/>
              <w:ind w:firstLine="428"/>
              <w:jc w:val="left"/>
              <w:rPr>
                <w:color w:val="000000"/>
                <w:sz w:val="24"/>
              </w:rPr>
            </w:pPr>
            <w:r>
              <w:rPr>
                <w:color w:val="000000"/>
                <w:spacing w:val="-13"/>
                <w:sz w:val="24"/>
              </w:rPr>
              <w:t>g、调查和鉴定事故原因，提出事故评估报告，补充或修改事故防范措施和应急方案。</w:t>
            </w:r>
          </w:p>
          <w:p>
            <w:pPr>
              <w:spacing w:line="360" w:lineRule="auto"/>
              <w:ind w:firstLine="468" w:firstLineChars="200"/>
              <w:rPr>
                <w:color w:val="000000"/>
                <w:spacing w:val="-3"/>
                <w:sz w:val="24"/>
              </w:rPr>
            </w:pPr>
            <w:r>
              <w:rPr>
                <w:color w:val="000000"/>
                <w:spacing w:val="-3"/>
                <w:sz w:val="24"/>
              </w:rPr>
              <w:t>2）溢油事故应急处置方案</w:t>
            </w:r>
          </w:p>
          <w:p>
            <w:pPr>
              <w:pStyle w:val="45"/>
              <w:tabs>
                <w:tab w:val="left" w:pos="1228"/>
              </w:tabs>
              <w:spacing w:line="360" w:lineRule="auto"/>
              <w:ind w:firstLine="480"/>
              <w:jc w:val="left"/>
              <w:rPr>
                <w:color w:val="000000"/>
                <w:sz w:val="24"/>
              </w:rPr>
            </w:pPr>
            <w:r>
              <w:rPr>
                <w:color w:val="000000"/>
                <w:sz w:val="24"/>
              </w:rPr>
              <w:t>a、加油时发生跑、冒、滴、漏情况，应立即关闭加油机，停止加油作业，跑、冒、滴、漏油量不多时，用沙土进行覆盖。</w:t>
            </w:r>
          </w:p>
          <w:p>
            <w:pPr>
              <w:pStyle w:val="45"/>
              <w:tabs>
                <w:tab w:val="left" w:pos="1242"/>
              </w:tabs>
              <w:spacing w:line="360" w:lineRule="auto"/>
              <w:ind w:firstLine="460"/>
              <w:rPr>
                <w:color w:val="000000"/>
                <w:sz w:val="24"/>
              </w:rPr>
            </w:pPr>
            <w:r>
              <w:rPr>
                <w:color w:val="000000"/>
                <w:spacing w:val="-5"/>
                <w:sz w:val="24"/>
              </w:rPr>
              <w:t>b、卸油时发生大量跑、冒、滴、漏情况，如出现外溢油，向溢油方向扩大监控，并在溢油前方用沙土围堵，防止油品进一步扩散，避免进入雨、污水排水管网，禁止火源靠近，回收油品和含油沙土应按相关规定处理。</w:t>
            </w:r>
          </w:p>
          <w:p>
            <w:pPr>
              <w:spacing w:line="360" w:lineRule="auto"/>
              <w:ind w:firstLine="468" w:firstLineChars="200"/>
              <w:rPr>
                <w:color w:val="000000"/>
                <w:spacing w:val="-3"/>
                <w:sz w:val="24"/>
              </w:rPr>
            </w:pPr>
            <w:r>
              <w:rPr>
                <w:color w:val="000000"/>
                <w:spacing w:val="-3"/>
                <w:sz w:val="24"/>
              </w:rPr>
              <w:t>3）人员紧急撤离、疏散组织计划</w:t>
            </w:r>
          </w:p>
          <w:p>
            <w:pPr>
              <w:spacing w:line="360" w:lineRule="auto"/>
              <w:ind w:firstLine="480" w:firstLineChars="200"/>
              <w:rPr>
                <w:bCs/>
                <w:color w:val="000000"/>
                <w:sz w:val="24"/>
              </w:rPr>
            </w:pPr>
            <w:r>
              <w:rPr>
                <w:color w:val="000000"/>
                <w:sz w:val="24"/>
              </w:rPr>
              <w:t>加油站需要编制周围企业和人员分布图，指定具体联络人，并记录联络人的电话，当发生比较大的事故时，要在第一时间通知可能受影响的企业及人员，组织大家撤离。撤离过程中要请求环保、公安、民政等部门协助，妥善安排撤离人员的生活。撤离后要对影响区进行联系监测，当环境恢复到功能区划的要求，并经过环保、卫生等部门的同意，事故得到有效控制的前提下，可以安排撤离人员返回。</w:t>
            </w:r>
          </w:p>
          <w:p>
            <w:pPr>
              <w:spacing w:line="360" w:lineRule="auto"/>
              <w:ind w:firstLine="480" w:firstLineChars="200"/>
              <w:jc w:val="left"/>
              <w:rPr>
                <w:bCs/>
                <w:color w:val="000000"/>
                <w:sz w:val="24"/>
              </w:rPr>
            </w:pPr>
            <w:r>
              <w:rPr>
                <w:bCs/>
                <w:color w:val="000000"/>
                <w:sz w:val="24"/>
              </w:rPr>
              <w:t>4）应急预案</w:t>
            </w:r>
          </w:p>
          <w:p>
            <w:pPr>
              <w:spacing w:line="360" w:lineRule="auto"/>
              <w:ind w:firstLine="480" w:firstLineChars="200"/>
              <w:rPr>
                <w:bCs/>
                <w:color w:val="000000"/>
                <w:sz w:val="24"/>
              </w:rPr>
            </w:pPr>
            <w:r>
              <w:rPr>
                <w:bCs/>
                <w:color w:val="000000"/>
                <w:sz w:val="24"/>
              </w:rPr>
              <w:t>有重大环境污染事故隐患的单位还应建立紧急救援组织，确定重大事故管理和应急计划，一旦发生重大事故，能有效地组织救援。应急预案是制定防止重大环境污染事故发生的工作计划，消除事故隐患的设施及突发性事故应急处理等。作为事故风险防范和应急对策的重要组成部分；应急组织机构应制定应急计划，其基本内容应包括应急组织、应急设施（设备器材）、应急通讯联络、应急监测、应急安全保卫、应急撤离措施、应急救援、应急状态终止、事故后果评价、应急报告等。</w:t>
            </w:r>
          </w:p>
          <w:p>
            <w:pPr>
              <w:spacing w:line="360" w:lineRule="auto"/>
              <w:ind w:firstLine="480" w:firstLineChars="200"/>
              <w:rPr>
                <w:color w:val="000000"/>
                <w:sz w:val="24"/>
              </w:rPr>
            </w:pPr>
            <w:r>
              <w:rPr>
                <w:color w:val="000000"/>
                <w:sz w:val="24"/>
              </w:rPr>
              <w:t>根据国家环保局（90）环管字第 057 号文《关于对重大环境污染事故隐患进行风险评价的通知》的要求，通过对污染事故的风险评价，各有关企业单位应加强安全生产管理，制定重大环境事故发生的应急预案，消除事故隐患的实施及突发性事故应急办法等。</w:t>
            </w:r>
          </w:p>
          <w:p>
            <w:pPr>
              <w:spacing w:line="360" w:lineRule="auto"/>
              <w:ind w:firstLine="480" w:firstLineChars="200"/>
              <w:rPr>
                <w:bCs/>
                <w:color w:val="000000"/>
                <w:sz w:val="24"/>
              </w:rPr>
            </w:pPr>
            <w:r>
              <w:rPr>
                <w:bCs/>
                <w:color w:val="000000"/>
                <w:sz w:val="24"/>
              </w:rPr>
              <w:t>本项目应根据生产特点和事故隐患分析，制定突发事故应急预案，具体见下表 ：</w:t>
            </w:r>
          </w:p>
          <w:p>
            <w:pPr>
              <w:spacing w:line="360" w:lineRule="auto"/>
              <w:ind w:firstLine="26" w:firstLineChars="11"/>
              <w:jc w:val="center"/>
              <w:rPr>
                <w:b/>
                <w:bCs/>
                <w:color w:val="000000"/>
                <w:spacing w:val="-3"/>
                <w:sz w:val="24"/>
              </w:rPr>
            </w:pPr>
            <w:r>
              <w:rPr>
                <w:b/>
                <w:bCs/>
                <w:color w:val="000000"/>
                <w:spacing w:val="-3"/>
                <w:sz w:val="24"/>
              </w:rPr>
              <w:t>表4</w:t>
            </w:r>
            <w:r>
              <w:rPr>
                <w:rFonts w:hint="eastAsia"/>
                <w:b/>
                <w:bCs/>
                <w:color w:val="000000"/>
                <w:spacing w:val="-3"/>
                <w:sz w:val="24"/>
              </w:rPr>
              <w:t>-</w:t>
            </w:r>
            <w:r>
              <w:rPr>
                <w:b/>
                <w:bCs/>
                <w:color w:val="000000"/>
                <w:spacing w:val="-3"/>
                <w:sz w:val="24"/>
              </w:rPr>
              <w:t>1</w:t>
            </w:r>
            <w:r>
              <w:rPr>
                <w:rFonts w:hint="eastAsia"/>
                <w:b/>
                <w:bCs/>
                <w:color w:val="000000"/>
                <w:spacing w:val="-3"/>
                <w:sz w:val="24"/>
              </w:rPr>
              <w:t>8</w:t>
            </w:r>
            <w:r>
              <w:rPr>
                <w:b/>
                <w:bCs/>
                <w:color w:val="000000"/>
                <w:spacing w:val="-3"/>
                <w:sz w:val="24"/>
              </w:rPr>
              <w:t xml:space="preserve">  应急预案内容</w:t>
            </w:r>
          </w:p>
          <w:tbl>
            <w:tblPr>
              <w:tblStyle w:val="23"/>
              <w:tblW w:w="79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984"/>
              <w:gridCol w:w="5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
                      <w:color w:val="000000"/>
                      <w:sz w:val="21"/>
                      <w:szCs w:val="21"/>
                      <w:lang w:eastAsia="zh-CN"/>
                    </w:rPr>
                  </w:pPr>
                  <w:r>
                    <w:rPr>
                      <w:b/>
                      <w:color w:val="000000"/>
                      <w:sz w:val="21"/>
                      <w:szCs w:val="21"/>
                      <w:lang w:eastAsia="zh-CN"/>
                    </w:rPr>
                    <w:t>序号</w:t>
                  </w:r>
                </w:p>
              </w:tc>
              <w:tc>
                <w:tcPr>
                  <w:tcW w:w="1984" w:type="dxa"/>
                  <w:vAlign w:val="center"/>
                </w:tcPr>
                <w:p>
                  <w:pPr>
                    <w:pStyle w:val="57"/>
                    <w:jc w:val="center"/>
                    <w:rPr>
                      <w:b/>
                      <w:color w:val="000000"/>
                      <w:sz w:val="21"/>
                      <w:szCs w:val="21"/>
                      <w:lang w:eastAsia="zh-CN"/>
                    </w:rPr>
                  </w:pPr>
                  <w:r>
                    <w:rPr>
                      <w:b/>
                      <w:color w:val="000000"/>
                      <w:sz w:val="21"/>
                      <w:szCs w:val="21"/>
                      <w:lang w:eastAsia="zh-CN"/>
                    </w:rPr>
                    <w:t>项目</w:t>
                  </w:r>
                </w:p>
              </w:tc>
              <w:tc>
                <w:tcPr>
                  <w:tcW w:w="5365" w:type="dxa"/>
                  <w:vAlign w:val="center"/>
                </w:tcPr>
                <w:p>
                  <w:pPr>
                    <w:pStyle w:val="57"/>
                    <w:jc w:val="center"/>
                    <w:rPr>
                      <w:b/>
                      <w:color w:val="000000"/>
                      <w:sz w:val="21"/>
                      <w:szCs w:val="21"/>
                      <w:lang w:eastAsia="zh-CN"/>
                    </w:rPr>
                  </w:pPr>
                  <w:r>
                    <w:rPr>
                      <w:b/>
                      <w:color w:val="000000"/>
                      <w:sz w:val="21"/>
                      <w:szCs w:val="21"/>
                      <w:lang w:eastAsia="zh-CN"/>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lang w:eastAsia="zh-CN"/>
                    </w:rPr>
                  </w:pPr>
                  <w:r>
                    <w:rPr>
                      <w:bCs/>
                      <w:color w:val="000000"/>
                      <w:w w:val="99"/>
                      <w:sz w:val="21"/>
                      <w:szCs w:val="21"/>
                      <w:lang w:eastAsia="zh-CN"/>
                    </w:rPr>
                    <w:t>1</w:t>
                  </w:r>
                </w:p>
              </w:tc>
              <w:tc>
                <w:tcPr>
                  <w:tcW w:w="1984" w:type="dxa"/>
                  <w:vAlign w:val="center"/>
                </w:tcPr>
                <w:p>
                  <w:pPr>
                    <w:pStyle w:val="57"/>
                    <w:jc w:val="center"/>
                    <w:rPr>
                      <w:bCs/>
                      <w:color w:val="000000"/>
                      <w:sz w:val="21"/>
                      <w:szCs w:val="21"/>
                      <w:lang w:eastAsia="zh-CN"/>
                    </w:rPr>
                  </w:pPr>
                  <w:r>
                    <w:rPr>
                      <w:bCs/>
                      <w:color w:val="000000"/>
                      <w:sz w:val="21"/>
                      <w:szCs w:val="21"/>
                      <w:lang w:eastAsia="zh-CN"/>
                    </w:rPr>
                    <w:t>应急计划区</w:t>
                  </w:r>
                </w:p>
              </w:tc>
              <w:tc>
                <w:tcPr>
                  <w:tcW w:w="5365" w:type="dxa"/>
                  <w:vAlign w:val="center"/>
                </w:tcPr>
                <w:p>
                  <w:pPr>
                    <w:pStyle w:val="57"/>
                    <w:jc w:val="center"/>
                    <w:rPr>
                      <w:bCs/>
                      <w:color w:val="000000"/>
                      <w:sz w:val="21"/>
                      <w:szCs w:val="21"/>
                      <w:lang w:eastAsia="zh-CN"/>
                    </w:rPr>
                  </w:pPr>
                  <w:r>
                    <w:rPr>
                      <w:bCs/>
                      <w:color w:val="000000"/>
                      <w:sz w:val="21"/>
                      <w:szCs w:val="21"/>
                      <w:lang w:eastAsia="zh-CN"/>
                    </w:rPr>
                    <w:t>危险目标：装置区、储罐区、环境保护目标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2</w:t>
                  </w:r>
                </w:p>
              </w:tc>
              <w:tc>
                <w:tcPr>
                  <w:tcW w:w="1984" w:type="dxa"/>
                  <w:vAlign w:val="center"/>
                </w:tcPr>
                <w:p>
                  <w:pPr>
                    <w:pStyle w:val="57"/>
                    <w:jc w:val="center"/>
                    <w:rPr>
                      <w:bCs/>
                      <w:color w:val="000000"/>
                      <w:sz w:val="21"/>
                      <w:szCs w:val="21"/>
                    </w:rPr>
                  </w:pPr>
                  <w:r>
                    <w:rPr>
                      <w:bCs/>
                      <w:color w:val="000000"/>
                      <w:sz w:val="21"/>
                      <w:szCs w:val="21"/>
                    </w:rPr>
                    <w:t>应急组织机构、人员</w:t>
                  </w:r>
                </w:p>
              </w:tc>
              <w:tc>
                <w:tcPr>
                  <w:tcW w:w="5365" w:type="dxa"/>
                  <w:vAlign w:val="center"/>
                </w:tcPr>
                <w:p>
                  <w:pPr>
                    <w:pStyle w:val="57"/>
                    <w:jc w:val="center"/>
                    <w:rPr>
                      <w:bCs/>
                      <w:color w:val="000000"/>
                      <w:sz w:val="21"/>
                      <w:szCs w:val="21"/>
                      <w:lang w:eastAsia="zh-CN"/>
                    </w:rPr>
                  </w:pPr>
                  <w:r>
                    <w:rPr>
                      <w:bCs/>
                      <w:color w:val="000000"/>
                      <w:sz w:val="21"/>
                      <w:szCs w:val="21"/>
                      <w:lang w:eastAsia="zh-CN"/>
                    </w:rPr>
                    <w:t>加油站、地区应急组织机构、人员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3</w:t>
                  </w:r>
                </w:p>
              </w:tc>
              <w:tc>
                <w:tcPr>
                  <w:tcW w:w="1984" w:type="dxa"/>
                  <w:vAlign w:val="center"/>
                </w:tcPr>
                <w:p>
                  <w:pPr>
                    <w:pStyle w:val="57"/>
                    <w:jc w:val="center"/>
                    <w:rPr>
                      <w:bCs/>
                      <w:color w:val="000000"/>
                      <w:sz w:val="21"/>
                      <w:szCs w:val="21"/>
                    </w:rPr>
                  </w:pPr>
                  <w:r>
                    <w:rPr>
                      <w:bCs/>
                      <w:color w:val="000000"/>
                      <w:sz w:val="21"/>
                      <w:szCs w:val="21"/>
                    </w:rPr>
                    <w:t>预案分级响应条件</w:t>
                  </w:r>
                </w:p>
              </w:tc>
              <w:tc>
                <w:tcPr>
                  <w:tcW w:w="5365" w:type="dxa"/>
                  <w:vAlign w:val="center"/>
                </w:tcPr>
                <w:p>
                  <w:pPr>
                    <w:pStyle w:val="57"/>
                    <w:jc w:val="center"/>
                    <w:rPr>
                      <w:bCs/>
                      <w:color w:val="000000"/>
                      <w:sz w:val="21"/>
                      <w:szCs w:val="21"/>
                      <w:lang w:eastAsia="zh-CN"/>
                    </w:rPr>
                  </w:pPr>
                  <w:r>
                    <w:rPr>
                      <w:bCs/>
                      <w:color w:val="000000"/>
                      <w:sz w:val="21"/>
                      <w:szCs w:val="21"/>
                      <w:lang w:eastAsia="zh-CN"/>
                    </w:rPr>
                    <w:t>规定预案的级别及分级响应程序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4</w:t>
                  </w:r>
                </w:p>
              </w:tc>
              <w:tc>
                <w:tcPr>
                  <w:tcW w:w="1984" w:type="dxa"/>
                  <w:vAlign w:val="center"/>
                </w:tcPr>
                <w:p>
                  <w:pPr>
                    <w:pStyle w:val="57"/>
                    <w:jc w:val="center"/>
                    <w:rPr>
                      <w:bCs/>
                      <w:color w:val="000000"/>
                      <w:sz w:val="21"/>
                      <w:szCs w:val="21"/>
                    </w:rPr>
                  </w:pPr>
                  <w:r>
                    <w:rPr>
                      <w:bCs/>
                      <w:color w:val="000000"/>
                      <w:sz w:val="21"/>
                      <w:szCs w:val="21"/>
                    </w:rPr>
                    <w:t>应急救援保障</w:t>
                  </w:r>
                </w:p>
              </w:tc>
              <w:tc>
                <w:tcPr>
                  <w:tcW w:w="5365" w:type="dxa"/>
                  <w:vAlign w:val="center"/>
                </w:tcPr>
                <w:p>
                  <w:pPr>
                    <w:pStyle w:val="57"/>
                    <w:jc w:val="center"/>
                    <w:rPr>
                      <w:bCs/>
                      <w:color w:val="000000"/>
                      <w:sz w:val="21"/>
                      <w:szCs w:val="21"/>
                      <w:lang w:eastAsia="zh-CN"/>
                    </w:rPr>
                  </w:pPr>
                  <w:r>
                    <w:rPr>
                      <w:bCs/>
                      <w:color w:val="000000"/>
                      <w:sz w:val="21"/>
                      <w:szCs w:val="21"/>
                      <w:lang w:eastAsia="zh-CN"/>
                    </w:rPr>
                    <w:t>应急设施、设备与器材等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5</w:t>
                  </w:r>
                </w:p>
              </w:tc>
              <w:tc>
                <w:tcPr>
                  <w:tcW w:w="1984" w:type="dxa"/>
                  <w:vAlign w:val="center"/>
                </w:tcPr>
                <w:p>
                  <w:pPr>
                    <w:pStyle w:val="57"/>
                    <w:jc w:val="center"/>
                    <w:rPr>
                      <w:bCs/>
                      <w:color w:val="000000"/>
                      <w:sz w:val="21"/>
                      <w:szCs w:val="21"/>
                    </w:rPr>
                  </w:pPr>
                  <w:r>
                    <w:rPr>
                      <w:bCs/>
                      <w:color w:val="000000"/>
                      <w:sz w:val="21"/>
                      <w:szCs w:val="21"/>
                    </w:rPr>
                    <w:t>报警、通讯联络方式</w:t>
                  </w:r>
                </w:p>
              </w:tc>
              <w:tc>
                <w:tcPr>
                  <w:tcW w:w="5365" w:type="dxa"/>
                  <w:vAlign w:val="center"/>
                </w:tcPr>
                <w:p>
                  <w:pPr>
                    <w:pStyle w:val="57"/>
                    <w:jc w:val="center"/>
                    <w:rPr>
                      <w:bCs/>
                      <w:color w:val="000000"/>
                      <w:sz w:val="21"/>
                      <w:szCs w:val="21"/>
                      <w:lang w:eastAsia="zh-CN"/>
                    </w:rPr>
                  </w:pPr>
                  <w:r>
                    <w:rPr>
                      <w:bCs/>
                      <w:color w:val="000000"/>
                      <w:sz w:val="21"/>
                      <w:szCs w:val="21"/>
                      <w:lang w:eastAsia="zh-CN"/>
                    </w:rPr>
                    <w:t>规定应急状态下的报警通讯方式，通知方式和交通保障、管制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6</w:t>
                  </w:r>
                </w:p>
              </w:tc>
              <w:tc>
                <w:tcPr>
                  <w:tcW w:w="1984" w:type="dxa"/>
                  <w:vAlign w:val="center"/>
                </w:tcPr>
                <w:p>
                  <w:pPr>
                    <w:pStyle w:val="57"/>
                    <w:jc w:val="center"/>
                    <w:rPr>
                      <w:bCs/>
                      <w:color w:val="000000"/>
                      <w:sz w:val="21"/>
                      <w:szCs w:val="21"/>
                      <w:lang w:eastAsia="zh-CN"/>
                    </w:rPr>
                  </w:pPr>
                  <w:r>
                    <w:rPr>
                      <w:bCs/>
                      <w:color w:val="000000"/>
                      <w:sz w:val="21"/>
                      <w:szCs w:val="21"/>
                      <w:lang w:eastAsia="zh-CN"/>
                    </w:rPr>
                    <w:t>应急环境监测、抢险、救援及控制措施</w:t>
                  </w:r>
                </w:p>
              </w:tc>
              <w:tc>
                <w:tcPr>
                  <w:tcW w:w="5365" w:type="dxa"/>
                  <w:vAlign w:val="center"/>
                </w:tcPr>
                <w:p>
                  <w:pPr>
                    <w:pStyle w:val="57"/>
                    <w:jc w:val="center"/>
                    <w:rPr>
                      <w:bCs/>
                      <w:color w:val="000000"/>
                      <w:sz w:val="21"/>
                      <w:szCs w:val="21"/>
                      <w:lang w:eastAsia="zh-CN"/>
                    </w:rPr>
                  </w:pPr>
                  <w:r>
                    <w:rPr>
                      <w:bCs/>
                      <w:color w:val="000000"/>
                      <w:sz w:val="21"/>
                      <w:szCs w:val="21"/>
                      <w:lang w:eastAsia="zh-CN"/>
                    </w:rPr>
                    <w:t>由专业队伍负责对事故现场进行侦查监测，对事故性质、参数与后果进行评估，为指挥部门提供决策依据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7</w:t>
                  </w:r>
                </w:p>
              </w:tc>
              <w:tc>
                <w:tcPr>
                  <w:tcW w:w="1984" w:type="dxa"/>
                  <w:vAlign w:val="center"/>
                </w:tcPr>
                <w:p>
                  <w:pPr>
                    <w:pStyle w:val="57"/>
                    <w:jc w:val="center"/>
                    <w:rPr>
                      <w:bCs/>
                      <w:color w:val="000000"/>
                      <w:sz w:val="21"/>
                      <w:szCs w:val="21"/>
                      <w:lang w:eastAsia="zh-CN"/>
                    </w:rPr>
                  </w:pPr>
                  <w:r>
                    <w:rPr>
                      <w:bCs/>
                      <w:color w:val="000000"/>
                      <w:sz w:val="21"/>
                      <w:szCs w:val="21"/>
                      <w:lang w:eastAsia="zh-CN"/>
                    </w:rPr>
                    <w:t>应急检测、防护措</w:t>
                  </w:r>
                </w:p>
                <w:p>
                  <w:pPr>
                    <w:pStyle w:val="57"/>
                    <w:jc w:val="center"/>
                    <w:rPr>
                      <w:bCs/>
                      <w:color w:val="000000"/>
                      <w:sz w:val="21"/>
                      <w:szCs w:val="21"/>
                      <w:lang w:eastAsia="zh-CN"/>
                    </w:rPr>
                  </w:pPr>
                  <w:r>
                    <w:rPr>
                      <w:bCs/>
                      <w:color w:val="000000"/>
                      <w:sz w:val="21"/>
                      <w:szCs w:val="21"/>
                      <w:lang w:eastAsia="zh-CN"/>
                    </w:rPr>
                    <w:t>施、清除措施和器材</w:t>
                  </w:r>
                </w:p>
              </w:tc>
              <w:tc>
                <w:tcPr>
                  <w:tcW w:w="5365" w:type="dxa"/>
                  <w:vAlign w:val="center"/>
                </w:tcPr>
                <w:p>
                  <w:pPr>
                    <w:pStyle w:val="57"/>
                    <w:jc w:val="center"/>
                    <w:rPr>
                      <w:bCs/>
                      <w:color w:val="000000"/>
                      <w:sz w:val="21"/>
                      <w:szCs w:val="21"/>
                      <w:lang w:eastAsia="zh-CN"/>
                    </w:rPr>
                  </w:pPr>
                  <w:r>
                    <w:rPr>
                      <w:bCs/>
                      <w:color w:val="000000"/>
                      <w:sz w:val="21"/>
                      <w:szCs w:val="21"/>
                      <w:lang w:eastAsia="zh-CN"/>
                    </w:rPr>
                    <w:t>事故现场、邻近区域、控制防火区域、控制和清除污染措施及相应设备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8</w:t>
                  </w:r>
                </w:p>
              </w:tc>
              <w:tc>
                <w:tcPr>
                  <w:tcW w:w="1984" w:type="dxa"/>
                  <w:vAlign w:val="center"/>
                </w:tcPr>
                <w:p>
                  <w:pPr>
                    <w:pStyle w:val="57"/>
                    <w:jc w:val="center"/>
                    <w:rPr>
                      <w:bCs/>
                      <w:color w:val="000000"/>
                      <w:sz w:val="21"/>
                      <w:szCs w:val="21"/>
                      <w:lang w:eastAsia="zh-CN"/>
                    </w:rPr>
                  </w:pPr>
                  <w:r>
                    <w:rPr>
                      <w:bCs/>
                      <w:color w:val="000000"/>
                      <w:sz w:val="21"/>
                      <w:szCs w:val="21"/>
                      <w:lang w:eastAsia="zh-CN"/>
                    </w:rPr>
                    <w:t>人员紧急撤离、疏散，应急剂量控制、</w:t>
                  </w:r>
                </w:p>
                <w:p>
                  <w:pPr>
                    <w:pStyle w:val="57"/>
                    <w:jc w:val="center"/>
                    <w:rPr>
                      <w:bCs/>
                      <w:color w:val="000000"/>
                      <w:sz w:val="21"/>
                      <w:szCs w:val="21"/>
                    </w:rPr>
                  </w:pPr>
                  <w:r>
                    <w:rPr>
                      <w:bCs/>
                      <w:color w:val="000000"/>
                      <w:sz w:val="21"/>
                      <w:szCs w:val="21"/>
                    </w:rPr>
                    <w:t>撤离组织计划</w:t>
                  </w:r>
                </w:p>
              </w:tc>
              <w:tc>
                <w:tcPr>
                  <w:tcW w:w="5365" w:type="dxa"/>
                  <w:vAlign w:val="center"/>
                </w:tcPr>
                <w:p>
                  <w:pPr>
                    <w:pStyle w:val="57"/>
                    <w:jc w:val="center"/>
                    <w:rPr>
                      <w:bCs/>
                      <w:color w:val="000000"/>
                      <w:sz w:val="21"/>
                      <w:szCs w:val="21"/>
                      <w:lang w:eastAsia="zh-CN"/>
                    </w:rPr>
                  </w:pPr>
                  <w:r>
                    <w:rPr>
                      <w:bCs/>
                      <w:color w:val="000000"/>
                      <w:sz w:val="21"/>
                      <w:szCs w:val="21"/>
                      <w:lang w:eastAsia="zh-CN"/>
                    </w:rPr>
                    <w:t>事故现场、加油站邻近区、受事故影响区域人员及公众对毒物应 急剂量控制规定，撤离组织计划及救护，医疗救护与公众健康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w w:val="99"/>
                      <w:sz w:val="21"/>
                      <w:szCs w:val="21"/>
                    </w:rPr>
                    <w:t>9</w:t>
                  </w:r>
                </w:p>
              </w:tc>
              <w:tc>
                <w:tcPr>
                  <w:tcW w:w="1984" w:type="dxa"/>
                  <w:vAlign w:val="center"/>
                </w:tcPr>
                <w:p>
                  <w:pPr>
                    <w:pStyle w:val="57"/>
                    <w:jc w:val="center"/>
                    <w:rPr>
                      <w:bCs/>
                      <w:color w:val="000000"/>
                      <w:sz w:val="21"/>
                      <w:szCs w:val="21"/>
                      <w:lang w:eastAsia="zh-CN"/>
                    </w:rPr>
                  </w:pPr>
                  <w:r>
                    <w:rPr>
                      <w:bCs/>
                      <w:color w:val="000000"/>
                      <w:sz w:val="21"/>
                      <w:szCs w:val="21"/>
                      <w:lang w:eastAsia="zh-CN"/>
                    </w:rPr>
                    <w:t>事故应急救援关闭</w:t>
                  </w:r>
                </w:p>
                <w:p>
                  <w:pPr>
                    <w:pStyle w:val="57"/>
                    <w:jc w:val="center"/>
                    <w:rPr>
                      <w:bCs/>
                      <w:color w:val="000000"/>
                      <w:sz w:val="21"/>
                      <w:szCs w:val="21"/>
                      <w:lang w:eastAsia="zh-CN"/>
                    </w:rPr>
                  </w:pPr>
                  <w:r>
                    <w:rPr>
                      <w:bCs/>
                      <w:color w:val="000000"/>
                      <w:sz w:val="21"/>
                      <w:szCs w:val="21"/>
                      <w:lang w:eastAsia="zh-CN"/>
                    </w:rPr>
                    <w:t>程序与恢复措施</w:t>
                  </w:r>
                </w:p>
              </w:tc>
              <w:tc>
                <w:tcPr>
                  <w:tcW w:w="5365" w:type="dxa"/>
                  <w:vAlign w:val="center"/>
                </w:tcPr>
                <w:p>
                  <w:pPr>
                    <w:pStyle w:val="57"/>
                    <w:jc w:val="center"/>
                    <w:rPr>
                      <w:bCs/>
                      <w:color w:val="000000"/>
                      <w:sz w:val="21"/>
                      <w:szCs w:val="21"/>
                      <w:lang w:eastAsia="zh-CN"/>
                    </w:rPr>
                  </w:pPr>
                  <w:r>
                    <w:rPr>
                      <w:bCs/>
                      <w:color w:val="000000"/>
                      <w:sz w:val="21"/>
                      <w:szCs w:val="21"/>
                      <w:lang w:eastAsia="zh-CN"/>
                    </w:rPr>
                    <w:t>规定应急状态终止程序；事故现场善后处理，恢复措施；邻近区域解除事故警戒及善后恢复措施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sz w:val="21"/>
                      <w:szCs w:val="21"/>
                    </w:rPr>
                    <w:t>10</w:t>
                  </w:r>
                </w:p>
              </w:tc>
              <w:tc>
                <w:tcPr>
                  <w:tcW w:w="1984" w:type="dxa"/>
                  <w:vAlign w:val="center"/>
                </w:tcPr>
                <w:p>
                  <w:pPr>
                    <w:pStyle w:val="57"/>
                    <w:jc w:val="center"/>
                    <w:rPr>
                      <w:bCs/>
                      <w:color w:val="000000"/>
                      <w:sz w:val="21"/>
                      <w:szCs w:val="21"/>
                    </w:rPr>
                  </w:pPr>
                  <w:r>
                    <w:rPr>
                      <w:bCs/>
                      <w:color w:val="000000"/>
                      <w:sz w:val="21"/>
                      <w:szCs w:val="21"/>
                    </w:rPr>
                    <w:t>应急培训计划</w:t>
                  </w:r>
                </w:p>
              </w:tc>
              <w:tc>
                <w:tcPr>
                  <w:tcW w:w="5365" w:type="dxa"/>
                  <w:vAlign w:val="center"/>
                </w:tcPr>
                <w:p>
                  <w:pPr>
                    <w:pStyle w:val="57"/>
                    <w:jc w:val="center"/>
                    <w:rPr>
                      <w:bCs/>
                      <w:color w:val="000000"/>
                      <w:sz w:val="21"/>
                      <w:szCs w:val="21"/>
                      <w:lang w:eastAsia="zh-CN"/>
                    </w:rPr>
                  </w:pPr>
                  <w:r>
                    <w:rPr>
                      <w:bCs/>
                      <w:color w:val="000000"/>
                      <w:sz w:val="21"/>
                      <w:szCs w:val="21"/>
                      <w:lang w:eastAsia="zh-CN"/>
                    </w:rPr>
                    <w:t>应急计划制定后，平时安排人员培训与演练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89" w:type="dxa"/>
                  <w:vAlign w:val="center"/>
                </w:tcPr>
                <w:p>
                  <w:pPr>
                    <w:pStyle w:val="57"/>
                    <w:jc w:val="center"/>
                    <w:rPr>
                      <w:bCs/>
                      <w:color w:val="000000"/>
                      <w:sz w:val="21"/>
                      <w:szCs w:val="21"/>
                    </w:rPr>
                  </w:pPr>
                  <w:r>
                    <w:rPr>
                      <w:bCs/>
                      <w:color w:val="000000"/>
                      <w:sz w:val="21"/>
                      <w:szCs w:val="21"/>
                    </w:rPr>
                    <w:t>11</w:t>
                  </w:r>
                </w:p>
              </w:tc>
              <w:tc>
                <w:tcPr>
                  <w:tcW w:w="1984" w:type="dxa"/>
                  <w:vAlign w:val="center"/>
                </w:tcPr>
                <w:p>
                  <w:pPr>
                    <w:pStyle w:val="57"/>
                    <w:jc w:val="center"/>
                    <w:rPr>
                      <w:bCs/>
                      <w:color w:val="000000"/>
                      <w:sz w:val="21"/>
                      <w:szCs w:val="21"/>
                    </w:rPr>
                  </w:pPr>
                  <w:r>
                    <w:rPr>
                      <w:bCs/>
                      <w:color w:val="000000"/>
                      <w:sz w:val="21"/>
                      <w:szCs w:val="21"/>
                    </w:rPr>
                    <w:t>公众教育和信息</w:t>
                  </w:r>
                </w:p>
              </w:tc>
              <w:tc>
                <w:tcPr>
                  <w:tcW w:w="5365" w:type="dxa"/>
                  <w:vAlign w:val="center"/>
                </w:tcPr>
                <w:p>
                  <w:pPr>
                    <w:pStyle w:val="57"/>
                    <w:jc w:val="center"/>
                    <w:rPr>
                      <w:bCs/>
                      <w:color w:val="000000"/>
                      <w:sz w:val="21"/>
                      <w:szCs w:val="21"/>
                      <w:lang w:eastAsia="zh-CN"/>
                    </w:rPr>
                  </w:pPr>
                  <w:r>
                    <w:rPr>
                      <w:bCs/>
                      <w:color w:val="000000"/>
                      <w:sz w:val="21"/>
                      <w:szCs w:val="21"/>
                      <w:lang w:eastAsia="zh-CN"/>
                    </w:rPr>
                    <w:t>对加油站邻近地区开展公众教育、培训和发布有关信息</w:t>
                  </w:r>
                </w:p>
              </w:tc>
            </w:tr>
          </w:tbl>
          <w:p>
            <w:pPr>
              <w:spacing w:line="360" w:lineRule="auto"/>
              <w:ind w:firstLine="480" w:firstLineChars="200"/>
              <w:rPr>
                <w:bCs/>
                <w:color w:val="000000"/>
                <w:sz w:val="24"/>
              </w:rPr>
            </w:pPr>
            <w:r>
              <w:rPr>
                <w:bCs/>
                <w:color w:val="000000"/>
                <w:sz w:val="24"/>
              </w:rPr>
              <w:t>本项目实施后，由于工艺过程相对比较简单，操作过程较易控制，且油罐设置液位监控仪和高液位报警仪，可及时控制操作。所有装置均为常压常温操作，技术参数容易控制，安全性好；加油站内配备足够消防设施，员工配备安全个人防护用品，安全防护设施较为合理。生产安全、消防安全、个人防护等均能达到国家安全、卫生防护的要求。</w:t>
            </w:r>
          </w:p>
          <w:p>
            <w:pPr>
              <w:spacing w:line="360" w:lineRule="auto"/>
              <w:ind w:firstLine="480" w:firstLineChars="200"/>
              <w:rPr>
                <w:bCs/>
                <w:color w:val="000000"/>
                <w:sz w:val="24"/>
              </w:rPr>
            </w:pPr>
            <w:r>
              <w:rPr>
                <w:rFonts w:hint="eastAsia"/>
                <w:bCs/>
                <w:color w:val="000000"/>
                <w:sz w:val="24"/>
              </w:rPr>
              <w:t>按照中国石化《水体污染防控紧急措施设计导则》（中石化建标[2006]43号），石油化工企业应设置足够储存事故排水的储存设施，储存设施包括事故池、事故罐、围堰内区域或其它可以容纳事故废水的容器。</w:t>
            </w:r>
          </w:p>
          <w:p>
            <w:pPr>
              <w:spacing w:line="360" w:lineRule="auto"/>
              <w:ind w:firstLine="480" w:firstLineChars="200"/>
              <w:rPr>
                <w:bCs/>
                <w:color w:val="000000"/>
                <w:sz w:val="24"/>
              </w:rPr>
            </w:pPr>
            <w:r>
              <w:rPr>
                <w:rFonts w:hint="eastAsia"/>
                <w:bCs/>
                <w:color w:val="000000"/>
                <w:sz w:val="24"/>
              </w:rPr>
              <w:t>事故废水储存设施总有效容积V总：</w:t>
            </w:r>
          </w:p>
          <w:p>
            <w:pPr>
              <w:spacing w:line="360" w:lineRule="auto"/>
              <w:ind w:firstLine="480" w:firstLineChars="200"/>
              <w:rPr>
                <w:bCs/>
                <w:color w:val="000000"/>
                <w:sz w:val="24"/>
              </w:rPr>
            </w:pPr>
            <w:r>
              <w:rPr>
                <w:rFonts w:hint="eastAsia"/>
                <w:bCs/>
                <w:color w:val="000000"/>
                <w:sz w:val="24"/>
              </w:rPr>
              <w:t xml:space="preserve">V总＝(V1＋V2－V3)max＋V4＋V5 </w:t>
            </w:r>
          </w:p>
          <w:p>
            <w:pPr>
              <w:spacing w:line="360" w:lineRule="auto"/>
              <w:ind w:firstLine="480" w:firstLineChars="200"/>
              <w:rPr>
                <w:bCs/>
                <w:color w:val="000000"/>
                <w:sz w:val="24"/>
              </w:rPr>
            </w:pPr>
            <w:r>
              <w:rPr>
                <w:rFonts w:hint="eastAsia"/>
                <w:bCs/>
                <w:color w:val="000000"/>
                <w:sz w:val="24"/>
              </w:rPr>
              <w:t>V总：事故废水储存设施总有效容积，m</w:t>
            </w:r>
            <w:r>
              <w:rPr>
                <w:rFonts w:hint="eastAsia"/>
                <w:bCs/>
                <w:color w:val="000000"/>
                <w:sz w:val="24"/>
                <w:vertAlign w:val="superscript"/>
              </w:rPr>
              <w:t>3</w:t>
            </w:r>
            <w:r>
              <w:rPr>
                <w:rFonts w:hint="eastAsia"/>
                <w:bCs/>
                <w:color w:val="000000"/>
                <w:sz w:val="24"/>
              </w:rPr>
              <w:t>；</w:t>
            </w:r>
          </w:p>
          <w:p>
            <w:pPr>
              <w:spacing w:line="360" w:lineRule="auto"/>
              <w:ind w:firstLine="480" w:firstLineChars="200"/>
              <w:rPr>
                <w:bCs/>
                <w:color w:val="000000"/>
                <w:sz w:val="24"/>
              </w:rPr>
            </w:pPr>
            <w:r>
              <w:rPr>
                <w:rFonts w:hint="eastAsia"/>
                <w:bCs/>
                <w:color w:val="000000"/>
                <w:sz w:val="24"/>
              </w:rPr>
              <w:t>V1：收集系统范围内发生事故的一个罐组或一套装置的物料量，m</w:t>
            </w:r>
            <w:r>
              <w:rPr>
                <w:rFonts w:hint="eastAsia"/>
                <w:bCs/>
                <w:color w:val="000000"/>
                <w:sz w:val="24"/>
                <w:vertAlign w:val="superscript"/>
              </w:rPr>
              <w:t>3</w:t>
            </w:r>
            <w:r>
              <w:rPr>
                <w:rFonts w:hint="eastAsia"/>
                <w:bCs/>
                <w:color w:val="000000"/>
                <w:sz w:val="24"/>
              </w:rPr>
              <w:t>。项目储罐为双层储罐，并配有24h检测泄漏的自动检测仪，一旦发生事故，能立即检测，不会造成储罐区内油品泄漏。因此发生事故时收集的物料为0。</w:t>
            </w:r>
          </w:p>
          <w:p>
            <w:pPr>
              <w:spacing w:line="360" w:lineRule="auto"/>
              <w:ind w:firstLine="480" w:firstLineChars="200"/>
              <w:rPr>
                <w:bCs/>
                <w:color w:val="000000"/>
                <w:sz w:val="24"/>
              </w:rPr>
            </w:pPr>
            <w:r>
              <w:rPr>
                <w:rFonts w:hint="eastAsia"/>
                <w:bCs/>
                <w:color w:val="000000"/>
                <w:sz w:val="24"/>
              </w:rPr>
              <w:t>V2：发生事故的储罐或装置的消防水量，m</w:t>
            </w:r>
            <w:r>
              <w:rPr>
                <w:rFonts w:hint="eastAsia"/>
                <w:bCs/>
                <w:color w:val="000000"/>
                <w:sz w:val="24"/>
                <w:vertAlign w:val="superscript"/>
              </w:rPr>
              <w:t>3</w:t>
            </w:r>
            <w:r>
              <w:rPr>
                <w:rFonts w:hint="eastAsia"/>
                <w:bCs/>
                <w:color w:val="000000"/>
                <w:sz w:val="24"/>
              </w:rPr>
              <w:t>。根据本项目消防设计，本项目消防采用消防沙和干粉灭火剂，因此无消防废水，消防废水为0。</w:t>
            </w:r>
          </w:p>
          <w:p>
            <w:pPr>
              <w:spacing w:line="360" w:lineRule="auto"/>
              <w:ind w:firstLine="480" w:firstLineChars="200"/>
              <w:rPr>
                <w:bCs/>
                <w:color w:val="000000"/>
                <w:sz w:val="24"/>
              </w:rPr>
            </w:pPr>
            <w:r>
              <w:rPr>
                <w:rFonts w:hint="eastAsia"/>
                <w:bCs/>
                <w:color w:val="000000"/>
                <w:sz w:val="24"/>
              </w:rPr>
              <w:t>V3：发生事故时可以输送到其它储存或处理设施的物料，m</w:t>
            </w:r>
            <w:r>
              <w:rPr>
                <w:rFonts w:hint="eastAsia"/>
                <w:bCs/>
                <w:color w:val="000000"/>
                <w:sz w:val="24"/>
                <w:vertAlign w:val="superscript"/>
              </w:rPr>
              <w:t>3</w:t>
            </w:r>
            <w:r>
              <w:rPr>
                <w:rFonts w:hint="eastAsia"/>
                <w:bCs/>
                <w:color w:val="000000"/>
                <w:sz w:val="24"/>
              </w:rPr>
              <w:t>。不考虑导罐操作，因此进入其它储存或处理设施的物料量为0。</w:t>
            </w:r>
          </w:p>
          <w:p>
            <w:pPr>
              <w:spacing w:line="360" w:lineRule="auto"/>
              <w:ind w:firstLine="480" w:firstLineChars="200"/>
              <w:rPr>
                <w:bCs/>
                <w:color w:val="000000"/>
                <w:sz w:val="24"/>
              </w:rPr>
            </w:pPr>
            <w:r>
              <w:rPr>
                <w:rFonts w:hint="eastAsia"/>
                <w:bCs/>
                <w:color w:val="000000"/>
                <w:sz w:val="24"/>
              </w:rPr>
              <w:t>V4：发生事故时仍必须进入该收集系统的生产废水量，m</w:t>
            </w:r>
            <w:r>
              <w:rPr>
                <w:rFonts w:hint="eastAsia"/>
                <w:bCs/>
                <w:color w:val="000000"/>
                <w:sz w:val="24"/>
                <w:vertAlign w:val="superscript"/>
              </w:rPr>
              <w:t>3</w:t>
            </w:r>
            <w:r>
              <w:rPr>
                <w:rFonts w:hint="eastAsia"/>
                <w:bCs/>
                <w:color w:val="000000"/>
                <w:sz w:val="24"/>
              </w:rPr>
              <w:t>。V4为0。</w:t>
            </w:r>
          </w:p>
          <w:p>
            <w:pPr>
              <w:spacing w:line="360" w:lineRule="auto"/>
              <w:ind w:firstLine="480" w:firstLineChars="200"/>
              <w:rPr>
                <w:bCs/>
                <w:color w:val="000000"/>
                <w:sz w:val="24"/>
              </w:rPr>
            </w:pPr>
            <w:r>
              <w:rPr>
                <w:rFonts w:hint="eastAsia"/>
                <w:bCs/>
                <w:color w:val="000000"/>
                <w:sz w:val="24"/>
              </w:rPr>
              <w:t>V5：发生事故时可能进入该收集系统的降雨量，m</w:t>
            </w:r>
            <w:r>
              <w:rPr>
                <w:rFonts w:hint="eastAsia"/>
                <w:bCs/>
                <w:color w:val="000000"/>
                <w:sz w:val="24"/>
                <w:vertAlign w:val="superscript"/>
              </w:rPr>
              <w:t>3</w:t>
            </w:r>
            <w:r>
              <w:rPr>
                <w:rFonts w:hint="eastAsia"/>
                <w:bCs/>
                <w:color w:val="000000"/>
                <w:sz w:val="24"/>
              </w:rPr>
              <w:t>。本项目设置雨污分流，发生事故时雨水经隔油池处理后排放，V5为0。</w:t>
            </w:r>
          </w:p>
          <w:p>
            <w:pPr>
              <w:spacing w:line="360" w:lineRule="auto"/>
              <w:ind w:firstLine="480" w:firstLineChars="200"/>
              <w:rPr>
                <w:bCs/>
                <w:color w:val="000000"/>
                <w:sz w:val="24"/>
              </w:rPr>
            </w:pPr>
            <w:r>
              <w:rPr>
                <w:rFonts w:hint="eastAsia"/>
                <w:bCs/>
                <w:color w:val="000000"/>
                <w:sz w:val="24"/>
              </w:rPr>
              <w:t>因此本项目无需设置事故池。</w:t>
            </w:r>
          </w:p>
          <w:p>
            <w:pPr>
              <w:spacing w:line="360" w:lineRule="auto"/>
              <w:ind w:firstLine="468" w:firstLineChars="200"/>
              <w:rPr>
                <w:color w:val="000000"/>
                <w:spacing w:val="-3"/>
                <w:sz w:val="24"/>
              </w:rPr>
            </w:pPr>
            <w:r>
              <w:rPr>
                <w:color w:val="000000"/>
                <w:spacing w:val="-3"/>
                <w:sz w:val="24"/>
              </w:rPr>
              <w:t>本设计从建设项目的选址、工艺技术、周边环境关系、安全设施等方面进行了分析和设计，本加油站项目选址合理，与周边设施区域距离符合《汽车加油加气站设计与施工规范》（GB 50156-2012）（2014 年版）等相应要求；工艺技术成熟可靠；消防设施配备健全，安全设施设计合理；总的来说本建设项目安全水平达到国家标准的要求。</w:t>
            </w:r>
          </w:p>
          <w:p>
            <w:pPr>
              <w:spacing w:line="360" w:lineRule="auto"/>
              <w:ind w:firstLine="480" w:firstLineChars="200"/>
              <w:rPr>
                <w:bCs/>
                <w:color w:val="000000"/>
                <w:sz w:val="24"/>
              </w:rPr>
            </w:pPr>
            <w:r>
              <w:rPr>
                <w:bCs/>
                <w:color w:val="000000"/>
                <w:sz w:val="24"/>
              </w:rPr>
              <w:t>7、分析结论</w:t>
            </w:r>
          </w:p>
          <w:p>
            <w:pPr>
              <w:spacing w:line="360" w:lineRule="auto"/>
              <w:ind w:firstLine="480" w:firstLineChars="200"/>
              <w:rPr>
                <w:bCs/>
                <w:color w:val="000000"/>
                <w:sz w:val="24"/>
              </w:rPr>
            </w:pPr>
            <w:r>
              <w:rPr>
                <w:bCs/>
                <w:color w:val="000000"/>
                <w:sz w:val="24"/>
              </w:rPr>
              <w:t>综上所述，本项目风险潜势为I，评价工作等级为简单分析。项目运营期存在一定潜在事故风险，要加强风险管理，在项目建设过程中认真落实各种风险防范措施，通过相应的技术手段降低风险发生概率，并在风险事故发生后，及时采取风险防范措施及应急预案，可以使风险事故对环境的危害得到有效控制，将事故风险控制在可以接受的范围内，故该项目事故风险水平是可以接受的。</w:t>
            </w:r>
          </w:p>
          <w:p>
            <w:pPr>
              <w:spacing w:line="360" w:lineRule="auto"/>
              <w:jc w:val="center"/>
              <w:rPr>
                <w:b/>
                <w:bCs/>
                <w:color w:val="000000"/>
                <w:sz w:val="24"/>
              </w:rPr>
            </w:pPr>
            <w:r>
              <w:rPr>
                <w:b/>
                <w:bCs/>
                <w:color w:val="000000"/>
                <w:sz w:val="24"/>
              </w:rPr>
              <w:t>表4</w:t>
            </w:r>
            <w:r>
              <w:rPr>
                <w:rFonts w:hint="eastAsia"/>
                <w:b/>
                <w:bCs/>
                <w:color w:val="000000"/>
                <w:sz w:val="24"/>
              </w:rPr>
              <w:t>-</w:t>
            </w:r>
            <w:r>
              <w:rPr>
                <w:b/>
                <w:bCs/>
                <w:color w:val="000000"/>
                <w:sz w:val="24"/>
              </w:rPr>
              <w:t>1</w:t>
            </w:r>
            <w:r>
              <w:rPr>
                <w:rFonts w:hint="eastAsia"/>
                <w:b/>
                <w:bCs/>
                <w:color w:val="000000"/>
                <w:sz w:val="24"/>
              </w:rPr>
              <w:t>9</w:t>
            </w:r>
            <w:r>
              <w:rPr>
                <w:b/>
                <w:bCs/>
                <w:color w:val="000000"/>
                <w:sz w:val="24"/>
              </w:rPr>
              <w:t xml:space="preserve">  项目环境风险简单分析内容表</w:t>
            </w:r>
          </w:p>
          <w:tbl>
            <w:tblPr>
              <w:tblStyle w:val="23"/>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40"/>
              <w:gridCol w:w="1647"/>
              <w:gridCol w:w="1323"/>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建设项目名称</w:t>
                  </w:r>
                </w:p>
              </w:tc>
              <w:tc>
                <w:tcPr>
                  <w:tcW w:w="6357" w:type="dxa"/>
                  <w:gridSpan w:val="4"/>
                  <w:tcBorders>
                    <w:left w:val="single" w:color="auto" w:sz="4" w:space="0"/>
                    <w:bottom w:val="single" w:color="auto" w:sz="4" w:space="0"/>
                  </w:tcBorders>
                  <w:vAlign w:val="center"/>
                </w:tcPr>
                <w:p>
                  <w:pPr>
                    <w:adjustRightInd w:val="0"/>
                    <w:snapToGrid w:val="0"/>
                    <w:jc w:val="center"/>
                    <w:rPr>
                      <w:color w:val="000000"/>
                      <w:szCs w:val="21"/>
                    </w:rPr>
                  </w:pPr>
                  <w:r>
                    <w:rPr>
                      <w:color w:val="000000"/>
                      <w:szCs w:val="21"/>
                    </w:rPr>
                    <w:t>泗县吉顺驾校内部自备撬装加油装置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建设地点</w:t>
                  </w:r>
                </w:p>
              </w:tc>
              <w:tc>
                <w:tcPr>
                  <w:tcW w:w="6357" w:type="dxa"/>
                  <w:gridSpan w:val="4"/>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color w:val="000000"/>
                      <w:szCs w:val="21"/>
                    </w:rPr>
                    <w:t>安徽省宿州市泗县泗城镇新型工业园区</w:t>
                  </w:r>
                  <w:r>
                    <w:rPr>
                      <w:rFonts w:hint="eastAsia"/>
                      <w:color w:val="000000"/>
                      <w:szCs w:val="21"/>
                    </w:rPr>
                    <w:t>吉顺驾校内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地理坐标</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经度</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117.</w:t>
                  </w:r>
                  <w:r>
                    <w:rPr>
                      <w:rFonts w:hint="eastAsia"/>
                      <w:color w:val="000000"/>
                      <w:szCs w:val="21"/>
                    </w:rPr>
                    <w:t>870760252</w:t>
                  </w:r>
                  <w:r>
                    <w:rPr>
                      <w:color w:val="000000"/>
                      <w:szCs w:val="21"/>
                    </w:rPr>
                    <w:t>°</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纬度</w:t>
                  </w:r>
                </w:p>
              </w:tc>
              <w:tc>
                <w:tcPr>
                  <w:tcW w:w="2647" w:type="dxa"/>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color w:val="000000"/>
                      <w:szCs w:val="21"/>
                    </w:rPr>
                    <w:t>33.</w:t>
                  </w:r>
                  <w:r>
                    <w:rPr>
                      <w:rFonts w:hint="eastAsia"/>
                      <w:color w:val="000000"/>
                      <w:szCs w:val="21"/>
                    </w:rPr>
                    <w:t>465837286</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主要危险物质及分布</w:t>
                  </w:r>
                </w:p>
              </w:tc>
              <w:tc>
                <w:tcPr>
                  <w:tcW w:w="6357" w:type="dxa"/>
                  <w:gridSpan w:val="4"/>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1</w:t>
                  </w:r>
                  <w:r>
                    <w:rPr>
                      <w:color w:val="000000"/>
                      <w:szCs w:val="21"/>
                    </w:rPr>
                    <w:t>个</w:t>
                  </w:r>
                  <w:r>
                    <w:rPr>
                      <w:rFonts w:hint="eastAsia"/>
                      <w:color w:val="000000"/>
                      <w:szCs w:val="21"/>
                    </w:rPr>
                    <w:t>5</w:t>
                  </w:r>
                  <w:r>
                    <w:rPr>
                      <w:color w:val="000000"/>
                      <w:szCs w:val="21"/>
                    </w:rPr>
                    <w:t>0m</w:t>
                  </w:r>
                  <w:r>
                    <w:rPr>
                      <w:color w:val="000000"/>
                      <w:szCs w:val="21"/>
                      <w:vertAlign w:val="superscript"/>
                    </w:rPr>
                    <w:t>3</w:t>
                  </w:r>
                  <w:r>
                    <w:rPr>
                      <w:color w:val="000000"/>
                      <w:szCs w:val="21"/>
                    </w:rPr>
                    <w:t>撬装加油装置储罐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环境影响途径及危害后果</w:t>
                  </w:r>
                </w:p>
              </w:tc>
              <w:tc>
                <w:tcPr>
                  <w:tcW w:w="6357" w:type="dxa"/>
                  <w:gridSpan w:val="4"/>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color w:val="000000"/>
                      <w:szCs w:val="21"/>
                    </w:rPr>
                    <w:t>（1）火灾、爆炸产生的烟气逸散到大气对环境造成影响；</w:t>
                  </w:r>
                </w:p>
                <w:p>
                  <w:pPr>
                    <w:adjustRightInd w:val="0"/>
                    <w:snapToGrid w:val="0"/>
                    <w:jc w:val="center"/>
                    <w:rPr>
                      <w:color w:val="000000"/>
                      <w:szCs w:val="21"/>
                    </w:rPr>
                  </w:pPr>
                  <w:r>
                    <w:rPr>
                      <w:color w:val="000000"/>
                      <w:szCs w:val="21"/>
                    </w:rPr>
                    <w:t>（2）油罐泄露后可能污染地下水和土壤；</w:t>
                  </w:r>
                </w:p>
                <w:p>
                  <w:pPr>
                    <w:adjustRightInd w:val="0"/>
                    <w:snapToGrid w:val="0"/>
                    <w:jc w:val="center"/>
                    <w:rPr>
                      <w:color w:val="000000"/>
                      <w:szCs w:val="21"/>
                    </w:rPr>
                  </w:pPr>
                  <w:r>
                    <w:rPr>
                      <w:color w:val="000000"/>
                      <w:szCs w:val="21"/>
                    </w:rPr>
                    <w:t>（3）消防废水未能收集后可能污染地表水和地下水。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风险防范措施要求</w:t>
                  </w:r>
                </w:p>
              </w:tc>
              <w:tc>
                <w:tcPr>
                  <w:tcW w:w="6357" w:type="dxa"/>
                  <w:gridSpan w:val="4"/>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①</w:t>
                  </w:r>
                  <w:r>
                    <w:rPr>
                      <w:color w:val="000000"/>
                      <w:szCs w:val="21"/>
                    </w:rPr>
                    <w:t>制定严格的生产操作规程，加强作业工人的安全教育，杜绝工作失误造成的事故。</w:t>
                  </w:r>
                </w:p>
                <w:p>
                  <w:pPr>
                    <w:adjustRightInd w:val="0"/>
                    <w:snapToGrid w:val="0"/>
                    <w:jc w:val="center"/>
                    <w:rPr>
                      <w:color w:val="000000"/>
                      <w:szCs w:val="21"/>
                    </w:rPr>
                  </w:pPr>
                  <w:r>
                    <w:rPr>
                      <w:rFonts w:hint="eastAsia"/>
                      <w:color w:val="000000"/>
                      <w:szCs w:val="21"/>
                    </w:rPr>
                    <w:t>②</w:t>
                  </w:r>
                  <w:r>
                    <w:rPr>
                      <w:color w:val="000000"/>
                      <w:szCs w:val="21"/>
                    </w:rPr>
                    <w:t>在厂房及项目进入口的明显位置张贴禁用明火的告示，车间内合理配置移动式式泡沫灭火器。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tcBorders>
                    <w:top w:val="single" w:color="auto" w:sz="4" w:space="0"/>
                    <w:right w:val="single" w:color="auto" w:sz="4" w:space="0"/>
                  </w:tcBorders>
                  <w:vAlign w:val="center"/>
                </w:tcPr>
                <w:p>
                  <w:pPr>
                    <w:adjustRightInd w:val="0"/>
                    <w:snapToGrid w:val="0"/>
                    <w:jc w:val="center"/>
                    <w:rPr>
                      <w:b/>
                      <w:bCs/>
                      <w:color w:val="000000"/>
                      <w:szCs w:val="21"/>
                    </w:rPr>
                  </w:pPr>
                  <w:r>
                    <w:rPr>
                      <w:b/>
                      <w:bCs/>
                      <w:color w:val="000000"/>
                      <w:szCs w:val="21"/>
                    </w:rPr>
                    <w:t>填表说明</w:t>
                  </w:r>
                </w:p>
              </w:tc>
              <w:tc>
                <w:tcPr>
                  <w:tcW w:w="6357" w:type="dxa"/>
                  <w:gridSpan w:val="4"/>
                  <w:tcBorders>
                    <w:top w:val="single" w:color="auto" w:sz="4" w:space="0"/>
                    <w:left w:val="single" w:color="auto" w:sz="4" w:space="0"/>
                  </w:tcBorders>
                  <w:vAlign w:val="center"/>
                </w:tcPr>
                <w:p>
                  <w:pPr>
                    <w:adjustRightInd w:val="0"/>
                    <w:snapToGrid w:val="0"/>
                    <w:jc w:val="center"/>
                    <w:rPr>
                      <w:color w:val="000000"/>
                      <w:szCs w:val="21"/>
                    </w:rPr>
                  </w:pPr>
                  <w:r>
                    <w:rPr>
                      <w:color w:val="000000"/>
                      <w:szCs w:val="21"/>
                    </w:rPr>
                    <w:t>本项目环境风险潜势为I，通过采取相应的风险防范措施，项目的环境风险可控。一旦发生事故，建设单位应立即执行事故应急预案，采取合理的事故应急处理措施，将事故影响降到最低限度。</w:t>
                  </w:r>
                </w:p>
              </w:tc>
            </w:tr>
          </w:tbl>
          <w:p>
            <w:pPr>
              <w:adjustRightInd w:val="0"/>
              <w:snapToGrid w:val="0"/>
              <w:spacing w:line="360" w:lineRule="auto"/>
              <w:ind w:firstLine="482" w:firstLineChars="200"/>
              <w:rPr>
                <w:b/>
                <w:color w:val="000000"/>
                <w:sz w:val="24"/>
              </w:rPr>
            </w:pPr>
            <w:r>
              <w:rPr>
                <w:rFonts w:hint="eastAsia"/>
                <w:b/>
                <w:color w:val="000000"/>
                <w:sz w:val="24"/>
              </w:rPr>
              <w:t>八</w:t>
            </w:r>
            <w:r>
              <w:rPr>
                <w:b/>
                <w:color w:val="000000"/>
                <w:sz w:val="24"/>
              </w:rPr>
              <w:t>、电磁辐射</w:t>
            </w:r>
          </w:p>
          <w:p>
            <w:pPr>
              <w:autoSpaceDE w:val="0"/>
              <w:autoSpaceDN w:val="0"/>
              <w:adjustRightInd w:val="0"/>
              <w:spacing w:line="360" w:lineRule="auto"/>
              <w:ind w:firstLine="480" w:firstLineChars="200"/>
              <w:rPr>
                <w:bCs/>
                <w:color w:val="000000"/>
                <w:sz w:val="24"/>
              </w:rPr>
            </w:pPr>
            <w:r>
              <w:rPr>
                <w:bCs/>
                <w:color w:val="000000"/>
                <w:sz w:val="24"/>
              </w:rPr>
              <w:t>本项目不涉及电磁辐射，故不对该部分内容进行分析。</w:t>
            </w:r>
          </w:p>
          <w:p>
            <w:pPr>
              <w:autoSpaceDE w:val="0"/>
              <w:autoSpaceDN w:val="0"/>
              <w:adjustRightInd w:val="0"/>
              <w:spacing w:line="360" w:lineRule="auto"/>
              <w:ind w:firstLine="482" w:firstLineChars="200"/>
              <w:rPr>
                <w:b/>
                <w:color w:val="000000"/>
                <w:kern w:val="0"/>
                <w:sz w:val="24"/>
              </w:rPr>
            </w:pPr>
            <w:r>
              <w:rPr>
                <w:rFonts w:hint="eastAsia"/>
                <w:b/>
                <w:color w:val="000000"/>
                <w:sz w:val="24"/>
              </w:rPr>
              <w:t>九</w:t>
            </w:r>
            <w:r>
              <w:rPr>
                <w:rFonts w:hint="eastAsia"/>
                <w:b/>
                <w:color w:val="000000"/>
                <w:kern w:val="0"/>
                <w:sz w:val="24"/>
                <w:lang w:bidi="ar"/>
              </w:rPr>
              <w:t>、</w:t>
            </w:r>
            <w:r>
              <w:rPr>
                <w:b/>
                <w:color w:val="000000"/>
                <w:kern w:val="0"/>
                <w:sz w:val="24"/>
                <w:lang w:bidi="ar"/>
              </w:rPr>
              <w:t>环境监测计划</w:t>
            </w:r>
          </w:p>
          <w:p>
            <w:pPr>
              <w:autoSpaceDE w:val="0"/>
              <w:autoSpaceDN w:val="0"/>
              <w:adjustRightInd w:val="0"/>
              <w:spacing w:line="360" w:lineRule="auto"/>
              <w:ind w:firstLine="480" w:firstLineChars="200"/>
              <w:rPr>
                <w:color w:val="000000"/>
                <w:kern w:val="0"/>
                <w:sz w:val="24"/>
              </w:rPr>
            </w:pPr>
            <w:r>
              <w:rPr>
                <w:color w:val="000000"/>
                <w:kern w:val="0"/>
                <w:sz w:val="24"/>
                <w:lang w:bidi="ar"/>
              </w:rPr>
              <w:t>根据《排污单位自行监测技术指南 总则》（HJ819-2017）</w:t>
            </w:r>
            <w:r>
              <w:rPr>
                <w:rFonts w:hint="eastAsia"/>
                <w:color w:val="000000"/>
                <w:kern w:val="0"/>
                <w:sz w:val="24"/>
                <w:lang w:bidi="ar"/>
              </w:rPr>
              <w:t>和</w:t>
            </w:r>
            <w:r>
              <w:rPr>
                <w:color w:val="000000"/>
                <w:kern w:val="0"/>
                <w:sz w:val="24"/>
                <w:lang w:bidi="ar"/>
              </w:rPr>
              <w:t>《</w:t>
            </w:r>
            <w:r>
              <w:rPr>
                <w:rFonts w:hint="eastAsia"/>
                <w:color w:val="000000"/>
                <w:kern w:val="0"/>
                <w:sz w:val="24"/>
                <w:lang w:bidi="ar"/>
              </w:rPr>
              <w:t>排污许可证申请与核发技术规范储油库、加油站</w:t>
            </w:r>
            <w:r>
              <w:rPr>
                <w:color w:val="000000"/>
                <w:kern w:val="0"/>
                <w:sz w:val="24"/>
                <w:lang w:bidi="ar"/>
              </w:rPr>
              <w:t>》（HJ 1118-2020）中相关要求，项目在投入运行后，需定期对项目污染源及周边环境开展监测活动，具体如下所示。</w:t>
            </w:r>
          </w:p>
          <w:p>
            <w:pPr>
              <w:autoSpaceDE w:val="0"/>
              <w:autoSpaceDN w:val="0"/>
              <w:adjustRightInd w:val="0"/>
              <w:jc w:val="center"/>
              <w:rPr>
                <w:b/>
                <w:color w:val="000000"/>
                <w:kern w:val="0"/>
                <w:sz w:val="24"/>
              </w:rPr>
            </w:pPr>
            <w:r>
              <w:rPr>
                <w:b/>
                <w:color w:val="000000"/>
                <w:kern w:val="0"/>
                <w:sz w:val="24"/>
                <w:lang w:bidi="ar"/>
              </w:rPr>
              <w:t>表4</w:t>
            </w:r>
            <w:r>
              <w:rPr>
                <w:rFonts w:hint="eastAsia"/>
                <w:b/>
                <w:color w:val="000000"/>
                <w:kern w:val="0"/>
                <w:sz w:val="24"/>
                <w:lang w:bidi="ar"/>
              </w:rPr>
              <w:t>-20</w:t>
            </w:r>
            <w:r>
              <w:rPr>
                <w:b/>
                <w:color w:val="000000"/>
                <w:kern w:val="0"/>
                <w:sz w:val="24"/>
                <w:lang w:bidi="ar"/>
              </w:rPr>
              <w:t xml:space="preserve">  项目污染源监测计划</w:t>
            </w:r>
          </w:p>
          <w:tbl>
            <w:tblPr>
              <w:tblStyle w:val="23"/>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2"/>
              <w:gridCol w:w="1374"/>
              <w:gridCol w:w="1570"/>
              <w:gridCol w:w="143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92" w:type="dxa"/>
                  <w:tcBorders>
                    <w:top w:val="single" w:color="auto" w:sz="4" w:space="0"/>
                    <w:left w:val="single" w:color="auto" w:sz="4" w:space="0"/>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类别</w:t>
                  </w:r>
                </w:p>
              </w:tc>
              <w:tc>
                <w:tcPr>
                  <w:tcW w:w="1374"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监测地点</w:t>
                  </w:r>
                </w:p>
              </w:tc>
              <w:tc>
                <w:tcPr>
                  <w:tcW w:w="157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监测项目</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监测频率</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监测时间</w:t>
                  </w:r>
                </w:p>
              </w:tc>
              <w:tc>
                <w:tcPr>
                  <w:tcW w:w="1418"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92" w:type="dxa"/>
                  <w:vMerge w:val="restart"/>
                  <w:tcBorders>
                    <w:top w:val="nil"/>
                    <w:left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废气</w:t>
                  </w:r>
                </w:p>
              </w:tc>
              <w:tc>
                <w:tcPr>
                  <w:tcW w:w="1374"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lang w:bidi="ar"/>
                    </w:rPr>
                  </w:pPr>
                  <w:r>
                    <w:rPr>
                      <w:rFonts w:hint="eastAsia"/>
                      <w:color w:val="000000"/>
                      <w:szCs w:val="21"/>
                      <w:lang w:bidi="ar"/>
                    </w:rPr>
                    <w:t>厂界</w:t>
                  </w:r>
                </w:p>
              </w:tc>
              <w:tc>
                <w:tcPr>
                  <w:tcW w:w="157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lang w:bidi="ar"/>
                    </w:rPr>
                  </w:pPr>
                  <w:r>
                    <w:rPr>
                      <w:rFonts w:ascii="Times New Roman" w:hAnsi="Times New Roman"/>
                      <w:color w:val="000000"/>
                      <w:lang w:bidi="ar"/>
                    </w:rPr>
                    <w:t>非甲烷总烃</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每年一次</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2天</w:t>
                  </w:r>
                </w:p>
              </w:tc>
              <w:tc>
                <w:tcPr>
                  <w:tcW w:w="1418" w:type="dxa"/>
                  <w:vMerge w:val="restart"/>
                  <w:tcBorders>
                    <w:top w:val="nil"/>
                    <w:left w:val="nil"/>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92" w:type="dxa"/>
                  <w:vMerge w:val="continue"/>
                  <w:tcBorders>
                    <w:left w:val="single" w:color="auto" w:sz="4" w:space="0"/>
                    <w:bottom w:val="single" w:color="auto" w:sz="4" w:space="0"/>
                    <w:right w:val="single" w:color="auto" w:sz="4" w:space="0"/>
                  </w:tcBorders>
                  <w:vAlign w:val="center"/>
                </w:tcPr>
                <w:p>
                  <w:pPr>
                    <w:pStyle w:val="55"/>
                    <w:widowControl/>
                    <w:jc w:val="center"/>
                    <w:rPr>
                      <w:rFonts w:hint="default" w:ascii="Times New Roman" w:hAnsi="Times New Roman"/>
                      <w:color w:val="000000"/>
                    </w:rPr>
                  </w:pPr>
                </w:p>
              </w:tc>
              <w:tc>
                <w:tcPr>
                  <w:tcW w:w="1374" w:type="dxa"/>
                  <w:tcBorders>
                    <w:top w:val="single" w:color="auto" w:sz="4" w:space="0"/>
                    <w:left w:val="nil"/>
                    <w:bottom w:val="single" w:color="auto" w:sz="4" w:space="0"/>
                    <w:right w:val="single" w:color="auto" w:sz="4" w:space="0"/>
                  </w:tcBorders>
                  <w:vAlign w:val="center"/>
                </w:tcPr>
                <w:p>
                  <w:pPr>
                    <w:pStyle w:val="56"/>
                    <w:spacing w:line="240" w:lineRule="auto"/>
                    <w:ind w:firstLine="0" w:firstLineChars="0"/>
                    <w:jc w:val="center"/>
                    <w:rPr>
                      <w:color w:val="000000"/>
                      <w:sz w:val="21"/>
                      <w:szCs w:val="21"/>
                      <w:lang w:bidi="ar"/>
                    </w:rPr>
                  </w:pPr>
                  <w:r>
                    <w:rPr>
                      <w:rFonts w:hint="eastAsia"/>
                      <w:color w:val="000000"/>
                      <w:sz w:val="21"/>
                      <w:szCs w:val="21"/>
                      <w:lang w:bidi="ar"/>
                    </w:rPr>
                    <w:t>油气回收系统</w:t>
                  </w:r>
                </w:p>
              </w:tc>
              <w:tc>
                <w:tcPr>
                  <w:tcW w:w="1570" w:type="dxa"/>
                  <w:tcBorders>
                    <w:top w:val="single" w:color="auto" w:sz="4" w:space="0"/>
                    <w:left w:val="nil"/>
                    <w:bottom w:val="single" w:color="auto" w:sz="4" w:space="0"/>
                    <w:right w:val="single" w:color="auto" w:sz="4" w:space="0"/>
                  </w:tcBorders>
                  <w:vAlign w:val="center"/>
                </w:tcPr>
                <w:p>
                  <w:pPr>
                    <w:pStyle w:val="55"/>
                    <w:widowControl/>
                    <w:rPr>
                      <w:rFonts w:hint="default" w:ascii="Times New Roman" w:hAnsi="Times New Roman"/>
                      <w:color w:val="000000"/>
                    </w:rPr>
                  </w:pPr>
                  <w:r>
                    <w:rPr>
                      <w:rFonts w:hint="default" w:ascii="Times New Roman" w:hAnsi="Times New Roman"/>
                      <w:color w:val="000000"/>
                    </w:rPr>
                    <w:t>液阻</w:t>
                  </w:r>
                  <w:r>
                    <w:rPr>
                      <w:rFonts w:ascii="Times New Roman" w:hAnsi="Times New Roman"/>
                      <w:color w:val="000000"/>
                    </w:rPr>
                    <w:t>、</w:t>
                  </w:r>
                  <w:r>
                    <w:rPr>
                      <w:rFonts w:hint="default" w:ascii="Times New Roman" w:hAnsi="Times New Roman"/>
                      <w:color w:val="000000"/>
                    </w:rPr>
                    <w:t>密闭性</w:t>
                  </w:r>
                  <w:r>
                    <w:rPr>
                      <w:rFonts w:ascii="Times New Roman" w:hAnsi="Times New Roman"/>
                      <w:color w:val="000000"/>
                    </w:rPr>
                    <w:t>、</w:t>
                  </w:r>
                </w:p>
                <w:p>
                  <w:pPr>
                    <w:pStyle w:val="55"/>
                    <w:widowControl/>
                    <w:jc w:val="center"/>
                    <w:rPr>
                      <w:rFonts w:hint="default" w:ascii="Times New Roman" w:hAnsi="Times New Roman"/>
                      <w:color w:val="000000"/>
                    </w:rPr>
                  </w:pPr>
                  <w:r>
                    <w:rPr>
                      <w:rFonts w:hint="default" w:ascii="Times New Roman" w:hAnsi="Times New Roman"/>
                      <w:color w:val="000000"/>
                    </w:rPr>
                    <w:t>气液比</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每年一次</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2天</w:t>
                  </w:r>
                </w:p>
              </w:tc>
              <w:tc>
                <w:tcPr>
                  <w:tcW w:w="1418" w:type="dxa"/>
                  <w:vMerge w:val="continue"/>
                  <w:tcBorders>
                    <w:left w:val="nil"/>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92" w:type="dxa"/>
                  <w:tcBorders>
                    <w:top w:val="single" w:color="auto" w:sz="4" w:space="0"/>
                    <w:left w:val="single" w:color="auto" w:sz="4" w:space="0"/>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噪声</w:t>
                  </w:r>
                </w:p>
              </w:tc>
              <w:tc>
                <w:tcPr>
                  <w:tcW w:w="1374"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厂界</w:t>
                  </w:r>
                </w:p>
              </w:tc>
              <w:tc>
                <w:tcPr>
                  <w:tcW w:w="157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等效连续A声级</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每季度一次</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1天</w:t>
                  </w:r>
                </w:p>
              </w:tc>
              <w:tc>
                <w:tcPr>
                  <w:tcW w:w="1418" w:type="dxa"/>
                  <w:vMerge w:val="continue"/>
                  <w:tcBorders>
                    <w:left w:val="nil"/>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92" w:type="dxa"/>
                  <w:tcBorders>
                    <w:top w:val="single" w:color="auto" w:sz="4" w:space="0"/>
                    <w:left w:val="single" w:color="auto" w:sz="4" w:space="0"/>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废水</w:t>
                  </w:r>
                </w:p>
              </w:tc>
              <w:tc>
                <w:tcPr>
                  <w:tcW w:w="1374"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废水总排放口</w:t>
                  </w:r>
                </w:p>
              </w:tc>
              <w:tc>
                <w:tcPr>
                  <w:tcW w:w="157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C</w:t>
                  </w:r>
                  <w:r>
                    <w:rPr>
                      <w:rFonts w:hint="default" w:ascii="Times New Roman" w:hAnsi="Times New Roman"/>
                      <w:color w:val="000000"/>
                    </w:rPr>
                    <w:t>OD</w:t>
                  </w:r>
                  <w:r>
                    <w:rPr>
                      <w:rFonts w:ascii="Times New Roman" w:hAnsi="Times New Roman"/>
                      <w:color w:val="000000"/>
                    </w:rPr>
                    <w:t>、氨氮、S</w:t>
                  </w:r>
                  <w:r>
                    <w:rPr>
                      <w:rFonts w:hint="default" w:ascii="Times New Roman" w:hAnsi="Times New Roman"/>
                      <w:color w:val="000000"/>
                    </w:rPr>
                    <w:t>S</w:t>
                  </w:r>
                  <w:r>
                    <w:rPr>
                      <w:rFonts w:ascii="Times New Roman" w:hAnsi="Times New Roman"/>
                      <w:color w:val="000000"/>
                    </w:rPr>
                    <w:t>、石油类、B</w:t>
                  </w:r>
                  <w:r>
                    <w:rPr>
                      <w:rFonts w:hint="default" w:ascii="Times New Roman" w:hAnsi="Times New Roman"/>
                      <w:color w:val="000000"/>
                    </w:rPr>
                    <w:t>OD</w:t>
                  </w:r>
                  <w:r>
                    <w:rPr>
                      <w:rFonts w:hint="default" w:ascii="Times New Roman" w:hAnsi="Times New Roman"/>
                      <w:color w:val="000000"/>
                      <w:vertAlign w:val="subscript"/>
                    </w:rPr>
                    <w:t>5</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每年一次</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2天</w:t>
                  </w:r>
                </w:p>
              </w:tc>
              <w:tc>
                <w:tcPr>
                  <w:tcW w:w="1418" w:type="dxa"/>
                  <w:vMerge w:val="continue"/>
                  <w:tcBorders>
                    <w:left w:val="nil"/>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4" w:hRule="atLeast"/>
              </w:trPr>
              <w:tc>
                <w:tcPr>
                  <w:tcW w:w="892" w:type="dxa"/>
                  <w:tcBorders>
                    <w:top w:val="single" w:color="auto" w:sz="4" w:space="0"/>
                    <w:left w:val="single" w:color="auto" w:sz="4" w:space="0"/>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地下水</w:t>
                  </w:r>
                </w:p>
              </w:tc>
              <w:tc>
                <w:tcPr>
                  <w:tcW w:w="1374"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地下水监测井</w:t>
                  </w:r>
                </w:p>
              </w:tc>
              <w:tc>
                <w:tcPr>
                  <w:tcW w:w="157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挥发性有机物（萘、苯、甲苯、乙苯、邻二甲苯、间（对）二甲苯、甲基叔丁基醚）</w:t>
                  </w:r>
                </w:p>
              </w:tc>
              <w:tc>
                <w:tcPr>
                  <w:tcW w:w="1430"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hint="default" w:ascii="Times New Roman" w:hAnsi="Times New Roman"/>
                      <w:color w:val="000000"/>
                    </w:rPr>
                    <w:t>每</w:t>
                  </w:r>
                  <w:r>
                    <w:rPr>
                      <w:rFonts w:ascii="Times New Roman" w:hAnsi="Times New Roman"/>
                      <w:color w:val="000000"/>
                    </w:rPr>
                    <w:t>季度</w:t>
                  </w:r>
                  <w:r>
                    <w:rPr>
                      <w:rFonts w:hint="default" w:ascii="Times New Roman" w:hAnsi="Times New Roman"/>
                      <w:color w:val="000000"/>
                    </w:rPr>
                    <w:t>一次</w:t>
                  </w:r>
                </w:p>
              </w:tc>
              <w:tc>
                <w:tcPr>
                  <w:tcW w:w="1275" w:type="dxa"/>
                  <w:tcBorders>
                    <w:top w:val="single" w:color="auto" w:sz="4" w:space="0"/>
                    <w:left w:val="nil"/>
                    <w:bottom w:val="single" w:color="auto" w:sz="4" w:space="0"/>
                    <w:right w:val="single" w:color="auto" w:sz="4" w:space="0"/>
                  </w:tcBorders>
                  <w:vAlign w:val="center"/>
                </w:tcPr>
                <w:p>
                  <w:pPr>
                    <w:pStyle w:val="55"/>
                    <w:widowControl/>
                    <w:jc w:val="center"/>
                    <w:rPr>
                      <w:rFonts w:hint="default" w:ascii="Times New Roman" w:hAnsi="Times New Roman"/>
                      <w:color w:val="000000"/>
                    </w:rPr>
                  </w:pPr>
                  <w:r>
                    <w:rPr>
                      <w:rFonts w:ascii="Times New Roman" w:hAnsi="Times New Roman"/>
                      <w:color w:val="000000"/>
                    </w:rPr>
                    <w:t>1天</w:t>
                  </w:r>
                </w:p>
              </w:tc>
              <w:tc>
                <w:tcPr>
                  <w:tcW w:w="1418" w:type="dxa"/>
                  <w:vMerge w:val="continue"/>
                  <w:tcBorders>
                    <w:left w:val="nil"/>
                    <w:bottom w:val="single" w:color="auto" w:sz="4" w:space="0"/>
                    <w:right w:val="single" w:color="auto" w:sz="4" w:space="0"/>
                  </w:tcBorders>
                  <w:vAlign w:val="center"/>
                </w:tcPr>
                <w:p>
                  <w:pPr>
                    <w:rPr>
                      <w:color w:val="000000"/>
                      <w:sz w:val="20"/>
                      <w:szCs w:val="20"/>
                    </w:rPr>
                  </w:pPr>
                </w:p>
              </w:tc>
            </w:tr>
          </w:tbl>
          <w:p>
            <w:pPr>
              <w:pStyle w:val="2"/>
              <w:numPr>
                <w:ilvl w:val="0"/>
                <w:numId w:val="0"/>
              </w:numPr>
              <w:rPr>
                <w:color w:val="000000"/>
              </w:rPr>
            </w:pPr>
          </w:p>
          <w:p>
            <w:pPr>
              <w:pStyle w:val="2"/>
              <w:numPr>
                <w:ilvl w:val="0"/>
                <w:numId w:val="0"/>
              </w:numPr>
              <w:ind w:left="1701"/>
              <w:rPr>
                <w:color w:val="000000"/>
              </w:rPr>
            </w:pPr>
          </w:p>
          <w:p>
            <w:pPr>
              <w:pStyle w:val="2"/>
              <w:numPr>
                <w:ilvl w:val="0"/>
                <w:numId w:val="0"/>
              </w:numPr>
              <w:ind w:left="1701"/>
              <w:rPr>
                <w:color w:val="000000"/>
              </w:rPr>
            </w:pPr>
          </w:p>
          <w:p>
            <w:pPr>
              <w:pStyle w:val="2"/>
              <w:numPr>
                <w:ilvl w:val="0"/>
                <w:numId w:val="0"/>
              </w:numPr>
              <w:rPr>
                <w:color w:val="000000"/>
              </w:rPr>
            </w:pPr>
          </w:p>
          <w:p>
            <w:pPr>
              <w:pStyle w:val="2"/>
              <w:numPr>
                <w:ilvl w:val="0"/>
                <w:numId w:val="0"/>
              </w:numPr>
              <w:ind w:left="1701"/>
              <w:rPr>
                <w:color w:val="000000"/>
              </w:rPr>
            </w:pPr>
          </w:p>
          <w:p>
            <w:pPr>
              <w:pStyle w:val="2"/>
              <w:numPr>
                <w:ilvl w:val="0"/>
                <w:numId w:val="0"/>
              </w:numPr>
              <w:rPr>
                <w:color w:val="000000"/>
              </w:rPr>
            </w:pPr>
          </w:p>
        </w:tc>
      </w:tr>
    </w:tbl>
    <w:p>
      <w:pPr>
        <w:adjustRightInd w:val="0"/>
        <w:snapToGrid w:val="0"/>
        <w:spacing w:line="360" w:lineRule="auto"/>
        <w:rPr>
          <w:b/>
          <w:color w:val="000000"/>
          <w:kern w:val="0"/>
          <w:sz w:val="28"/>
          <w:szCs w:val="28"/>
        </w:rPr>
        <w:sectPr>
          <w:pgSz w:w="11907" w:h="16840"/>
          <w:pgMar w:top="1701" w:right="1531" w:bottom="2127" w:left="1531" w:header="851" w:footer="851" w:gutter="0"/>
          <w:cols w:space="720" w:num="1"/>
          <w:docGrid w:linePitch="312" w:charSpace="0"/>
        </w:sectPr>
      </w:pPr>
    </w:p>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sz w:val="30"/>
          <w:szCs w:val="30"/>
        </w:rPr>
        <w:t>五、</w:t>
      </w:r>
      <w:bookmarkStart w:id="4" w:name="_Hlk54167917"/>
      <w:r>
        <w:rPr>
          <w:rFonts w:ascii="Times New Roman" w:hAnsi="Times New Roman"/>
          <w:snapToGrid w:val="0"/>
          <w:color w:val="000000"/>
          <w:sz w:val="30"/>
          <w:szCs w:val="30"/>
        </w:rPr>
        <w:t>环境保护措施监督检查清单</w:t>
      </w:r>
      <w:bookmarkEnd w:id="4"/>
    </w:p>
    <w:tbl>
      <w:tblPr>
        <w:tblStyle w:val="23"/>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674"/>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color w:val="000000"/>
                <w:sz w:val="24"/>
              </w:rPr>
            </w:pPr>
            <w:r>
              <w:rPr>
                <w:color w:val="000000"/>
                <w:sz w:val="24"/>
              </w:rPr>
              <w:t>内容</w:t>
            </w:r>
          </w:p>
          <w:p>
            <w:pPr>
              <w:adjustRightInd w:val="0"/>
              <w:snapToGrid w:val="0"/>
              <w:rPr>
                <w:color w:val="000000"/>
                <w:sz w:val="24"/>
              </w:rPr>
            </w:pPr>
            <w:r>
              <w:rPr>
                <w:color w:val="000000"/>
                <w:sz w:val="24"/>
              </w:rPr>
              <w:t>要素</w:t>
            </w:r>
          </w:p>
        </w:tc>
        <w:tc>
          <w:tcPr>
            <w:tcW w:w="1755" w:type="dxa"/>
            <w:vAlign w:val="center"/>
          </w:tcPr>
          <w:p>
            <w:pPr>
              <w:adjustRightInd w:val="0"/>
              <w:snapToGrid w:val="0"/>
              <w:jc w:val="center"/>
              <w:rPr>
                <w:color w:val="000000"/>
                <w:sz w:val="24"/>
              </w:rPr>
            </w:pPr>
            <w:r>
              <w:rPr>
                <w:color w:val="000000"/>
                <w:sz w:val="24"/>
              </w:rPr>
              <w:t>排放口(编号、</w:t>
            </w:r>
          </w:p>
          <w:p>
            <w:pPr>
              <w:adjustRightInd w:val="0"/>
              <w:snapToGrid w:val="0"/>
              <w:jc w:val="center"/>
              <w:rPr>
                <w:color w:val="000000"/>
                <w:sz w:val="24"/>
              </w:rPr>
            </w:pPr>
            <w:r>
              <w:rPr>
                <w:color w:val="000000"/>
                <w:sz w:val="24"/>
              </w:rPr>
              <w:t>名称)/污染源</w:t>
            </w:r>
          </w:p>
        </w:tc>
        <w:tc>
          <w:tcPr>
            <w:tcW w:w="1755" w:type="dxa"/>
            <w:vAlign w:val="center"/>
          </w:tcPr>
          <w:p>
            <w:pPr>
              <w:adjustRightInd w:val="0"/>
              <w:snapToGrid w:val="0"/>
              <w:jc w:val="center"/>
              <w:rPr>
                <w:color w:val="000000"/>
                <w:sz w:val="24"/>
              </w:rPr>
            </w:pPr>
            <w:r>
              <w:rPr>
                <w:color w:val="000000"/>
                <w:sz w:val="24"/>
              </w:rPr>
              <w:t>污染物项目</w:t>
            </w:r>
          </w:p>
        </w:tc>
        <w:tc>
          <w:tcPr>
            <w:tcW w:w="1674" w:type="dxa"/>
            <w:vAlign w:val="center"/>
          </w:tcPr>
          <w:p>
            <w:pPr>
              <w:adjustRightInd w:val="0"/>
              <w:snapToGrid w:val="0"/>
              <w:jc w:val="center"/>
              <w:rPr>
                <w:color w:val="000000"/>
                <w:sz w:val="24"/>
              </w:rPr>
            </w:pPr>
            <w:r>
              <w:rPr>
                <w:color w:val="000000"/>
                <w:sz w:val="24"/>
              </w:rPr>
              <w:t>环境保护措施</w:t>
            </w:r>
          </w:p>
        </w:tc>
        <w:tc>
          <w:tcPr>
            <w:tcW w:w="1838" w:type="dxa"/>
            <w:vAlign w:val="center"/>
          </w:tcPr>
          <w:p>
            <w:pPr>
              <w:adjustRightInd w:val="0"/>
              <w:snapToGrid w:val="0"/>
              <w:jc w:val="center"/>
              <w:rPr>
                <w:color w:val="000000"/>
                <w:sz w:val="24"/>
              </w:rPr>
            </w:pPr>
            <w:r>
              <w:rPr>
                <w:color w:val="000000"/>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000000"/>
                <w:sz w:val="24"/>
              </w:rPr>
            </w:pPr>
            <w:r>
              <w:rPr>
                <w:color w:val="000000"/>
                <w:sz w:val="24"/>
              </w:rPr>
              <w:t>大气环境</w:t>
            </w:r>
          </w:p>
        </w:tc>
        <w:tc>
          <w:tcPr>
            <w:tcW w:w="1755" w:type="dxa"/>
            <w:vAlign w:val="center"/>
          </w:tcPr>
          <w:p>
            <w:pPr>
              <w:adjustRightInd w:val="0"/>
              <w:snapToGrid w:val="0"/>
              <w:jc w:val="center"/>
              <w:rPr>
                <w:color w:val="000000"/>
                <w:sz w:val="24"/>
              </w:rPr>
            </w:pPr>
            <w:r>
              <w:rPr>
                <w:color w:val="000000"/>
                <w:sz w:val="24"/>
              </w:rPr>
              <w:t>储油、卸油、加油</w:t>
            </w:r>
          </w:p>
        </w:tc>
        <w:tc>
          <w:tcPr>
            <w:tcW w:w="1755" w:type="dxa"/>
            <w:vAlign w:val="center"/>
          </w:tcPr>
          <w:p>
            <w:pPr>
              <w:adjustRightInd w:val="0"/>
              <w:snapToGrid w:val="0"/>
              <w:jc w:val="center"/>
              <w:rPr>
                <w:color w:val="000000"/>
                <w:sz w:val="24"/>
              </w:rPr>
            </w:pPr>
            <w:r>
              <w:rPr>
                <w:color w:val="000000"/>
                <w:sz w:val="24"/>
              </w:rPr>
              <w:t>非甲烷总烃</w:t>
            </w:r>
          </w:p>
        </w:tc>
        <w:tc>
          <w:tcPr>
            <w:tcW w:w="1674" w:type="dxa"/>
            <w:vAlign w:val="center"/>
          </w:tcPr>
          <w:p>
            <w:pPr>
              <w:adjustRightInd w:val="0"/>
              <w:snapToGrid w:val="0"/>
              <w:jc w:val="center"/>
              <w:rPr>
                <w:color w:val="000000"/>
                <w:sz w:val="24"/>
              </w:rPr>
            </w:pPr>
            <w:r>
              <w:rPr>
                <w:rFonts w:hint="eastAsia"/>
                <w:color w:val="000000"/>
                <w:sz w:val="24"/>
              </w:rPr>
              <w:t>密闭储罐，</w:t>
            </w:r>
            <w:r>
              <w:rPr>
                <w:color w:val="000000"/>
                <w:sz w:val="24"/>
              </w:rPr>
              <w:t>卸油油气回收装置、加油油气回收装置</w:t>
            </w:r>
          </w:p>
        </w:tc>
        <w:tc>
          <w:tcPr>
            <w:tcW w:w="1838" w:type="dxa"/>
            <w:vAlign w:val="center"/>
          </w:tcPr>
          <w:p>
            <w:pPr>
              <w:adjustRightInd w:val="0"/>
              <w:snapToGrid w:val="0"/>
              <w:jc w:val="center"/>
              <w:rPr>
                <w:color w:val="000000"/>
                <w:sz w:val="24"/>
              </w:rPr>
            </w:pPr>
            <w:r>
              <w:rPr>
                <w:color w:val="000000"/>
                <w:sz w:val="24"/>
              </w:rPr>
              <w:t>《加油站大气污染物排放标准》（GB20952-2007）中相关要求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000000"/>
                <w:sz w:val="24"/>
              </w:rPr>
            </w:pPr>
            <w:r>
              <w:rPr>
                <w:color w:val="000000"/>
                <w:sz w:val="24"/>
              </w:rPr>
              <w:t>地表水环境</w:t>
            </w:r>
          </w:p>
        </w:tc>
        <w:tc>
          <w:tcPr>
            <w:tcW w:w="1755" w:type="dxa"/>
            <w:vAlign w:val="center"/>
          </w:tcPr>
          <w:p>
            <w:pPr>
              <w:adjustRightInd w:val="0"/>
              <w:snapToGrid w:val="0"/>
              <w:jc w:val="center"/>
              <w:rPr>
                <w:color w:val="000000"/>
                <w:sz w:val="24"/>
              </w:rPr>
            </w:pPr>
            <w:r>
              <w:rPr>
                <w:color w:val="000000"/>
                <w:sz w:val="24"/>
              </w:rPr>
              <w:t>DW001</w:t>
            </w:r>
          </w:p>
        </w:tc>
        <w:tc>
          <w:tcPr>
            <w:tcW w:w="1755" w:type="dxa"/>
            <w:vAlign w:val="center"/>
          </w:tcPr>
          <w:p>
            <w:pPr>
              <w:adjustRightInd w:val="0"/>
              <w:snapToGrid w:val="0"/>
              <w:jc w:val="center"/>
              <w:rPr>
                <w:color w:val="000000"/>
                <w:sz w:val="24"/>
              </w:rPr>
            </w:pPr>
            <w:r>
              <w:rPr>
                <w:color w:val="000000"/>
                <w:sz w:val="24"/>
              </w:rPr>
              <w:t>pH、COD、BOD</w:t>
            </w:r>
            <w:r>
              <w:rPr>
                <w:color w:val="000000"/>
                <w:sz w:val="24"/>
                <w:vertAlign w:val="subscript"/>
              </w:rPr>
              <w:t>5</w:t>
            </w:r>
            <w:r>
              <w:rPr>
                <w:color w:val="000000"/>
                <w:sz w:val="24"/>
              </w:rPr>
              <w:t>、SS、</w:t>
            </w:r>
            <w:r>
              <w:rPr>
                <w:bCs/>
                <w:snapToGrid w:val="0"/>
                <w:color w:val="000000"/>
                <w:kern w:val="0"/>
                <w:sz w:val="24"/>
              </w:rPr>
              <w:t>NH</w:t>
            </w:r>
            <w:r>
              <w:rPr>
                <w:bCs/>
                <w:snapToGrid w:val="0"/>
                <w:color w:val="000000"/>
                <w:kern w:val="0"/>
                <w:sz w:val="24"/>
                <w:vertAlign w:val="subscript"/>
              </w:rPr>
              <w:t>3</w:t>
            </w:r>
            <w:r>
              <w:rPr>
                <w:bCs/>
                <w:snapToGrid w:val="0"/>
                <w:color w:val="000000"/>
                <w:kern w:val="0"/>
                <w:sz w:val="24"/>
              </w:rPr>
              <w:t>-N、石油类</w:t>
            </w:r>
          </w:p>
        </w:tc>
        <w:tc>
          <w:tcPr>
            <w:tcW w:w="1674" w:type="dxa"/>
            <w:vAlign w:val="center"/>
          </w:tcPr>
          <w:p>
            <w:pPr>
              <w:adjustRightInd w:val="0"/>
              <w:snapToGrid w:val="0"/>
              <w:jc w:val="center"/>
              <w:rPr>
                <w:color w:val="000000"/>
                <w:sz w:val="24"/>
              </w:rPr>
            </w:pPr>
            <w:r>
              <w:rPr>
                <w:color w:val="000000"/>
                <w:sz w:val="24"/>
              </w:rPr>
              <w:t>化粪池</w:t>
            </w:r>
          </w:p>
        </w:tc>
        <w:tc>
          <w:tcPr>
            <w:tcW w:w="1838" w:type="dxa"/>
            <w:vAlign w:val="center"/>
          </w:tcPr>
          <w:p>
            <w:pPr>
              <w:adjustRightInd w:val="0"/>
              <w:snapToGrid w:val="0"/>
              <w:jc w:val="center"/>
              <w:rPr>
                <w:color w:val="000000"/>
                <w:sz w:val="24"/>
              </w:rPr>
            </w:pPr>
            <w:r>
              <w:rPr>
                <w:color w:val="000000"/>
                <w:sz w:val="24"/>
              </w:rPr>
              <w:t>《污水综合排放标准》（GB8978-1996）三级排放标准和污水处理厂接管标准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000000"/>
                <w:sz w:val="24"/>
              </w:rPr>
            </w:pPr>
            <w:r>
              <w:rPr>
                <w:color w:val="000000"/>
                <w:sz w:val="24"/>
              </w:rPr>
              <w:t>声环境</w:t>
            </w:r>
          </w:p>
        </w:tc>
        <w:tc>
          <w:tcPr>
            <w:tcW w:w="1755" w:type="dxa"/>
            <w:vAlign w:val="center"/>
          </w:tcPr>
          <w:p>
            <w:pPr>
              <w:adjustRightInd w:val="0"/>
              <w:snapToGrid w:val="0"/>
              <w:jc w:val="center"/>
              <w:rPr>
                <w:color w:val="000000"/>
                <w:sz w:val="24"/>
              </w:rPr>
            </w:pPr>
            <w:r>
              <w:rPr>
                <w:color w:val="000000"/>
                <w:sz w:val="24"/>
              </w:rPr>
              <w:t>厂界</w:t>
            </w:r>
          </w:p>
        </w:tc>
        <w:tc>
          <w:tcPr>
            <w:tcW w:w="1755" w:type="dxa"/>
            <w:vAlign w:val="center"/>
          </w:tcPr>
          <w:p>
            <w:pPr>
              <w:adjustRightInd w:val="0"/>
              <w:snapToGrid w:val="0"/>
              <w:jc w:val="center"/>
              <w:rPr>
                <w:color w:val="000000"/>
                <w:sz w:val="24"/>
              </w:rPr>
            </w:pPr>
            <w:r>
              <w:rPr>
                <w:color w:val="000000"/>
                <w:sz w:val="24"/>
              </w:rPr>
              <w:t>等效声级</w:t>
            </w:r>
          </w:p>
        </w:tc>
        <w:tc>
          <w:tcPr>
            <w:tcW w:w="1674" w:type="dxa"/>
            <w:vAlign w:val="center"/>
          </w:tcPr>
          <w:p>
            <w:pPr>
              <w:adjustRightInd w:val="0"/>
              <w:snapToGrid w:val="0"/>
              <w:jc w:val="center"/>
              <w:rPr>
                <w:color w:val="000000"/>
                <w:sz w:val="24"/>
              </w:rPr>
            </w:pPr>
            <w:r>
              <w:rPr>
                <w:bCs/>
                <w:color w:val="000000"/>
                <w:sz w:val="24"/>
              </w:rPr>
              <w:t>安装减振基座、厂房隔声</w:t>
            </w:r>
          </w:p>
        </w:tc>
        <w:tc>
          <w:tcPr>
            <w:tcW w:w="1838" w:type="dxa"/>
            <w:vAlign w:val="center"/>
          </w:tcPr>
          <w:p>
            <w:pPr>
              <w:adjustRightInd w:val="0"/>
              <w:snapToGrid w:val="0"/>
              <w:jc w:val="center"/>
              <w:rPr>
                <w:color w:val="000000"/>
                <w:sz w:val="24"/>
              </w:rPr>
            </w:pPr>
            <w:r>
              <w:rPr>
                <w:color w:val="000000"/>
                <w:sz w:val="24"/>
              </w:rPr>
              <w:t>《工业企业厂界环境噪声排放标准》（GB12348-2008）中3类区标准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78" w:type="dxa"/>
            <w:vAlign w:val="center"/>
          </w:tcPr>
          <w:p>
            <w:pPr>
              <w:adjustRightInd w:val="0"/>
              <w:snapToGrid w:val="0"/>
              <w:jc w:val="center"/>
              <w:rPr>
                <w:color w:val="000000"/>
                <w:sz w:val="24"/>
              </w:rPr>
            </w:pPr>
            <w:r>
              <w:rPr>
                <w:color w:val="000000"/>
                <w:sz w:val="24"/>
              </w:rPr>
              <w:t>电磁辐射</w:t>
            </w:r>
          </w:p>
        </w:tc>
        <w:tc>
          <w:tcPr>
            <w:tcW w:w="7022" w:type="dxa"/>
            <w:gridSpan w:val="4"/>
            <w:vAlign w:val="center"/>
          </w:tcPr>
          <w:p>
            <w:pPr>
              <w:adjustRightInd w:val="0"/>
              <w:snapToGrid w:val="0"/>
              <w:jc w:val="center"/>
              <w:rPr>
                <w:color w:val="000000"/>
                <w:sz w:val="24"/>
              </w:rPr>
            </w:pPr>
            <w:r>
              <w:rPr>
                <w:color w:val="00000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000000"/>
                <w:sz w:val="24"/>
              </w:rPr>
            </w:pPr>
            <w:r>
              <w:rPr>
                <w:color w:val="000000"/>
                <w:sz w:val="24"/>
              </w:rPr>
              <w:t>固体废物</w:t>
            </w:r>
          </w:p>
        </w:tc>
        <w:tc>
          <w:tcPr>
            <w:tcW w:w="7022" w:type="dxa"/>
            <w:gridSpan w:val="4"/>
            <w:vAlign w:val="center"/>
          </w:tcPr>
          <w:p>
            <w:pPr>
              <w:pStyle w:val="25"/>
              <w:jc w:val="center"/>
              <w:rPr>
                <w:rFonts w:ascii="Times New Roman" w:cs="Times New Roman"/>
              </w:rPr>
            </w:pPr>
            <w:r>
              <w:rPr>
                <w:rFonts w:ascii="Times New Roman" w:cs="Times New Roman"/>
              </w:rPr>
              <w:t>生活垃圾</w:t>
            </w:r>
            <w:r>
              <w:rPr>
                <w:rFonts w:hAnsi="宋体"/>
              </w:rPr>
              <w:t>及日常产生的废含油抹布</w:t>
            </w:r>
            <w:r>
              <w:rPr>
                <w:rFonts w:ascii="Times New Roman" w:cs="Times New Roman"/>
              </w:rPr>
              <w:t>交由环卫部门清运处理；</w:t>
            </w:r>
            <w:r>
              <w:rPr>
                <w:rFonts w:hAnsi="宋体"/>
              </w:rPr>
              <w:t>清洗油罐时产生</w:t>
            </w:r>
            <w:r>
              <w:rPr>
                <w:rFonts w:ascii="Times New Roman" w:cs="Times New Roman"/>
              </w:rPr>
              <w:t>的含油手套、抹布、油水混合物及废渣</w:t>
            </w:r>
            <w:r>
              <w:rPr>
                <w:rFonts w:hint="eastAsia" w:ascii="Times New Roman" w:cs="Times New Roman"/>
              </w:rPr>
              <w:t>由油罐清洗公司一并带走处置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000000"/>
                <w:sz w:val="24"/>
              </w:rPr>
            </w:pPr>
            <w:r>
              <w:rPr>
                <w:color w:val="000000"/>
                <w:sz w:val="24"/>
              </w:rPr>
              <w:t>土壤及地下水</w:t>
            </w:r>
          </w:p>
          <w:p>
            <w:pPr>
              <w:adjustRightInd w:val="0"/>
              <w:snapToGrid w:val="0"/>
              <w:jc w:val="center"/>
              <w:rPr>
                <w:color w:val="000000"/>
                <w:sz w:val="24"/>
              </w:rPr>
            </w:pPr>
            <w:r>
              <w:rPr>
                <w:color w:val="000000"/>
                <w:sz w:val="24"/>
              </w:rPr>
              <w:t>污染防治措施</w:t>
            </w:r>
          </w:p>
        </w:tc>
        <w:tc>
          <w:tcPr>
            <w:tcW w:w="7022" w:type="dxa"/>
            <w:gridSpan w:val="4"/>
            <w:vAlign w:val="center"/>
          </w:tcPr>
          <w:p>
            <w:pPr>
              <w:adjustRightInd w:val="0"/>
              <w:snapToGrid w:val="0"/>
              <w:rPr>
                <w:color w:val="000000"/>
                <w:sz w:val="24"/>
              </w:rPr>
            </w:pPr>
            <w:r>
              <w:rPr>
                <w:color w:val="000000"/>
                <w:sz w:val="24"/>
              </w:rPr>
              <w:t>分区防渗：</w:t>
            </w:r>
          </w:p>
          <w:p>
            <w:pPr>
              <w:adjustRightInd w:val="0"/>
              <w:snapToGrid w:val="0"/>
              <w:rPr>
                <w:color w:val="000000"/>
                <w:sz w:val="24"/>
              </w:rPr>
            </w:pPr>
            <w:r>
              <w:rPr>
                <w:color w:val="000000"/>
                <w:sz w:val="24"/>
              </w:rPr>
              <w:t>（1）</w:t>
            </w:r>
            <w:r>
              <w:rPr>
                <w:rFonts w:hint="eastAsia"/>
                <w:color w:val="000000"/>
                <w:sz w:val="24"/>
              </w:rPr>
              <w:t>撬装加油装置区等</w:t>
            </w:r>
            <w:r>
              <w:rPr>
                <w:color w:val="000000"/>
                <w:sz w:val="24"/>
              </w:rPr>
              <w:t>重点防渗：基础必须防渗，防渗层为至少1米厚粘土层（渗透系数≤10</w:t>
            </w:r>
            <w:r>
              <w:rPr>
                <w:color w:val="000000"/>
                <w:sz w:val="24"/>
                <w:vertAlign w:val="superscript"/>
              </w:rPr>
              <w:t>-7</w:t>
            </w:r>
            <w:r>
              <w:rPr>
                <w:color w:val="000000"/>
                <w:sz w:val="24"/>
              </w:rPr>
              <w:t>cm/s），或2mm厚高密度聚乙烯，或至少2mm厚的其它人工材料，渗透系数≤10</w:t>
            </w:r>
            <w:r>
              <w:rPr>
                <w:color w:val="000000"/>
                <w:sz w:val="24"/>
                <w:vertAlign w:val="superscript"/>
              </w:rPr>
              <w:t>-10</w:t>
            </w:r>
            <w:r>
              <w:rPr>
                <w:color w:val="000000"/>
                <w:sz w:val="24"/>
              </w:rPr>
              <w:t>cm/s</w:t>
            </w:r>
          </w:p>
          <w:p>
            <w:pPr>
              <w:adjustRightInd w:val="0"/>
              <w:snapToGrid w:val="0"/>
              <w:jc w:val="left"/>
              <w:rPr>
                <w:color w:val="000000"/>
                <w:sz w:val="24"/>
              </w:rPr>
            </w:pPr>
            <w:r>
              <w:rPr>
                <w:color w:val="000000"/>
                <w:sz w:val="24"/>
              </w:rPr>
              <w:t>（2）</w:t>
            </w:r>
            <w:r>
              <w:rPr>
                <w:rFonts w:hint="eastAsia"/>
                <w:color w:val="000000"/>
                <w:sz w:val="24"/>
              </w:rPr>
              <w:t>撬装加油装置区周边10米范围包括管理用房等</w:t>
            </w:r>
            <w:r>
              <w:rPr>
                <w:color w:val="000000"/>
                <w:sz w:val="24"/>
              </w:rPr>
              <w:t>一般防渗：采用天然或人工材料构筑防渗层，防渗层的厚度应相当于渗透系数1.0×10</w:t>
            </w:r>
            <w:r>
              <w:rPr>
                <w:color w:val="000000"/>
                <w:sz w:val="24"/>
                <w:vertAlign w:val="superscript"/>
              </w:rPr>
              <w:t>-7</w:t>
            </w:r>
            <w:r>
              <w:rPr>
                <w:color w:val="000000"/>
                <w:sz w:val="24"/>
              </w:rPr>
              <w:t>cm/s和厚度0.75m的粘土层的防渗性能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000000"/>
                <w:sz w:val="24"/>
              </w:rPr>
            </w:pPr>
            <w:r>
              <w:rPr>
                <w:color w:val="000000"/>
                <w:sz w:val="24"/>
              </w:rPr>
              <w:t>生态保护措施</w:t>
            </w:r>
          </w:p>
        </w:tc>
        <w:tc>
          <w:tcPr>
            <w:tcW w:w="7022" w:type="dxa"/>
            <w:gridSpan w:val="4"/>
            <w:vAlign w:val="center"/>
          </w:tcPr>
          <w:p>
            <w:pPr>
              <w:adjustRightInd w:val="0"/>
              <w:snapToGrid w:val="0"/>
              <w:jc w:val="center"/>
              <w:rPr>
                <w:color w:val="000000"/>
                <w:sz w:val="24"/>
              </w:rPr>
            </w:pPr>
            <w:r>
              <w:rPr>
                <w:color w:val="00000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000000"/>
                <w:sz w:val="24"/>
              </w:rPr>
            </w:pPr>
            <w:r>
              <w:rPr>
                <w:color w:val="000000"/>
                <w:sz w:val="24"/>
              </w:rPr>
              <w:t>环境风险</w:t>
            </w:r>
          </w:p>
          <w:p>
            <w:pPr>
              <w:adjustRightInd w:val="0"/>
              <w:snapToGrid w:val="0"/>
              <w:jc w:val="center"/>
              <w:rPr>
                <w:color w:val="000000"/>
                <w:sz w:val="24"/>
              </w:rPr>
            </w:pPr>
            <w:r>
              <w:rPr>
                <w:color w:val="000000"/>
                <w:sz w:val="24"/>
              </w:rPr>
              <w:t>防范措施</w:t>
            </w:r>
          </w:p>
        </w:tc>
        <w:tc>
          <w:tcPr>
            <w:tcW w:w="7022" w:type="dxa"/>
            <w:gridSpan w:val="4"/>
            <w:vAlign w:val="center"/>
          </w:tcPr>
          <w:p>
            <w:pPr>
              <w:pStyle w:val="25"/>
              <w:spacing w:line="360" w:lineRule="auto"/>
              <w:rPr>
                <w:rFonts w:ascii="Times New Roman" w:cs="Times New Roman"/>
              </w:rPr>
            </w:pPr>
            <w:r>
              <w:rPr>
                <w:rFonts w:hint="eastAsia" w:ascii="Times New Roman" w:cs="Times New Roman"/>
                <w:lang w:val="en-US" w:eastAsia="zh-CN"/>
              </w:rPr>
              <w:t>1、</w:t>
            </w:r>
            <w:r>
              <w:rPr>
                <w:rFonts w:ascii="Times New Roman" w:cs="Times New Roman"/>
              </w:rPr>
              <w:t xml:space="preserve">储区安全防范措施 </w:t>
            </w:r>
          </w:p>
          <w:p>
            <w:pPr>
              <w:pStyle w:val="25"/>
              <w:spacing w:line="360" w:lineRule="auto"/>
              <w:rPr>
                <w:rFonts w:ascii="Times New Roman" w:cs="Times New Roman"/>
              </w:rPr>
            </w:pPr>
            <w:r>
              <w:rPr>
                <w:rFonts w:ascii="Times New Roman" w:cs="Times New Roman"/>
              </w:rPr>
              <w:t xml:space="preserve">（1）站内在各处安装摄像头，监控站点内日常活动。 </w:t>
            </w:r>
          </w:p>
          <w:p>
            <w:pPr>
              <w:pStyle w:val="25"/>
              <w:spacing w:line="360" w:lineRule="auto"/>
              <w:rPr>
                <w:rFonts w:ascii="Times New Roman" w:cs="Times New Roman"/>
              </w:rPr>
            </w:pPr>
            <w:r>
              <w:rPr>
                <w:rFonts w:ascii="Times New Roman" w:cs="Times New Roman"/>
              </w:rPr>
              <w:t xml:space="preserve">（2）站点内安装各种监控设施：罐区附近安装燃气体报警器、火焰报警器温度传感器、罐区监控摄像头等各种监控设施。 </w:t>
            </w:r>
          </w:p>
          <w:p>
            <w:pPr>
              <w:adjustRightInd w:val="0"/>
              <w:snapToGrid w:val="0"/>
              <w:spacing w:line="360" w:lineRule="auto"/>
              <w:jc w:val="left"/>
              <w:rPr>
                <w:color w:val="000000"/>
                <w:sz w:val="24"/>
              </w:rPr>
            </w:pPr>
            <w:r>
              <w:rPr>
                <w:color w:val="000000"/>
                <w:sz w:val="24"/>
              </w:rPr>
              <w:t xml:space="preserve">（3）操作室内安装各类监控设备的显示器及报警器，操作人员在操作室内监控站内总体情况及罐区、作业区内运作情况。 </w:t>
            </w:r>
          </w:p>
          <w:p>
            <w:pPr>
              <w:pStyle w:val="25"/>
              <w:spacing w:line="360" w:lineRule="auto"/>
              <w:rPr>
                <w:rFonts w:ascii="Times New Roman" w:cs="Times New Roman"/>
              </w:rPr>
            </w:pPr>
            <w:r>
              <w:rPr>
                <w:rFonts w:ascii="Times New Roman" w:cs="Times New Roman"/>
              </w:rPr>
              <w:t xml:space="preserve">（4）操作人员每天定时到罐区及作业区查看情况，检查各种设备是否正常运行，罐区有无泄漏。 </w:t>
            </w:r>
          </w:p>
          <w:p>
            <w:pPr>
              <w:pStyle w:val="25"/>
              <w:spacing w:line="360" w:lineRule="auto"/>
              <w:rPr>
                <w:rFonts w:ascii="Times New Roman" w:cs="Times New Roman"/>
              </w:rPr>
            </w:pPr>
            <w:r>
              <w:rPr>
                <w:rFonts w:ascii="Times New Roman" w:cs="Times New Roman"/>
              </w:rPr>
              <w:t xml:space="preserve">（5）油槽车在卸油过程中的泄露措施：发生泄露时，相关装油点及邻近位置的一切装卸作业应立即停止。所有阀门都应关闭。只留主要人员在装卸台上。泄露油品清除前，不得操作车辆启动器。负责人宣布安全以前，不得恢复作业。 </w:t>
            </w:r>
          </w:p>
          <w:p>
            <w:pPr>
              <w:pStyle w:val="25"/>
              <w:spacing w:line="360" w:lineRule="auto"/>
              <w:rPr>
                <w:rFonts w:ascii="Times New Roman" w:cs="Times New Roman"/>
              </w:rPr>
            </w:pPr>
            <w:r>
              <w:rPr>
                <w:rFonts w:hint="eastAsia" w:ascii="Times New Roman" w:cs="Times New Roman"/>
                <w:lang w:val="en-US" w:eastAsia="zh-CN"/>
              </w:rPr>
              <w:t>2、</w:t>
            </w:r>
            <w:r>
              <w:rPr>
                <w:rFonts w:ascii="Times New Roman" w:cs="Times New Roman"/>
              </w:rPr>
              <w:t xml:space="preserve">水环境风险防范措施 </w:t>
            </w:r>
          </w:p>
          <w:p>
            <w:pPr>
              <w:pStyle w:val="25"/>
              <w:spacing w:line="360" w:lineRule="auto"/>
              <w:rPr>
                <w:rFonts w:ascii="Times New Roman" w:cs="Times New Roman"/>
              </w:rPr>
            </w:pPr>
            <w:r>
              <w:rPr>
                <w:rFonts w:ascii="Times New Roman" w:cs="Times New Roman"/>
              </w:rPr>
              <w:t xml:space="preserve">项目罐区底层采用混凝土防渗，表面采用了混凝土硬化，加油站一旦发生溢出与滲漏事故，油品将由于防渗层的保护作用，积聚在储油区的防渗罐池内，对周围水环境的影响较小。 </w:t>
            </w:r>
          </w:p>
          <w:p>
            <w:pPr>
              <w:pStyle w:val="25"/>
              <w:spacing w:line="360" w:lineRule="auto"/>
              <w:rPr>
                <w:rFonts w:ascii="Times New Roman" w:cs="Times New Roman"/>
              </w:rPr>
            </w:pPr>
            <w:r>
              <w:rPr>
                <w:rFonts w:hint="eastAsia" w:ascii="Times New Roman" w:cs="Times New Roman"/>
                <w:lang w:val="en-US" w:eastAsia="zh-CN"/>
              </w:rPr>
              <w:t>3、</w:t>
            </w:r>
            <w:r>
              <w:rPr>
                <w:rFonts w:ascii="Times New Roman" w:cs="Times New Roman"/>
              </w:rPr>
              <w:t xml:space="preserve">大气环境风险防范措施 </w:t>
            </w:r>
          </w:p>
          <w:p>
            <w:pPr>
              <w:pStyle w:val="25"/>
              <w:spacing w:line="360" w:lineRule="auto"/>
              <w:rPr>
                <w:rFonts w:ascii="Times New Roman" w:cs="Times New Roman"/>
              </w:rPr>
            </w:pPr>
            <w:r>
              <w:rPr>
                <w:rFonts w:ascii="Times New Roman" w:cs="Times New Roman"/>
              </w:rPr>
              <w:t xml:space="preserve">（1）定期对废气处理设施进行检测和维修，以降低因设备故障造成的事故排放。 </w:t>
            </w:r>
          </w:p>
          <w:p>
            <w:pPr>
              <w:pStyle w:val="25"/>
              <w:spacing w:line="360" w:lineRule="auto"/>
              <w:rPr>
                <w:rFonts w:ascii="Times New Roman" w:cs="Times New Roman"/>
              </w:rPr>
            </w:pPr>
            <w:r>
              <w:rPr>
                <w:rFonts w:ascii="Times New Roman" w:cs="Times New Roman"/>
              </w:rPr>
              <w:t xml:space="preserve">（2）建立各废气处理设施操作规范及安全操作指引，并由应急指挥部定期组织培训及操作考核。 </w:t>
            </w:r>
          </w:p>
          <w:p>
            <w:pPr>
              <w:pStyle w:val="25"/>
              <w:spacing w:line="360" w:lineRule="auto"/>
              <w:rPr>
                <w:rFonts w:ascii="Times New Roman" w:cs="Times New Roman"/>
              </w:rPr>
            </w:pPr>
            <w:r>
              <w:rPr>
                <w:rFonts w:ascii="Times New Roman" w:cs="Times New Roman"/>
              </w:rPr>
              <w:t xml:space="preserve">（3）在发生泄露事故时，应及时组织人群转移，以减少对人群的伤害。 </w:t>
            </w:r>
          </w:p>
          <w:p>
            <w:pPr>
              <w:adjustRightInd w:val="0"/>
              <w:snapToGrid w:val="0"/>
              <w:spacing w:line="360" w:lineRule="auto"/>
              <w:jc w:val="left"/>
              <w:rPr>
                <w:color w:val="000000"/>
                <w:sz w:val="24"/>
              </w:rPr>
            </w:pPr>
            <w:r>
              <w:rPr>
                <w:rFonts w:hint="eastAsia"/>
                <w:color w:val="000000"/>
                <w:sz w:val="24"/>
                <w:lang w:val="en-US" w:eastAsia="zh-CN"/>
              </w:rPr>
              <w:t>4、</w:t>
            </w:r>
            <w:r>
              <w:rPr>
                <w:color w:val="000000"/>
                <w:sz w:val="24"/>
              </w:rPr>
              <w:t xml:space="preserve">事故预防管理措施 </w:t>
            </w:r>
          </w:p>
          <w:p>
            <w:pPr>
              <w:adjustRightInd w:val="0"/>
              <w:snapToGrid w:val="0"/>
              <w:spacing w:line="360" w:lineRule="auto"/>
              <w:jc w:val="left"/>
              <w:rPr>
                <w:color w:val="000000"/>
                <w:sz w:val="24"/>
              </w:rPr>
            </w:pPr>
            <w:r>
              <w:rPr>
                <w:color w:val="000000"/>
                <w:sz w:val="24"/>
              </w:rPr>
              <w:t>编制突发环境应急预案，并按照预案内容配备相关应急物质并做好相关的演练工作。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color w:val="000000"/>
                <w:sz w:val="24"/>
              </w:rPr>
            </w:pPr>
            <w:r>
              <w:rPr>
                <w:color w:val="000000"/>
                <w:sz w:val="24"/>
              </w:rPr>
              <w:t>其他环境</w:t>
            </w:r>
          </w:p>
          <w:p>
            <w:pPr>
              <w:adjustRightInd w:val="0"/>
              <w:snapToGrid w:val="0"/>
              <w:jc w:val="center"/>
              <w:rPr>
                <w:color w:val="000000"/>
                <w:sz w:val="24"/>
              </w:rPr>
            </w:pPr>
            <w:r>
              <w:rPr>
                <w:color w:val="000000"/>
                <w:sz w:val="24"/>
              </w:rPr>
              <w:t>管理要求</w:t>
            </w:r>
          </w:p>
        </w:tc>
        <w:tc>
          <w:tcPr>
            <w:tcW w:w="7022" w:type="dxa"/>
            <w:gridSpan w:val="4"/>
            <w:vAlign w:val="center"/>
          </w:tcPr>
          <w:p>
            <w:pPr>
              <w:adjustRightInd w:val="0"/>
              <w:snapToGrid w:val="0"/>
              <w:jc w:val="center"/>
              <w:rPr>
                <w:color w:val="000000"/>
                <w:sz w:val="24"/>
              </w:rPr>
            </w:pPr>
            <w:r>
              <w:rPr>
                <w:color w:val="000000"/>
                <w:sz w:val="24"/>
              </w:rPr>
              <w:t>无</w:t>
            </w:r>
          </w:p>
        </w:tc>
      </w:tr>
    </w:tbl>
    <w:p>
      <w:pPr>
        <w:pStyle w:val="17"/>
        <w:jc w:val="center"/>
        <w:outlineLvl w:val="0"/>
        <w:rPr>
          <w:rFonts w:ascii="Times New Roman" w:hAnsi="Times New Roman"/>
          <w:snapToGrid w:val="0"/>
          <w:color w:val="000000"/>
          <w:sz w:val="30"/>
          <w:szCs w:val="30"/>
        </w:rPr>
      </w:pPr>
      <w:r>
        <w:rPr>
          <w:rFonts w:ascii="Times New Roman" w:hAnsi="Times New Roman"/>
          <w:snapToGrid w:val="0"/>
          <w:color w:val="000000"/>
        </w:rPr>
        <w:br w:type="page"/>
      </w:r>
      <w:r>
        <w:rPr>
          <w:rFonts w:ascii="Times New Roman" w:hAnsi="Times New Roman"/>
          <w:snapToGrid w:val="0"/>
          <w:color w:val="000000"/>
          <w:sz w:val="30"/>
          <w:szCs w:val="30"/>
        </w:rPr>
        <w:t>六、结论</w:t>
      </w:r>
    </w:p>
    <w:tbl>
      <w:tblPr>
        <w:tblStyle w:val="23"/>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rPr>
                <w:color w:val="000000"/>
                <w:sz w:val="24"/>
              </w:rPr>
            </w:pPr>
            <w:r>
              <w:rPr>
                <w:sz w:val="24"/>
              </w:rPr>
              <w:t>本项目的建设符合国家和地方产业政策要求，项目选址符合当地规划要求。项目运行期产生的污染物在采取了本报告表提出的防治措施并严格落实后，可保证污染物稳定达标排放。因此，从环境保护的角度分析，本项目的建设是可行的</w:t>
            </w:r>
          </w:p>
        </w:tc>
      </w:tr>
    </w:tbl>
    <w:p>
      <w:pPr>
        <w:rPr>
          <w:color w:val="000000"/>
        </w:rPr>
        <w:sectPr>
          <w:pgSz w:w="11906" w:h="16838"/>
          <w:pgMar w:top="1701" w:right="1531" w:bottom="1701" w:left="1531" w:header="851" w:footer="851" w:gutter="0"/>
          <w:cols w:space="720" w:num="1"/>
          <w:docGrid w:linePitch="312" w:charSpace="0"/>
        </w:sectPr>
      </w:pPr>
    </w:p>
    <w:p>
      <w:pPr>
        <w:pStyle w:val="17"/>
        <w:adjustRightInd w:val="0"/>
        <w:snapToGrid w:val="0"/>
        <w:spacing w:before="0" w:beforeAutospacing="0" w:after="0" w:afterAutospacing="0" w:line="648" w:lineRule="auto"/>
        <w:outlineLvl w:val="0"/>
        <w:rPr>
          <w:rFonts w:ascii="Times New Roman" w:hAnsi="Times New Roman"/>
          <w:snapToGrid w:val="0"/>
          <w:color w:val="000000"/>
          <w:sz w:val="32"/>
          <w:szCs w:val="32"/>
        </w:rPr>
      </w:pPr>
      <w:r>
        <w:rPr>
          <w:rFonts w:ascii="Times New Roman" w:hAnsi="Times New Roman"/>
          <w:snapToGrid w:val="0"/>
          <w:color w:val="000000"/>
          <w:sz w:val="32"/>
          <w:szCs w:val="32"/>
        </w:rPr>
        <w:t>附表</w:t>
      </w:r>
    </w:p>
    <w:p>
      <w:pPr>
        <w:pStyle w:val="17"/>
        <w:adjustRightInd w:val="0"/>
        <w:snapToGrid w:val="0"/>
        <w:spacing w:before="0" w:beforeAutospacing="0" w:after="0" w:afterAutospacing="0" w:line="552" w:lineRule="auto"/>
        <w:jc w:val="center"/>
        <w:outlineLvl w:val="0"/>
        <w:rPr>
          <w:rFonts w:ascii="Times New Roman" w:hAnsi="Times New Roman"/>
          <w:snapToGrid w:val="0"/>
          <w:color w:val="000000"/>
          <w:sz w:val="38"/>
          <w:szCs w:val="38"/>
        </w:rPr>
      </w:pPr>
      <w:r>
        <w:rPr>
          <w:rFonts w:ascii="Times New Roman" w:hAnsi="Times New Roman"/>
          <w:snapToGrid w:val="0"/>
          <w:color w:val="000000"/>
          <w:sz w:val="38"/>
          <w:szCs w:val="3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526"/>
        <w:gridCol w:w="1380"/>
        <w:gridCol w:w="1538"/>
        <w:gridCol w:w="1620"/>
        <w:gridCol w:w="1725"/>
        <w:gridCol w:w="1590"/>
        <w:gridCol w:w="1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8"/>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38"/>
              <w:spacing w:beforeLines="0" w:afterLines="0" w:line="240" w:lineRule="auto"/>
              <w:jc w:val="left"/>
              <w:rPr>
                <w:rFonts w:ascii="Times New Roman"/>
                <w:snapToGrid w:val="0"/>
                <w:color w:val="000000"/>
                <w:kern w:val="21"/>
                <w:szCs w:val="24"/>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6"/>
                <w:kern w:val="21"/>
                <w:szCs w:val="21"/>
              </w:rPr>
              <w:t>污染物名称</w:t>
            </w:r>
          </w:p>
        </w:tc>
        <w:tc>
          <w:tcPr>
            <w:tcW w:w="1526"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①</w:t>
            </w:r>
            <w:r>
              <w:rPr>
                <w:rFonts w:ascii="Times New Roman" w:eastAsia="黑体"/>
                <w:snapToGrid w:val="0"/>
                <w:color w:val="000000"/>
                <w:spacing w:val="-6"/>
                <w:kern w:val="21"/>
                <w:szCs w:val="21"/>
              </w:rPr>
              <w:fldChar w:fldCharType="end"/>
            </w:r>
          </w:p>
        </w:tc>
        <w:tc>
          <w:tcPr>
            <w:tcW w:w="1380"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pPr>
              <w:pStyle w:val="38"/>
              <w:spacing w:beforeLines="0" w:afterLines="0"/>
              <w:rPr>
                <w:rFonts w:ascii="Times New Roman"/>
                <w:snapToGrid w:val="0"/>
                <w:color w:val="000000"/>
                <w:kern w:val="21"/>
                <w:szCs w:val="24"/>
              </w:rPr>
            </w:pP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538"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③</w:t>
            </w:r>
            <w:r>
              <w:rPr>
                <w:rFonts w:ascii="Times New Roman" w:eastAsia="黑体"/>
                <w:snapToGrid w:val="0"/>
                <w:color w:val="000000"/>
                <w:spacing w:val="-6"/>
                <w:kern w:val="21"/>
                <w:szCs w:val="21"/>
              </w:rPr>
              <w:fldChar w:fldCharType="end"/>
            </w:r>
          </w:p>
        </w:tc>
        <w:tc>
          <w:tcPr>
            <w:tcW w:w="1620"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④</w:t>
            </w:r>
            <w:r>
              <w:rPr>
                <w:rFonts w:ascii="Times New Roman" w:eastAsia="黑体"/>
                <w:snapToGrid w:val="0"/>
                <w:color w:val="000000"/>
                <w:spacing w:val="-6"/>
                <w:kern w:val="21"/>
                <w:szCs w:val="21"/>
              </w:rPr>
              <w:fldChar w:fldCharType="end"/>
            </w:r>
          </w:p>
        </w:tc>
        <w:tc>
          <w:tcPr>
            <w:tcW w:w="1725" w:type="dxa"/>
            <w:tcMar>
              <w:left w:w="28" w:type="dxa"/>
              <w:right w:w="28" w:type="dxa"/>
            </w:tcMar>
            <w:vAlign w:val="center"/>
          </w:tcPr>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16"/>
                <w:kern w:val="21"/>
                <w:szCs w:val="21"/>
              </w:rPr>
              <w:t>（新建项目不填）</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⑤</w:t>
            </w:r>
            <w:r>
              <w:rPr>
                <w:rFonts w:ascii="Times New Roman" w:eastAsia="黑体"/>
                <w:snapToGrid w:val="0"/>
                <w:color w:val="000000"/>
                <w:spacing w:val="-16"/>
                <w:kern w:val="21"/>
                <w:szCs w:val="21"/>
              </w:rPr>
              <w:fldChar w:fldCharType="end"/>
            </w:r>
          </w:p>
        </w:tc>
        <w:tc>
          <w:tcPr>
            <w:tcW w:w="1590" w:type="dxa"/>
            <w:tcMar>
              <w:left w:w="28" w:type="dxa"/>
              <w:right w:w="28" w:type="dxa"/>
            </w:tcMar>
            <w:vAlign w:val="center"/>
          </w:tcPr>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pPr>
              <w:pStyle w:val="38"/>
              <w:spacing w:beforeLines="0" w:afterLines="0" w:line="240" w:lineRule="auto"/>
              <w:rPr>
                <w:rFonts w:ascii="Times New Roman"/>
                <w:snapToGrid w:val="0"/>
                <w:color w:val="000000"/>
                <w:kern w:val="21"/>
                <w:szCs w:val="24"/>
              </w:rPr>
            </w:pPr>
            <w:r>
              <w:rPr>
                <w:rFonts w:ascii="Times New Roman" w:eastAsia="黑体"/>
                <w:snapToGrid w:val="0"/>
                <w:color w:val="000000"/>
                <w:spacing w:val="-16"/>
                <w:kern w:val="21"/>
                <w:szCs w:val="21"/>
              </w:rPr>
              <w:t>全厂排放量（固体废物产生量）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⑥</w:t>
            </w:r>
            <w:r>
              <w:rPr>
                <w:rFonts w:ascii="Times New Roman" w:eastAsia="黑体"/>
                <w:snapToGrid w:val="0"/>
                <w:color w:val="000000"/>
                <w:spacing w:val="-16"/>
                <w:kern w:val="21"/>
                <w:szCs w:val="21"/>
              </w:rPr>
              <w:fldChar w:fldCharType="end"/>
            </w:r>
          </w:p>
        </w:tc>
        <w:tc>
          <w:tcPr>
            <w:tcW w:w="1404"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pPr>
              <w:pStyle w:val="38"/>
              <w:spacing w:beforeLines="0" w:afterLines="0" w:line="240" w:lineRule="auto"/>
              <w:rPr>
                <w:rFonts w:ascii="Times New Roman"/>
                <w:snapToGrid w:val="0"/>
                <w:color w:val="000000"/>
                <w:kern w:val="21"/>
                <w:szCs w:val="24"/>
              </w:rPr>
            </w:pP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⑦</w:t>
            </w:r>
            <w:r>
              <w:rPr>
                <w:rFonts w:asci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废气</w:t>
            </w:r>
          </w:p>
        </w:tc>
        <w:tc>
          <w:tcPr>
            <w:tcW w:w="1417"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非甲烷总烃</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jc w:val="center"/>
              <w:rPr>
                <w:snapToGrid w:val="0"/>
                <w:color w:val="000000"/>
                <w:kern w:val="21"/>
                <w:sz w:val="24"/>
              </w:rPr>
            </w:pPr>
            <w:r>
              <w:rPr>
                <w:snapToGrid w:val="0"/>
                <w:color w:val="000000"/>
                <w:kern w:val="21"/>
                <w:szCs w:val="21"/>
              </w:rPr>
              <w:t>/</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jc w:val="center"/>
              <w:rPr>
                <w:snapToGrid w:val="0"/>
                <w:color w:val="000000"/>
                <w:kern w:val="21"/>
                <w:sz w:val="24"/>
              </w:rPr>
            </w:pPr>
            <w:r>
              <w:rPr>
                <w:snapToGrid w:val="0"/>
                <w:color w:val="000000"/>
                <w:kern w:val="21"/>
                <w:szCs w:val="21"/>
              </w:rPr>
              <w:t>/</w:t>
            </w:r>
          </w:p>
        </w:tc>
        <w:tc>
          <w:tcPr>
            <w:tcW w:w="1404" w:type="dxa"/>
            <w:vAlign w:val="center"/>
          </w:tcPr>
          <w:p>
            <w:pPr>
              <w:jc w:val="center"/>
              <w:rPr>
                <w:snapToGrid w:val="0"/>
                <w:color w:val="000000"/>
                <w:kern w:val="21"/>
                <w:sz w:val="24"/>
              </w:rPr>
            </w:pPr>
            <w:r>
              <w:rPr>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废水</w:t>
            </w:r>
          </w:p>
        </w:tc>
        <w:tc>
          <w:tcPr>
            <w:tcW w:w="1417"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COD</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0.0</w:t>
            </w:r>
            <w:r>
              <w:rPr>
                <w:rFonts w:hint="eastAsia" w:ascii="Times New Roman"/>
                <w:snapToGrid w:val="0"/>
                <w:color w:val="000000"/>
                <w:kern w:val="21"/>
                <w:szCs w:val="24"/>
              </w:rPr>
              <w:t>086</w:t>
            </w:r>
            <w:r>
              <w:rPr>
                <w:rFonts w:ascii="Times New Roman"/>
                <w:snapToGrid w:val="0"/>
                <w:color w:val="000000"/>
                <w:kern w:val="21"/>
                <w:szCs w:val="24"/>
              </w:rPr>
              <w:t>t/a</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0.0</w:t>
            </w:r>
            <w:r>
              <w:rPr>
                <w:rFonts w:hint="eastAsia" w:ascii="Times New Roman"/>
                <w:snapToGrid w:val="0"/>
                <w:color w:val="000000"/>
                <w:kern w:val="21"/>
                <w:szCs w:val="24"/>
              </w:rPr>
              <w:t>086</w:t>
            </w:r>
            <w:r>
              <w:rPr>
                <w:rFonts w:ascii="Times New Roman"/>
                <w:snapToGrid w:val="0"/>
                <w:color w:val="000000"/>
                <w:kern w:val="21"/>
                <w:szCs w:val="24"/>
              </w:rPr>
              <w:t>t/a</w:t>
            </w:r>
          </w:p>
        </w:tc>
        <w:tc>
          <w:tcPr>
            <w:tcW w:w="1404" w:type="dxa"/>
            <w:vAlign w:val="center"/>
          </w:tcPr>
          <w:p>
            <w:pPr>
              <w:pStyle w:val="38"/>
              <w:spacing w:beforeLines="0" w:afterLines="0" w:line="240" w:lineRule="auto"/>
              <w:rPr>
                <w:rFonts w:ascii="Times New Roman"/>
                <w:snapToGrid w:val="0"/>
                <w:color w:val="000000"/>
                <w:kern w:val="21"/>
                <w:szCs w:val="24"/>
              </w:rPr>
            </w:pPr>
            <w:r>
              <w:rPr>
                <w:rFonts w:hint="eastAsia"/>
                <w:snapToGrid w:val="0"/>
                <w:color w:val="000000"/>
                <w:kern w:val="21"/>
                <w:szCs w:val="24"/>
              </w:rPr>
              <w:t>+</w:t>
            </w:r>
            <w:r>
              <w:rPr>
                <w:rFonts w:ascii="Times New Roman"/>
                <w:snapToGrid w:val="0"/>
                <w:color w:val="000000"/>
                <w:kern w:val="21"/>
                <w:szCs w:val="24"/>
              </w:rPr>
              <w:t>0.0</w:t>
            </w:r>
            <w:r>
              <w:rPr>
                <w:rFonts w:hint="eastAsia" w:ascii="Times New Roman"/>
                <w:snapToGrid w:val="0"/>
                <w:color w:val="000000"/>
                <w:kern w:val="21"/>
                <w:szCs w:val="24"/>
              </w:rPr>
              <w:t>086</w:t>
            </w:r>
            <w:r>
              <w:rPr>
                <w:rFonts w:ascii="Times New Roman"/>
                <w:snapToGrid w:val="0"/>
                <w:color w:val="000000"/>
                <w:kern w:val="21"/>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8"/>
              <w:spacing w:beforeLines="0" w:afterLines="0" w:line="240" w:lineRule="auto"/>
              <w:rPr>
                <w:rFonts w:ascii="Times New Roman"/>
                <w:snapToGrid w:val="0"/>
                <w:color w:val="000000"/>
                <w:kern w:val="21"/>
                <w:szCs w:val="24"/>
              </w:rPr>
            </w:pPr>
          </w:p>
        </w:tc>
        <w:tc>
          <w:tcPr>
            <w:tcW w:w="1417"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NH</w:t>
            </w:r>
            <w:r>
              <w:rPr>
                <w:rFonts w:ascii="Times New Roman"/>
                <w:snapToGrid w:val="0"/>
                <w:color w:val="000000"/>
                <w:kern w:val="21"/>
                <w:szCs w:val="24"/>
                <w:vertAlign w:val="subscript"/>
              </w:rPr>
              <w:t>3</w:t>
            </w:r>
            <w:r>
              <w:rPr>
                <w:rFonts w:ascii="Times New Roman"/>
                <w:snapToGrid w:val="0"/>
                <w:color w:val="000000"/>
                <w:kern w:val="21"/>
                <w:szCs w:val="24"/>
              </w:rPr>
              <w:t>-N</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0.00</w:t>
            </w:r>
            <w:r>
              <w:rPr>
                <w:rFonts w:hint="eastAsia" w:ascii="Times New Roman"/>
                <w:snapToGrid w:val="0"/>
                <w:color w:val="000000"/>
                <w:kern w:val="21"/>
                <w:szCs w:val="24"/>
              </w:rPr>
              <w:t>07</w:t>
            </w:r>
            <w:r>
              <w:rPr>
                <w:rFonts w:ascii="Times New Roman"/>
                <w:snapToGrid w:val="0"/>
                <w:color w:val="000000"/>
                <w:kern w:val="21"/>
                <w:szCs w:val="24"/>
              </w:rPr>
              <w:t>t/a</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0.00</w:t>
            </w:r>
            <w:r>
              <w:rPr>
                <w:rFonts w:hint="eastAsia" w:ascii="Times New Roman"/>
                <w:snapToGrid w:val="0"/>
                <w:color w:val="000000"/>
                <w:kern w:val="21"/>
                <w:szCs w:val="24"/>
              </w:rPr>
              <w:t>07</w:t>
            </w:r>
            <w:r>
              <w:rPr>
                <w:rFonts w:ascii="Times New Roman"/>
                <w:snapToGrid w:val="0"/>
                <w:color w:val="000000"/>
                <w:kern w:val="21"/>
                <w:szCs w:val="24"/>
              </w:rPr>
              <w:t>t/a</w:t>
            </w:r>
          </w:p>
        </w:tc>
        <w:tc>
          <w:tcPr>
            <w:tcW w:w="1404" w:type="dxa"/>
            <w:vAlign w:val="center"/>
          </w:tcPr>
          <w:p>
            <w:pPr>
              <w:pStyle w:val="38"/>
              <w:spacing w:beforeLines="0" w:afterLines="0" w:line="240" w:lineRule="auto"/>
              <w:rPr>
                <w:rFonts w:ascii="Times New Roman"/>
                <w:snapToGrid w:val="0"/>
                <w:color w:val="000000"/>
                <w:kern w:val="21"/>
                <w:szCs w:val="24"/>
              </w:rPr>
            </w:pPr>
            <w:r>
              <w:rPr>
                <w:rFonts w:hint="eastAsia"/>
                <w:snapToGrid w:val="0"/>
                <w:color w:val="000000"/>
                <w:kern w:val="21"/>
                <w:szCs w:val="24"/>
              </w:rPr>
              <w:t>+</w:t>
            </w:r>
            <w:r>
              <w:rPr>
                <w:rFonts w:ascii="Times New Roman"/>
                <w:snapToGrid w:val="0"/>
                <w:color w:val="000000"/>
                <w:kern w:val="21"/>
                <w:szCs w:val="24"/>
              </w:rPr>
              <w:t>0.00</w:t>
            </w:r>
            <w:r>
              <w:rPr>
                <w:rFonts w:hint="eastAsia" w:ascii="Times New Roman"/>
                <w:snapToGrid w:val="0"/>
                <w:color w:val="000000"/>
                <w:kern w:val="21"/>
                <w:szCs w:val="24"/>
              </w:rPr>
              <w:t>07</w:t>
            </w:r>
            <w:r>
              <w:rPr>
                <w:rFonts w:ascii="Times New Roman"/>
                <w:snapToGrid w:val="0"/>
                <w:color w:val="000000"/>
                <w:kern w:val="21"/>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一般工业</w:t>
            </w:r>
          </w:p>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固体废物</w:t>
            </w:r>
          </w:p>
        </w:tc>
        <w:tc>
          <w:tcPr>
            <w:tcW w:w="1417" w:type="dxa"/>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1"/>
              </w:rPr>
              <w:t>/</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jc w:val="center"/>
              <w:rPr>
                <w:snapToGrid w:val="0"/>
                <w:color w:val="000000"/>
                <w:kern w:val="21"/>
                <w:sz w:val="24"/>
              </w:rPr>
            </w:pPr>
            <w:r>
              <w:rPr>
                <w:snapToGrid w:val="0"/>
                <w:color w:val="000000"/>
                <w:kern w:val="21"/>
                <w:szCs w:val="21"/>
              </w:rPr>
              <w:t>/</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jc w:val="center"/>
              <w:rPr>
                <w:snapToGrid w:val="0"/>
                <w:color w:val="000000"/>
                <w:kern w:val="21"/>
                <w:sz w:val="24"/>
              </w:rPr>
            </w:pPr>
            <w:r>
              <w:rPr>
                <w:snapToGrid w:val="0"/>
                <w:color w:val="000000"/>
                <w:kern w:val="21"/>
                <w:szCs w:val="21"/>
              </w:rPr>
              <w:t>/</w:t>
            </w:r>
          </w:p>
        </w:tc>
        <w:tc>
          <w:tcPr>
            <w:tcW w:w="1404" w:type="dxa"/>
            <w:vAlign w:val="center"/>
          </w:tcPr>
          <w:p>
            <w:pPr>
              <w:jc w:val="center"/>
              <w:rPr>
                <w:snapToGrid w:val="0"/>
                <w:color w:val="000000"/>
                <w:kern w:val="21"/>
                <w:sz w:val="24"/>
              </w:rPr>
            </w:pPr>
            <w:r>
              <w:rPr>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38"/>
              <w:spacing w:beforeLines="0" w:afterLines="0" w:line="240" w:lineRule="auto"/>
              <w:rPr>
                <w:rFonts w:ascii="Times New Roman"/>
                <w:snapToGrid w:val="0"/>
                <w:color w:val="000000"/>
                <w:kern w:val="21"/>
                <w:szCs w:val="24"/>
              </w:rPr>
            </w:pPr>
            <w:r>
              <w:rPr>
                <w:rFonts w:ascii="Times New Roman"/>
                <w:snapToGrid w:val="0"/>
                <w:color w:val="000000"/>
                <w:kern w:val="21"/>
                <w:szCs w:val="24"/>
              </w:rPr>
              <w:t>危险废物</w:t>
            </w:r>
          </w:p>
        </w:tc>
        <w:tc>
          <w:tcPr>
            <w:tcW w:w="1417" w:type="dxa"/>
            <w:vAlign w:val="center"/>
          </w:tcPr>
          <w:p>
            <w:pPr>
              <w:jc w:val="center"/>
              <w:outlineLvl w:val="0"/>
              <w:rPr>
                <w:snapToGrid w:val="0"/>
                <w:color w:val="000000"/>
                <w:kern w:val="21"/>
                <w:sz w:val="24"/>
              </w:rPr>
            </w:pPr>
            <w:r>
              <w:rPr>
                <w:snapToGrid w:val="0"/>
                <w:color w:val="000000"/>
                <w:kern w:val="21"/>
                <w:sz w:val="24"/>
              </w:rPr>
              <w:t>油泥</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jc w:val="center"/>
              <w:outlineLvl w:val="0"/>
              <w:rPr>
                <w:snapToGrid w:val="0"/>
                <w:color w:val="000000"/>
                <w:kern w:val="21"/>
                <w:sz w:val="24"/>
              </w:rPr>
            </w:pPr>
            <w:r>
              <w:rPr>
                <w:rFonts w:hint="eastAsia"/>
                <w:snapToGrid w:val="0"/>
                <w:color w:val="000000"/>
                <w:kern w:val="21"/>
                <w:sz w:val="24"/>
              </w:rPr>
              <w:t>1</w:t>
            </w:r>
            <w:r>
              <w:rPr>
                <w:snapToGrid w:val="0"/>
                <w:color w:val="000000"/>
                <w:kern w:val="21"/>
                <w:sz w:val="24"/>
              </w:rPr>
              <w:t>t/3a</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jc w:val="center"/>
              <w:outlineLvl w:val="0"/>
              <w:rPr>
                <w:snapToGrid w:val="0"/>
                <w:color w:val="000000"/>
                <w:kern w:val="21"/>
                <w:sz w:val="24"/>
              </w:rPr>
            </w:pPr>
            <w:r>
              <w:rPr>
                <w:rFonts w:hint="eastAsia"/>
                <w:snapToGrid w:val="0"/>
                <w:color w:val="000000"/>
                <w:kern w:val="21"/>
                <w:sz w:val="24"/>
              </w:rPr>
              <w:t>1</w:t>
            </w:r>
            <w:r>
              <w:rPr>
                <w:snapToGrid w:val="0"/>
                <w:color w:val="000000"/>
                <w:kern w:val="21"/>
                <w:sz w:val="24"/>
              </w:rPr>
              <w:t>t/3a</w:t>
            </w:r>
          </w:p>
        </w:tc>
        <w:tc>
          <w:tcPr>
            <w:tcW w:w="1404" w:type="dxa"/>
            <w:vAlign w:val="center"/>
          </w:tcPr>
          <w:p>
            <w:pPr>
              <w:jc w:val="center"/>
              <w:outlineLvl w:val="0"/>
              <w:rPr>
                <w:snapToGrid w:val="0"/>
                <w:color w:val="000000"/>
                <w:kern w:val="21"/>
                <w:sz w:val="24"/>
              </w:rPr>
            </w:pPr>
            <w:r>
              <w:rPr>
                <w:rFonts w:hint="eastAsia"/>
                <w:snapToGrid w:val="0"/>
                <w:color w:val="000000"/>
                <w:kern w:val="21"/>
                <w:sz w:val="24"/>
              </w:rPr>
              <w:t>+1</w:t>
            </w:r>
            <w:r>
              <w:rPr>
                <w:snapToGrid w:val="0"/>
                <w:color w:val="000000"/>
                <w:kern w:val="21"/>
                <w:sz w:val="24"/>
              </w:rPr>
              <w:t>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8"/>
              <w:spacing w:beforeLines="0" w:afterLines="0" w:line="240" w:lineRule="auto"/>
              <w:rPr>
                <w:rFonts w:ascii="Times New Roman"/>
                <w:snapToGrid w:val="0"/>
                <w:color w:val="000000"/>
                <w:kern w:val="21"/>
                <w:szCs w:val="24"/>
              </w:rPr>
            </w:pPr>
          </w:p>
        </w:tc>
        <w:tc>
          <w:tcPr>
            <w:tcW w:w="1417" w:type="dxa"/>
            <w:vAlign w:val="center"/>
          </w:tcPr>
          <w:p>
            <w:pPr>
              <w:jc w:val="center"/>
              <w:outlineLvl w:val="0"/>
              <w:rPr>
                <w:color w:val="000000"/>
                <w:sz w:val="24"/>
              </w:rPr>
            </w:pPr>
            <w:r>
              <w:rPr>
                <w:snapToGrid w:val="0"/>
                <w:color w:val="000000"/>
                <w:kern w:val="21"/>
                <w:sz w:val="24"/>
              </w:rPr>
              <w:t>废抹布</w:t>
            </w:r>
          </w:p>
        </w:tc>
        <w:tc>
          <w:tcPr>
            <w:tcW w:w="1526" w:type="dxa"/>
            <w:vAlign w:val="center"/>
          </w:tcPr>
          <w:p>
            <w:pPr>
              <w:jc w:val="center"/>
              <w:rPr>
                <w:snapToGrid w:val="0"/>
                <w:color w:val="000000"/>
                <w:kern w:val="21"/>
                <w:sz w:val="24"/>
              </w:rPr>
            </w:pPr>
            <w:r>
              <w:rPr>
                <w:snapToGrid w:val="0"/>
                <w:color w:val="000000"/>
                <w:kern w:val="21"/>
                <w:szCs w:val="21"/>
              </w:rPr>
              <w:t>/</w:t>
            </w:r>
          </w:p>
        </w:tc>
        <w:tc>
          <w:tcPr>
            <w:tcW w:w="1380" w:type="dxa"/>
            <w:vAlign w:val="center"/>
          </w:tcPr>
          <w:p>
            <w:pPr>
              <w:jc w:val="center"/>
              <w:rPr>
                <w:snapToGrid w:val="0"/>
                <w:color w:val="000000"/>
                <w:kern w:val="21"/>
                <w:sz w:val="24"/>
              </w:rPr>
            </w:pPr>
            <w:r>
              <w:rPr>
                <w:snapToGrid w:val="0"/>
                <w:color w:val="000000"/>
                <w:kern w:val="21"/>
                <w:szCs w:val="21"/>
              </w:rPr>
              <w:t>/</w:t>
            </w:r>
          </w:p>
        </w:tc>
        <w:tc>
          <w:tcPr>
            <w:tcW w:w="1538" w:type="dxa"/>
            <w:vAlign w:val="center"/>
          </w:tcPr>
          <w:p>
            <w:pPr>
              <w:jc w:val="center"/>
              <w:rPr>
                <w:snapToGrid w:val="0"/>
                <w:color w:val="000000"/>
                <w:kern w:val="21"/>
                <w:sz w:val="24"/>
              </w:rPr>
            </w:pPr>
            <w:r>
              <w:rPr>
                <w:snapToGrid w:val="0"/>
                <w:color w:val="000000"/>
                <w:kern w:val="21"/>
                <w:szCs w:val="21"/>
              </w:rPr>
              <w:t>/</w:t>
            </w:r>
          </w:p>
        </w:tc>
        <w:tc>
          <w:tcPr>
            <w:tcW w:w="1620" w:type="dxa"/>
            <w:vAlign w:val="center"/>
          </w:tcPr>
          <w:p>
            <w:pPr>
              <w:jc w:val="center"/>
              <w:outlineLvl w:val="0"/>
              <w:rPr>
                <w:snapToGrid w:val="0"/>
                <w:color w:val="000000"/>
                <w:kern w:val="21"/>
                <w:sz w:val="24"/>
              </w:rPr>
            </w:pPr>
            <w:r>
              <w:rPr>
                <w:snapToGrid w:val="0"/>
                <w:color w:val="000000"/>
                <w:kern w:val="21"/>
                <w:sz w:val="24"/>
              </w:rPr>
              <w:t>0.015 t/a</w:t>
            </w:r>
          </w:p>
        </w:tc>
        <w:tc>
          <w:tcPr>
            <w:tcW w:w="1725" w:type="dxa"/>
            <w:vAlign w:val="center"/>
          </w:tcPr>
          <w:p>
            <w:pPr>
              <w:jc w:val="center"/>
              <w:rPr>
                <w:snapToGrid w:val="0"/>
                <w:color w:val="000000"/>
                <w:kern w:val="21"/>
                <w:sz w:val="24"/>
              </w:rPr>
            </w:pPr>
            <w:r>
              <w:rPr>
                <w:snapToGrid w:val="0"/>
                <w:color w:val="000000"/>
                <w:kern w:val="21"/>
                <w:szCs w:val="21"/>
              </w:rPr>
              <w:t>/</w:t>
            </w:r>
          </w:p>
        </w:tc>
        <w:tc>
          <w:tcPr>
            <w:tcW w:w="1590" w:type="dxa"/>
            <w:vAlign w:val="center"/>
          </w:tcPr>
          <w:p>
            <w:pPr>
              <w:jc w:val="center"/>
              <w:outlineLvl w:val="0"/>
              <w:rPr>
                <w:snapToGrid w:val="0"/>
                <w:color w:val="000000"/>
                <w:kern w:val="21"/>
                <w:sz w:val="24"/>
              </w:rPr>
            </w:pPr>
            <w:r>
              <w:rPr>
                <w:snapToGrid w:val="0"/>
                <w:color w:val="000000"/>
                <w:kern w:val="21"/>
                <w:sz w:val="24"/>
              </w:rPr>
              <w:t>0.015t/a</w:t>
            </w:r>
          </w:p>
        </w:tc>
        <w:tc>
          <w:tcPr>
            <w:tcW w:w="1404" w:type="dxa"/>
            <w:vAlign w:val="center"/>
          </w:tcPr>
          <w:p>
            <w:pPr>
              <w:jc w:val="center"/>
              <w:outlineLvl w:val="0"/>
              <w:rPr>
                <w:snapToGrid w:val="0"/>
                <w:color w:val="000000"/>
                <w:kern w:val="21"/>
                <w:sz w:val="24"/>
              </w:rPr>
            </w:pPr>
            <w:r>
              <w:rPr>
                <w:rFonts w:hint="eastAsia"/>
                <w:snapToGrid w:val="0"/>
                <w:color w:val="000000"/>
                <w:kern w:val="21"/>
                <w:sz w:val="24"/>
              </w:rPr>
              <w:t>+</w:t>
            </w:r>
            <w:r>
              <w:rPr>
                <w:snapToGrid w:val="0"/>
                <w:color w:val="000000"/>
                <w:kern w:val="21"/>
                <w:sz w:val="24"/>
              </w:rPr>
              <w:t>0.015t/a</w:t>
            </w:r>
          </w:p>
        </w:tc>
      </w:tr>
    </w:tbl>
    <w:p>
      <w:pPr>
        <w:pStyle w:val="38"/>
        <w:spacing w:before="192" w:beforeLines="80" w:after="24"/>
        <w:jc w:val="left"/>
        <w:rPr>
          <w:rFonts w:ascii="Times New Roman"/>
          <w:snapToGrid w:val="0"/>
          <w:color w:val="000000"/>
          <w:kern w:val="21"/>
          <w:szCs w:val="21"/>
        </w:rPr>
      </w:pPr>
      <w:r>
        <w:rPr>
          <w:rFonts w:ascii="Times New Roman"/>
          <w:snapToGrid w:val="0"/>
          <w:color w:val="000000"/>
          <w:kern w:val="21"/>
          <w:szCs w:val="21"/>
        </w:rPr>
        <w:t>注：</w:t>
      </w:r>
      <w:r>
        <w:rPr>
          <w:rFonts w:ascii="Times New Roman"/>
          <w:snapToGrid w:val="0"/>
          <w:color w:val="000000"/>
          <w:kern w:val="21"/>
          <w:szCs w:val="21"/>
        </w:rPr>
        <w:fldChar w:fldCharType="begin"/>
      </w:r>
      <w:r>
        <w:rPr>
          <w:rFonts w:ascii="Times New Roman"/>
          <w:snapToGrid w:val="0"/>
          <w:color w:val="000000"/>
          <w:kern w:val="21"/>
          <w:szCs w:val="21"/>
        </w:rPr>
        <w:instrText xml:space="preserve"> = 6 \* GB3 \* MERGEFORMAT </w:instrText>
      </w:r>
      <w:r>
        <w:rPr>
          <w:rFonts w:ascii="Times New Roman"/>
          <w:snapToGrid w:val="0"/>
          <w:color w:val="000000"/>
          <w:kern w:val="21"/>
          <w:szCs w:val="21"/>
        </w:rPr>
        <w:fldChar w:fldCharType="separate"/>
      </w:r>
      <w:r>
        <w:rPr>
          <w:rFonts w:hint="eastAsia" w:hAnsi="宋体" w:cs="宋体"/>
          <w:color w:val="000000"/>
          <w:szCs w:val="21"/>
        </w:rPr>
        <w:t>⑥</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1 \* GB3 \* MERGEFORMAT </w:instrText>
      </w:r>
      <w:r>
        <w:rPr>
          <w:rFonts w:ascii="Times New Roman"/>
          <w:snapToGrid w:val="0"/>
          <w:color w:val="000000"/>
          <w:kern w:val="21"/>
          <w:szCs w:val="21"/>
        </w:rPr>
        <w:fldChar w:fldCharType="separate"/>
      </w:r>
      <w:r>
        <w:rPr>
          <w:rFonts w:hint="eastAsia" w:hAnsi="宋体" w:cs="宋体"/>
          <w:color w:val="000000"/>
          <w:szCs w:val="21"/>
        </w:rPr>
        <w:t>①</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3 \* GB3 \* MERGEFORMAT </w:instrText>
      </w:r>
      <w:r>
        <w:rPr>
          <w:rFonts w:ascii="Times New Roman"/>
          <w:snapToGrid w:val="0"/>
          <w:color w:val="000000"/>
          <w:kern w:val="21"/>
          <w:szCs w:val="21"/>
        </w:rPr>
        <w:fldChar w:fldCharType="separate"/>
      </w:r>
      <w:r>
        <w:rPr>
          <w:rFonts w:hint="eastAsia" w:hAnsi="宋体" w:cs="宋体"/>
          <w:color w:val="000000"/>
          <w:szCs w:val="21"/>
        </w:rPr>
        <w:t>③</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4 \* GB3 \* MERGEFORMAT </w:instrText>
      </w:r>
      <w:r>
        <w:rPr>
          <w:rFonts w:ascii="Times New Roman"/>
          <w:snapToGrid w:val="0"/>
          <w:color w:val="000000"/>
          <w:kern w:val="21"/>
          <w:szCs w:val="21"/>
        </w:rPr>
        <w:fldChar w:fldCharType="separate"/>
      </w:r>
      <w:r>
        <w:rPr>
          <w:rFonts w:hint="eastAsia" w:hAnsi="宋体" w:cs="宋体"/>
          <w:color w:val="000000"/>
          <w:szCs w:val="21"/>
        </w:rPr>
        <w:t>④</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5 \* GB3 \* MERGEFORMAT </w:instrText>
      </w:r>
      <w:r>
        <w:rPr>
          <w:rFonts w:ascii="Times New Roman"/>
          <w:snapToGrid w:val="0"/>
          <w:color w:val="000000"/>
          <w:kern w:val="21"/>
          <w:szCs w:val="21"/>
        </w:rPr>
        <w:fldChar w:fldCharType="separate"/>
      </w:r>
      <w:r>
        <w:rPr>
          <w:rFonts w:hint="eastAsia" w:hAnsi="宋体" w:cs="宋体"/>
          <w:color w:val="000000"/>
          <w:szCs w:val="21"/>
        </w:rPr>
        <w:t>⑤</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7 \* GB3 \* MERGEFORMAT </w:instrText>
      </w:r>
      <w:r>
        <w:rPr>
          <w:rFonts w:ascii="Times New Roman"/>
          <w:snapToGrid w:val="0"/>
          <w:color w:val="000000"/>
          <w:kern w:val="21"/>
          <w:szCs w:val="21"/>
        </w:rPr>
        <w:fldChar w:fldCharType="separate"/>
      </w:r>
      <w:r>
        <w:rPr>
          <w:rFonts w:hint="eastAsia" w:hAnsi="宋体" w:cs="宋体"/>
          <w:color w:val="000000"/>
          <w:szCs w:val="21"/>
        </w:rPr>
        <w:t>⑦</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6 \* GB3 \* MERGEFORMAT </w:instrText>
      </w:r>
      <w:r>
        <w:rPr>
          <w:rFonts w:ascii="Times New Roman"/>
          <w:snapToGrid w:val="0"/>
          <w:color w:val="000000"/>
          <w:kern w:val="21"/>
          <w:szCs w:val="21"/>
        </w:rPr>
        <w:fldChar w:fldCharType="separate"/>
      </w:r>
      <w:r>
        <w:rPr>
          <w:rFonts w:hint="eastAsia" w:hAnsi="宋体" w:cs="宋体"/>
          <w:color w:val="000000"/>
          <w:szCs w:val="21"/>
        </w:rPr>
        <w:t>⑥</w:t>
      </w:r>
      <w:r>
        <w:rPr>
          <w:rFonts w:ascii="Times New Roman"/>
          <w:snapToGrid w:val="0"/>
          <w:color w:val="000000"/>
          <w:kern w:val="21"/>
          <w:szCs w:val="21"/>
        </w:rPr>
        <w:fldChar w:fldCharType="end"/>
      </w:r>
      <w:r>
        <w:rPr>
          <w:rFonts w:ascii="Times New Roman"/>
          <w:snapToGrid w:val="0"/>
          <w:color w:val="000000"/>
          <w:kern w:val="21"/>
          <w:szCs w:val="21"/>
        </w:rPr>
        <w:t>-</w:t>
      </w:r>
      <w:r>
        <w:rPr>
          <w:rFonts w:ascii="Times New Roman"/>
          <w:snapToGrid w:val="0"/>
          <w:color w:val="000000"/>
          <w:kern w:val="21"/>
          <w:szCs w:val="21"/>
        </w:rPr>
        <w:fldChar w:fldCharType="begin"/>
      </w:r>
      <w:r>
        <w:rPr>
          <w:rFonts w:ascii="Times New Roman"/>
          <w:snapToGrid w:val="0"/>
          <w:color w:val="000000"/>
          <w:kern w:val="21"/>
          <w:szCs w:val="21"/>
        </w:rPr>
        <w:instrText xml:space="preserve"> = 1 \* GB3 \* MERGEFORMAT </w:instrText>
      </w:r>
      <w:r>
        <w:rPr>
          <w:rFonts w:ascii="Times New Roman"/>
          <w:snapToGrid w:val="0"/>
          <w:color w:val="000000"/>
          <w:kern w:val="21"/>
          <w:szCs w:val="21"/>
        </w:rPr>
        <w:fldChar w:fldCharType="separate"/>
      </w:r>
      <w:r>
        <w:rPr>
          <w:rFonts w:hint="eastAsia" w:hAnsi="宋体" w:cs="宋体"/>
          <w:color w:val="000000"/>
          <w:szCs w:val="21"/>
        </w:rPr>
        <w:t>①</w:t>
      </w:r>
      <w:r>
        <w:rPr>
          <w:rFonts w:ascii="Times New Roman"/>
          <w:snapToGrid w:val="0"/>
          <w:color w:val="000000"/>
          <w:kern w:val="21"/>
          <w:szCs w:val="21"/>
        </w:rPr>
        <w:fldChar w:fldCharType="end"/>
      </w:r>
    </w:p>
    <w:p>
      <w:pPr>
        <w:rPr>
          <w:color w:val="000000"/>
        </w:rPr>
      </w:pPr>
    </w:p>
    <w:sectPr>
      <w:footerReference r:id="rId8"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9CB81"/>
    <w:multiLevelType w:val="singleLevel"/>
    <w:tmpl w:val="C1F9CB81"/>
    <w:lvl w:ilvl="0" w:tentative="0">
      <w:start w:val="2"/>
      <w:numFmt w:val="decimal"/>
      <w:suff w:val="nothing"/>
      <w:lvlText w:val="%1、"/>
      <w:lvlJc w:val="left"/>
    </w:lvl>
  </w:abstractNum>
  <w:abstractNum w:abstractNumId="1">
    <w:nsid w:val="12074BFF"/>
    <w:multiLevelType w:val="multilevel"/>
    <w:tmpl w:val="12074BFF"/>
    <w:lvl w:ilvl="0" w:tentative="0">
      <w:start w:val="1"/>
      <w:numFmt w:val="decimal"/>
      <w:pStyle w:val="58"/>
      <w:lvlText w:val="%1."/>
      <w:lvlJc w:val="left"/>
      <w:pPr>
        <w:ind w:left="425" w:hanging="425"/>
      </w:pPr>
      <w:rPr>
        <w:rFonts w:hint="eastAsia"/>
      </w:rPr>
    </w:lvl>
    <w:lvl w:ilvl="1" w:tentative="0">
      <w:start w:val="1"/>
      <w:numFmt w:val="decimal"/>
      <w:pStyle w:val="48"/>
      <w:suff w:val="space"/>
      <w:lvlText w:val="%1.%2."/>
      <w:lvlJc w:val="left"/>
      <w:pPr>
        <w:ind w:left="567" w:hanging="567"/>
      </w:pPr>
      <w:rPr>
        <w:rFonts w:hint="eastAsia"/>
      </w:rPr>
    </w:lvl>
    <w:lvl w:ilvl="2" w:tentative="0">
      <w:start w:val="1"/>
      <w:numFmt w:val="decimal"/>
      <w:pStyle w:val="62"/>
      <w:suff w:val="space"/>
      <w:lvlText w:val="%1.%2.%3."/>
      <w:lvlJc w:val="left"/>
      <w:pPr>
        <w:ind w:left="992" w:hanging="709"/>
      </w:pPr>
      <w:rPr>
        <w:rFonts w:hint="eastAsia"/>
        <w:b/>
        <w:bCs/>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9"/>
      <w:lvlText w:val="%1.%2.%3.%4."/>
      <w:lvlJc w:val="left"/>
      <w:pPr>
        <w:ind w:left="8790" w:hanging="851"/>
      </w:pPr>
      <w:rPr>
        <w:rFonts w:hint="eastAsia"/>
        <w:b/>
        <w:bCs/>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Restart w:val="2"/>
      <w:pStyle w:val="44"/>
      <w:suff w:val="space"/>
      <w:lvlText w:val="表%1.%2-%5."/>
      <w:lvlJc w:val="left"/>
      <w:pPr>
        <w:ind w:left="2693" w:hanging="992"/>
      </w:pPr>
      <w:rPr>
        <w:rFonts w:hint="eastAsia"/>
        <w:lang w:val="en-US"/>
      </w:rPr>
    </w:lvl>
    <w:lvl w:ilvl="5" w:tentative="0">
      <w:start w:val="1"/>
      <w:numFmt w:val="decimal"/>
      <w:lvlRestart w:val="2"/>
      <w:pStyle w:val="50"/>
      <w:suff w:val="space"/>
      <w:lvlText w:val="图%1.%2-%6."/>
      <w:lvlJc w:val="left"/>
      <w:pPr>
        <w:ind w:left="3543" w:hanging="1134"/>
      </w:pPr>
      <w:rPr>
        <w:rFonts w:hint="eastAsia"/>
      </w:rPr>
    </w:lvl>
    <w:lvl w:ilvl="6" w:tentative="0">
      <w:start w:val="1"/>
      <w:numFmt w:val="decimal"/>
      <w:lvlRestart w:val="2"/>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505"/>
        </w:tabs>
        <w:ind w:left="1080" w:firstLine="0"/>
      </w:pPr>
    </w:lvl>
    <w:lvl w:ilvl="2" w:tentative="0">
      <w:start w:val="1"/>
      <w:numFmt w:val="decimal"/>
      <w:lvlText w:val="%3."/>
      <w:lvlJc w:val="left"/>
      <w:pPr>
        <w:tabs>
          <w:tab w:val="left" w:pos="2126"/>
        </w:tabs>
        <w:ind w:left="1701" w:firstLine="0"/>
      </w:pPr>
    </w:lvl>
    <w:lvl w:ilvl="3" w:tentative="0">
      <w:start w:val="1"/>
      <w:numFmt w:val="lowerLetter"/>
      <w:pStyle w:val="2"/>
      <w:lvlText w:val="%4)"/>
      <w:lvlJc w:val="left"/>
      <w:pPr>
        <w:tabs>
          <w:tab w:val="left" w:pos="2976"/>
        </w:tabs>
        <w:ind w:left="2551" w:firstLine="0"/>
      </w:pPr>
    </w:lvl>
    <w:lvl w:ilvl="4" w:tentative="0">
      <w:start w:val="1"/>
      <w:numFmt w:val="decimal"/>
      <w:pStyle w:val="5"/>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2DD7456E"/>
    <w:multiLevelType w:val="singleLevel"/>
    <w:tmpl w:val="2DD7456E"/>
    <w:lvl w:ilvl="0" w:tentative="0">
      <w:start w:val="1"/>
      <w:numFmt w:val="decimal"/>
      <w:suff w:val="nothing"/>
      <w:lvlText w:val="%1、"/>
      <w:lvlJc w:val="left"/>
    </w:lvl>
  </w:abstractNum>
  <w:abstractNum w:abstractNumId="4">
    <w:nsid w:val="70909A65"/>
    <w:multiLevelType w:val="singleLevel"/>
    <w:tmpl w:val="70909A6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86"/>
    <w:rsid w:val="000060B3"/>
    <w:rsid w:val="0003060D"/>
    <w:rsid w:val="0004364B"/>
    <w:rsid w:val="00051A22"/>
    <w:rsid w:val="000618E9"/>
    <w:rsid w:val="00061B1F"/>
    <w:rsid w:val="000733C4"/>
    <w:rsid w:val="00073754"/>
    <w:rsid w:val="00074783"/>
    <w:rsid w:val="0008070B"/>
    <w:rsid w:val="000810AC"/>
    <w:rsid w:val="00081A02"/>
    <w:rsid w:val="00082231"/>
    <w:rsid w:val="000879F3"/>
    <w:rsid w:val="00091643"/>
    <w:rsid w:val="00092D38"/>
    <w:rsid w:val="0009377B"/>
    <w:rsid w:val="000A09C9"/>
    <w:rsid w:val="000A20C9"/>
    <w:rsid w:val="000A3CC0"/>
    <w:rsid w:val="000B058F"/>
    <w:rsid w:val="000B0868"/>
    <w:rsid w:val="000B4467"/>
    <w:rsid w:val="000B4900"/>
    <w:rsid w:val="000B4DB9"/>
    <w:rsid w:val="000C09AC"/>
    <w:rsid w:val="000C2B48"/>
    <w:rsid w:val="000C767F"/>
    <w:rsid w:val="000D5A44"/>
    <w:rsid w:val="000E3ED2"/>
    <w:rsid w:val="000E475A"/>
    <w:rsid w:val="000E4E2C"/>
    <w:rsid w:val="000F1471"/>
    <w:rsid w:val="00131F42"/>
    <w:rsid w:val="001357F1"/>
    <w:rsid w:val="00140FA8"/>
    <w:rsid w:val="00142FEB"/>
    <w:rsid w:val="00143A2D"/>
    <w:rsid w:val="00145A41"/>
    <w:rsid w:val="00145EB9"/>
    <w:rsid w:val="001479B3"/>
    <w:rsid w:val="00151675"/>
    <w:rsid w:val="00155CC3"/>
    <w:rsid w:val="00157435"/>
    <w:rsid w:val="00165134"/>
    <w:rsid w:val="0017145B"/>
    <w:rsid w:val="00172A27"/>
    <w:rsid w:val="0017504D"/>
    <w:rsid w:val="0017671A"/>
    <w:rsid w:val="00177422"/>
    <w:rsid w:val="00181B51"/>
    <w:rsid w:val="0018262B"/>
    <w:rsid w:val="00184590"/>
    <w:rsid w:val="001870D1"/>
    <w:rsid w:val="0018781E"/>
    <w:rsid w:val="0019262D"/>
    <w:rsid w:val="001A1B35"/>
    <w:rsid w:val="001A48A2"/>
    <w:rsid w:val="001A6F61"/>
    <w:rsid w:val="001B13A6"/>
    <w:rsid w:val="001B72B8"/>
    <w:rsid w:val="001B72F1"/>
    <w:rsid w:val="001C69B3"/>
    <w:rsid w:val="001D5595"/>
    <w:rsid w:val="001D7874"/>
    <w:rsid w:val="001D7F22"/>
    <w:rsid w:val="001E4CD7"/>
    <w:rsid w:val="001F0F17"/>
    <w:rsid w:val="001F3347"/>
    <w:rsid w:val="001F35A3"/>
    <w:rsid w:val="001F69E4"/>
    <w:rsid w:val="002022A1"/>
    <w:rsid w:val="00202A22"/>
    <w:rsid w:val="00204667"/>
    <w:rsid w:val="002125B4"/>
    <w:rsid w:val="0021288F"/>
    <w:rsid w:val="002155B8"/>
    <w:rsid w:val="00222A18"/>
    <w:rsid w:val="00224839"/>
    <w:rsid w:val="002249B2"/>
    <w:rsid w:val="00226574"/>
    <w:rsid w:val="002278EC"/>
    <w:rsid w:val="0023280E"/>
    <w:rsid w:val="002377D1"/>
    <w:rsid w:val="002506BC"/>
    <w:rsid w:val="00254345"/>
    <w:rsid w:val="00262C62"/>
    <w:rsid w:val="00264557"/>
    <w:rsid w:val="00271589"/>
    <w:rsid w:val="00277642"/>
    <w:rsid w:val="002805AB"/>
    <w:rsid w:val="00281ED8"/>
    <w:rsid w:val="00281FE0"/>
    <w:rsid w:val="00284204"/>
    <w:rsid w:val="00284738"/>
    <w:rsid w:val="00291773"/>
    <w:rsid w:val="002932B6"/>
    <w:rsid w:val="002A11C3"/>
    <w:rsid w:val="002A168C"/>
    <w:rsid w:val="002A3DC7"/>
    <w:rsid w:val="002B49E2"/>
    <w:rsid w:val="002B7B00"/>
    <w:rsid w:val="002B7C44"/>
    <w:rsid w:val="002C2B17"/>
    <w:rsid w:val="002C46DF"/>
    <w:rsid w:val="002D3DD0"/>
    <w:rsid w:val="002D46F4"/>
    <w:rsid w:val="002D5BF5"/>
    <w:rsid w:val="002E1F3A"/>
    <w:rsid w:val="002E298A"/>
    <w:rsid w:val="00301978"/>
    <w:rsid w:val="0030332C"/>
    <w:rsid w:val="003051C2"/>
    <w:rsid w:val="00312296"/>
    <w:rsid w:val="00314504"/>
    <w:rsid w:val="00314F0E"/>
    <w:rsid w:val="00320A3F"/>
    <w:rsid w:val="00321D8E"/>
    <w:rsid w:val="00323FC8"/>
    <w:rsid w:val="00325928"/>
    <w:rsid w:val="00332753"/>
    <w:rsid w:val="00332863"/>
    <w:rsid w:val="00335817"/>
    <w:rsid w:val="0033684D"/>
    <w:rsid w:val="00337B42"/>
    <w:rsid w:val="00341B42"/>
    <w:rsid w:val="0034348F"/>
    <w:rsid w:val="0034410C"/>
    <w:rsid w:val="00346E3D"/>
    <w:rsid w:val="00354301"/>
    <w:rsid w:val="00356513"/>
    <w:rsid w:val="00356653"/>
    <w:rsid w:val="0035743F"/>
    <w:rsid w:val="0035781E"/>
    <w:rsid w:val="00357BE2"/>
    <w:rsid w:val="0036170C"/>
    <w:rsid w:val="00366E0F"/>
    <w:rsid w:val="003703A1"/>
    <w:rsid w:val="00376A0E"/>
    <w:rsid w:val="00381A72"/>
    <w:rsid w:val="00384676"/>
    <w:rsid w:val="00390857"/>
    <w:rsid w:val="00392582"/>
    <w:rsid w:val="003A09C3"/>
    <w:rsid w:val="003A44B3"/>
    <w:rsid w:val="003A4BF3"/>
    <w:rsid w:val="003B37E7"/>
    <w:rsid w:val="003B420D"/>
    <w:rsid w:val="003C6C16"/>
    <w:rsid w:val="003D0398"/>
    <w:rsid w:val="003D794D"/>
    <w:rsid w:val="003E3058"/>
    <w:rsid w:val="003E76A9"/>
    <w:rsid w:val="003E7C73"/>
    <w:rsid w:val="003F0809"/>
    <w:rsid w:val="003F6A8C"/>
    <w:rsid w:val="003F6EFB"/>
    <w:rsid w:val="003F7463"/>
    <w:rsid w:val="003F755C"/>
    <w:rsid w:val="004011A6"/>
    <w:rsid w:val="00406F01"/>
    <w:rsid w:val="00416D50"/>
    <w:rsid w:val="00416FD5"/>
    <w:rsid w:val="00417772"/>
    <w:rsid w:val="00420C2D"/>
    <w:rsid w:val="00420E6A"/>
    <w:rsid w:val="00421C61"/>
    <w:rsid w:val="00425A9E"/>
    <w:rsid w:val="00426D6B"/>
    <w:rsid w:val="00431844"/>
    <w:rsid w:val="00431E6C"/>
    <w:rsid w:val="00433CE7"/>
    <w:rsid w:val="00450FEC"/>
    <w:rsid w:val="00452738"/>
    <w:rsid w:val="00453B7B"/>
    <w:rsid w:val="00456091"/>
    <w:rsid w:val="00461812"/>
    <w:rsid w:val="00464641"/>
    <w:rsid w:val="00466321"/>
    <w:rsid w:val="00484B9B"/>
    <w:rsid w:val="004855F6"/>
    <w:rsid w:val="0048587F"/>
    <w:rsid w:val="0048661E"/>
    <w:rsid w:val="004940B1"/>
    <w:rsid w:val="00494670"/>
    <w:rsid w:val="004A3823"/>
    <w:rsid w:val="004B0705"/>
    <w:rsid w:val="004B1D1F"/>
    <w:rsid w:val="004D4622"/>
    <w:rsid w:val="004E6946"/>
    <w:rsid w:val="004E76B9"/>
    <w:rsid w:val="004F1AD8"/>
    <w:rsid w:val="00503350"/>
    <w:rsid w:val="005039CB"/>
    <w:rsid w:val="0050420E"/>
    <w:rsid w:val="0050558F"/>
    <w:rsid w:val="00506286"/>
    <w:rsid w:val="0050722E"/>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634D7"/>
    <w:rsid w:val="005702C2"/>
    <w:rsid w:val="005720AE"/>
    <w:rsid w:val="00585EFE"/>
    <w:rsid w:val="00594D77"/>
    <w:rsid w:val="005969E4"/>
    <w:rsid w:val="005A06B7"/>
    <w:rsid w:val="005A1759"/>
    <w:rsid w:val="005A68A7"/>
    <w:rsid w:val="005D24D9"/>
    <w:rsid w:val="005D36AB"/>
    <w:rsid w:val="005E4C62"/>
    <w:rsid w:val="00617CC3"/>
    <w:rsid w:val="006377A6"/>
    <w:rsid w:val="00637A3D"/>
    <w:rsid w:val="00637DFA"/>
    <w:rsid w:val="006411EF"/>
    <w:rsid w:val="006444E4"/>
    <w:rsid w:val="006540F0"/>
    <w:rsid w:val="00661383"/>
    <w:rsid w:val="0066316B"/>
    <w:rsid w:val="006748B8"/>
    <w:rsid w:val="006775C3"/>
    <w:rsid w:val="0069290A"/>
    <w:rsid w:val="00696F39"/>
    <w:rsid w:val="0069775A"/>
    <w:rsid w:val="00697813"/>
    <w:rsid w:val="006A2A86"/>
    <w:rsid w:val="006A3EE8"/>
    <w:rsid w:val="006A72BF"/>
    <w:rsid w:val="006B03F2"/>
    <w:rsid w:val="006B37DC"/>
    <w:rsid w:val="006B4F68"/>
    <w:rsid w:val="006C0592"/>
    <w:rsid w:val="006C272E"/>
    <w:rsid w:val="006C5479"/>
    <w:rsid w:val="006C5FB8"/>
    <w:rsid w:val="006D1059"/>
    <w:rsid w:val="006D13B5"/>
    <w:rsid w:val="006D661E"/>
    <w:rsid w:val="006E12FF"/>
    <w:rsid w:val="006E607E"/>
    <w:rsid w:val="006F00AC"/>
    <w:rsid w:val="00706C5D"/>
    <w:rsid w:val="007314EE"/>
    <w:rsid w:val="00731F1B"/>
    <w:rsid w:val="00732922"/>
    <w:rsid w:val="00747333"/>
    <w:rsid w:val="007473E6"/>
    <w:rsid w:val="007477F2"/>
    <w:rsid w:val="00750DDA"/>
    <w:rsid w:val="0075162E"/>
    <w:rsid w:val="00754034"/>
    <w:rsid w:val="00756556"/>
    <w:rsid w:val="007618C4"/>
    <w:rsid w:val="00767980"/>
    <w:rsid w:val="00770B19"/>
    <w:rsid w:val="00770F54"/>
    <w:rsid w:val="0077463F"/>
    <w:rsid w:val="007802E1"/>
    <w:rsid w:val="007836EA"/>
    <w:rsid w:val="00784CDA"/>
    <w:rsid w:val="007906C4"/>
    <w:rsid w:val="007940EA"/>
    <w:rsid w:val="0079578A"/>
    <w:rsid w:val="007967E8"/>
    <w:rsid w:val="007A173F"/>
    <w:rsid w:val="007A2170"/>
    <w:rsid w:val="007A22BF"/>
    <w:rsid w:val="007A3323"/>
    <w:rsid w:val="007A75A8"/>
    <w:rsid w:val="007B1AD1"/>
    <w:rsid w:val="007B72B8"/>
    <w:rsid w:val="007B7A58"/>
    <w:rsid w:val="007C21B5"/>
    <w:rsid w:val="007D1E55"/>
    <w:rsid w:val="007E4BD2"/>
    <w:rsid w:val="007E7F5B"/>
    <w:rsid w:val="007F4064"/>
    <w:rsid w:val="007F510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970DE"/>
    <w:rsid w:val="008A2F68"/>
    <w:rsid w:val="008A476F"/>
    <w:rsid w:val="008A4B32"/>
    <w:rsid w:val="008A526C"/>
    <w:rsid w:val="008B2896"/>
    <w:rsid w:val="008B4FA6"/>
    <w:rsid w:val="008B5282"/>
    <w:rsid w:val="008B7C17"/>
    <w:rsid w:val="008C2D01"/>
    <w:rsid w:val="008C40E6"/>
    <w:rsid w:val="008D0F7A"/>
    <w:rsid w:val="008D68E4"/>
    <w:rsid w:val="008E0506"/>
    <w:rsid w:val="008E0CFF"/>
    <w:rsid w:val="008E5D6B"/>
    <w:rsid w:val="008E76F0"/>
    <w:rsid w:val="008F12B8"/>
    <w:rsid w:val="008F15FE"/>
    <w:rsid w:val="008F2D29"/>
    <w:rsid w:val="008F5187"/>
    <w:rsid w:val="008F60D8"/>
    <w:rsid w:val="008F72DB"/>
    <w:rsid w:val="00902727"/>
    <w:rsid w:val="0090312B"/>
    <w:rsid w:val="00915FF9"/>
    <w:rsid w:val="00916FE8"/>
    <w:rsid w:val="0091736D"/>
    <w:rsid w:val="0092231E"/>
    <w:rsid w:val="0093037A"/>
    <w:rsid w:val="0094154D"/>
    <w:rsid w:val="00950AD5"/>
    <w:rsid w:val="0095155F"/>
    <w:rsid w:val="00954429"/>
    <w:rsid w:val="009563CE"/>
    <w:rsid w:val="009578CA"/>
    <w:rsid w:val="00971994"/>
    <w:rsid w:val="00972949"/>
    <w:rsid w:val="00973843"/>
    <w:rsid w:val="00974DB1"/>
    <w:rsid w:val="00976328"/>
    <w:rsid w:val="0097680D"/>
    <w:rsid w:val="00982438"/>
    <w:rsid w:val="0098404C"/>
    <w:rsid w:val="00985283"/>
    <w:rsid w:val="00986B26"/>
    <w:rsid w:val="00995992"/>
    <w:rsid w:val="009A03E5"/>
    <w:rsid w:val="009A0F3B"/>
    <w:rsid w:val="009A1BB4"/>
    <w:rsid w:val="009A2628"/>
    <w:rsid w:val="009A3200"/>
    <w:rsid w:val="009A3B81"/>
    <w:rsid w:val="009B0897"/>
    <w:rsid w:val="009B7BD9"/>
    <w:rsid w:val="009C7DD5"/>
    <w:rsid w:val="009D1AB2"/>
    <w:rsid w:val="009E227D"/>
    <w:rsid w:val="009E42F3"/>
    <w:rsid w:val="009E5019"/>
    <w:rsid w:val="00A04F1B"/>
    <w:rsid w:val="00A0501B"/>
    <w:rsid w:val="00A14947"/>
    <w:rsid w:val="00A32A83"/>
    <w:rsid w:val="00A368DB"/>
    <w:rsid w:val="00A409FD"/>
    <w:rsid w:val="00A423AA"/>
    <w:rsid w:val="00A42567"/>
    <w:rsid w:val="00A53EC6"/>
    <w:rsid w:val="00A54966"/>
    <w:rsid w:val="00A55C0F"/>
    <w:rsid w:val="00A56BC0"/>
    <w:rsid w:val="00A626B4"/>
    <w:rsid w:val="00A8391F"/>
    <w:rsid w:val="00A8713F"/>
    <w:rsid w:val="00A90BA1"/>
    <w:rsid w:val="00A97A9A"/>
    <w:rsid w:val="00AA0671"/>
    <w:rsid w:val="00AA2531"/>
    <w:rsid w:val="00AA6F49"/>
    <w:rsid w:val="00AB1E09"/>
    <w:rsid w:val="00AB5330"/>
    <w:rsid w:val="00AB7747"/>
    <w:rsid w:val="00AC14CE"/>
    <w:rsid w:val="00AC182C"/>
    <w:rsid w:val="00AC2A56"/>
    <w:rsid w:val="00AC4A6E"/>
    <w:rsid w:val="00AC502D"/>
    <w:rsid w:val="00AD055E"/>
    <w:rsid w:val="00AD200E"/>
    <w:rsid w:val="00AD47A7"/>
    <w:rsid w:val="00AE1F0A"/>
    <w:rsid w:val="00AF0CBF"/>
    <w:rsid w:val="00AF257F"/>
    <w:rsid w:val="00AF33CF"/>
    <w:rsid w:val="00AF3A3E"/>
    <w:rsid w:val="00AF4D50"/>
    <w:rsid w:val="00AF6179"/>
    <w:rsid w:val="00AF6A66"/>
    <w:rsid w:val="00B1295A"/>
    <w:rsid w:val="00B171C2"/>
    <w:rsid w:val="00B20A45"/>
    <w:rsid w:val="00B22C5C"/>
    <w:rsid w:val="00B236E4"/>
    <w:rsid w:val="00B24F30"/>
    <w:rsid w:val="00B2740B"/>
    <w:rsid w:val="00B31ABF"/>
    <w:rsid w:val="00B33428"/>
    <w:rsid w:val="00B33BE3"/>
    <w:rsid w:val="00B44786"/>
    <w:rsid w:val="00B52549"/>
    <w:rsid w:val="00B53B5D"/>
    <w:rsid w:val="00B54139"/>
    <w:rsid w:val="00B568B2"/>
    <w:rsid w:val="00B6055E"/>
    <w:rsid w:val="00B6317D"/>
    <w:rsid w:val="00B71D2D"/>
    <w:rsid w:val="00B75A27"/>
    <w:rsid w:val="00B7723F"/>
    <w:rsid w:val="00B80534"/>
    <w:rsid w:val="00B8433C"/>
    <w:rsid w:val="00B87491"/>
    <w:rsid w:val="00B902F7"/>
    <w:rsid w:val="00B97E2A"/>
    <w:rsid w:val="00BA29E9"/>
    <w:rsid w:val="00BA7142"/>
    <w:rsid w:val="00BB237C"/>
    <w:rsid w:val="00BB41A3"/>
    <w:rsid w:val="00BB4F21"/>
    <w:rsid w:val="00BC32DC"/>
    <w:rsid w:val="00BC345D"/>
    <w:rsid w:val="00BC35B6"/>
    <w:rsid w:val="00BD1B51"/>
    <w:rsid w:val="00BD40F5"/>
    <w:rsid w:val="00BD4596"/>
    <w:rsid w:val="00BE1405"/>
    <w:rsid w:val="00BE312D"/>
    <w:rsid w:val="00BE7A36"/>
    <w:rsid w:val="00BF1C20"/>
    <w:rsid w:val="00C05881"/>
    <w:rsid w:val="00C064B2"/>
    <w:rsid w:val="00C10578"/>
    <w:rsid w:val="00C135BC"/>
    <w:rsid w:val="00C15C95"/>
    <w:rsid w:val="00C17C80"/>
    <w:rsid w:val="00C2596A"/>
    <w:rsid w:val="00C27537"/>
    <w:rsid w:val="00C328FE"/>
    <w:rsid w:val="00C33507"/>
    <w:rsid w:val="00C40A98"/>
    <w:rsid w:val="00C4409D"/>
    <w:rsid w:val="00C44E72"/>
    <w:rsid w:val="00C45A06"/>
    <w:rsid w:val="00C47E5B"/>
    <w:rsid w:val="00C61E4B"/>
    <w:rsid w:val="00C64BFF"/>
    <w:rsid w:val="00C704E9"/>
    <w:rsid w:val="00C73464"/>
    <w:rsid w:val="00C74533"/>
    <w:rsid w:val="00C75569"/>
    <w:rsid w:val="00C763C9"/>
    <w:rsid w:val="00C80057"/>
    <w:rsid w:val="00C81A03"/>
    <w:rsid w:val="00C82232"/>
    <w:rsid w:val="00C82913"/>
    <w:rsid w:val="00C972B1"/>
    <w:rsid w:val="00CA2CCE"/>
    <w:rsid w:val="00CA43FD"/>
    <w:rsid w:val="00CA4EB1"/>
    <w:rsid w:val="00CA7EF8"/>
    <w:rsid w:val="00CB174C"/>
    <w:rsid w:val="00CB25BB"/>
    <w:rsid w:val="00CC489B"/>
    <w:rsid w:val="00CC7121"/>
    <w:rsid w:val="00CD2BCD"/>
    <w:rsid w:val="00CD3A4C"/>
    <w:rsid w:val="00CD4051"/>
    <w:rsid w:val="00CE10E9"/>
    <w:rsid w:val="00CE2910"/>
    <w:rsid w:val="00CE3AD2"/>
    <w:rsid w:val="00CE5393"/>
    <w:rsid w:val="00CF1D9C"/>
    <w:rsid w:val="00CF36BE"/>
    <w:rsid w:val="00CF6000"/>
    <w:rsid w:val="00D003F3"/>
    <w:rsid w:val="00D0364F"/>
    <w:rsid w:val="00D04E34"/>
    <w:rsid w:val="00D06834"/>
    <w:rsid w:val="00D173E6"/>
    <w:rsid w:val="00D308ED"/>
    <w:rsid w:val="00D3138C"/>
    <w:rsid w:val="00D318FA"/>
    <w:rsid w:val="00D36D86"/>
    <w:rsid w:val="00D428AA"/>
    <w:rsid w:val="00D50A34"/>
    <w:rsid w:val="00D53EFA"/>
    <w:rsid w:val="00D65811"/>
    <w:rsid w:val="00D676C8"/>
    <w:rsid w:val="00D8042E"/>
    <w:rsid w:val="00D94A7C"/>
    <w:rsid w:val="00D95896"/>
    <w:rsid w:val="00DB2983"/>
    <w:rsid w:val="00DC1257"/>
    <w:rsid w:val="00DC3DC0"/>
    <w:rsid w:val="00DC5B2B"/>
    <w:rsid w:val="00DD2931"/>
    <w:rsid w:val="00DD318D"/>
    <w:rsid w:val="00DD43AA"/>
    <w:rsid w:val="00DF2E12"/>
    <w:rsid w:val="00DF514A"/>
    <w:rsid w:val="00DF6690"/>
    <w:rsid w:val="00DF6804"/>
    <w:rsid w:val="00E00DDC"/>
    <w:rsid w:val="00E0358D"/>
    <w:rsid w:val="00E04323"/>
    <w:rsid w:val="00E070A2"/>
    <w:rsid w:val="00E22A15"/>
    <w:rsid w:val="00E2656A"/>
    <w:rsid w:val="00E26FF0"/>
    <w:rsid w:val="00E3026E"/>
    <w:rsid w:val="00E36D43"/>
    <w:rsid w:val="00E412D0"/>
    <w:rsid w:val="00E53B21"/>
    <w:rsid w:val="00E56322"/>
    <w:rsid w:val="00E60982"/>
    <w:rsid w:val="00E624B9"/>
    <w:rsid w:val="00E62C62"/>
    <w:rsid w:val="00E62E25"/>
    <w:rsid w:val="00E654C1"/>
    <w:rsid w:val="00E65D97"/>
    <w:rsid w:val="00E72A5A"/>
    <w:rsid w:val="00E73354"/>
    <w:rsid w:val="00E9242D"/>
    <w:rsid w:val="00E97539"/>
    <w:rsid w:val="00EA2EF5"/>
    <w:rsid w:val="00EB5255"/>
    <w:rsid w:val="00EB5C47"/>
    <w:rsid w:val="00EC31C1"/>
    <w:rsid w:val="00EC4C5C"/>
    <w:rsid w:val="00EC6A1D"/>
    <w:rsid w:val="00ED0639"/>
    <w:rsid w:val="00ED2666"/>
    <w:rsid w:val="00ED283B"/>
    <w:rsid w:val="00EF4755"/>
    <w:rsid w:val="00EF7135"/>
    <w:rsid w:val="00F027DB"/>
    <w:rsid w:val="00F14A7A"/>
    <w:rsid w:val="00F22985"/>
    <w:rsid w:val="00F3383E"/>
    <w:rsid w:val="00F451FE"/>
    <w:rsid w:val="00F465A7"/>
    <w:rsid w:val="00F50B7C"/>
    <w:rsid w:val="00F550E6"/>
    <w:rsid w:val="00F56FBE"/>
    <w:rsid w:val="00F61A23"/>
    <w:rsid w:val="00F74345"/>
    <w:rsid w:val="00F76DAE"/>
    <w:rsid w:val="00F80A0A"/>
    <w:rsid w:val="00F8194C"/>
    <w:rsid w:val="00F82B19"/>
    <w:rsid w:val="00F83A63"/>
    <w:rsid w:val="00F9212D"/>
    <w:rsid w:val="00F9514B"/>
    <w:rsid w:val="00F95D8A"/>
    <w:rsid w:val="00F965DA"/>
    <w:rsid w:val="00F96B70"/>
    <w:rsid w:val="00FA406A"/>
    <w:rsid w:val="00FB503A"/>
    <w:rsid w:val="00FB516C"/>
    <w:rsid w:val="00FC0718"/>
    <w:rsid w:val="00FC3388"/>
    <w:rsid w:val="00FD0236"/>
    <w:rsid w:val="00FD18F4"/>
    <w:rsid w:val="00FD389D"/>
    <w:rsid w:val="00FD54DB"/>
    <w:rsid w:val="00FD619F"/>
    <w:rsid w:val="01065A6A"/>
    <w:rsid w:val="01290F7E"/>
    <w:rsid w:val="015D1E09"/>
    <w:rsid w:val="02697903"/>
    <w:rsid w:val="02CB6D1E"/>
    <w:rsid w:val="02F96569"/>
    <w:rsid w:val="03EA7B21"/>
    <w:rsid w:val="04A96547"/>
    <w:rsid w:val="0533574D"/>
    <w:rsid w:val="05F83EAE"/>
    <w:rsid w:val="063E7D85"/>
    <w:rsid w:val="07293586"/>
    <w:rsid w:val="07295285"/>
    <w:rsid w:val="07636392"/>
    <w:rsid w:val="07770C56"/>
    <w:rsid w:val="092217DD"/>
    <w:rsid w:val="092A14F2"/>
    <w:rsid w:val="093A7294"/>
    <w:rsid w:val="0A263993"/>
    <w:rsid w:val="0A2D3AC2"/>
    <w:rsid w:val="0AA755DF"/>
    <w:rsid w:val="0B120D44"/>
    <w:rsid w:val="0BD27BF6"/>
    <w:rsid w:val="0C3B3C7D"/>
    <w:rsid w:val="0CAB2EAE"/>
    <w:rsid w:val="0D621C7D"/>
    <w:rsid w:val="0E73034D"/>
    <w:rsid w:val="0F13775A"/>
    <w:rsid w:val="0F5F45FE"/>
    <w:rsid w:val="0F87169C"/>
    <w:rsid w:val="0F9A112B"/>
    <w:rsid w:val="106D2F64"/>
    <w:rsid w:val="10A94C42"/>
    <w:rsid w:val="10B63710"/>
    <w:rsid w:val="10F10820"/>
    <w:rsid w:val="111C2F7A"/>
    <w:rsid w:val="11665CA1"/>
    <w:rsid w:val="138C40CB"/>
    <w:rsid w:val="13951726"/>
    <w:rsid w:val="14396509"/>
    <w:rsid w:val="14B35F27"/>
    <w:rsid w:val="14C2182D"/>
    <w:rsid w:val="14DD2C3C"/>
    <w:rsid w:val="15C558CC"/>
    <w:rsid w:val="16087E1D"/>
    <w:rsid w:val="169F26AE"/>
    <w:rsid w:val="16F019B8"/>
    <w:rsid w:val="17701D14"/>
    <w:rsid w:val="17735226"/>
    <w:rsid w:val="188B741C"/>
    <w:rsid w:val="189B6FDC"/>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913C1C"/>
    <w:rsid w:val="22F47480"/>
    <w:rsid w:val="23982A3B"/>
    <w:rsid w:val="23DE1C48"/>
    <w:rsid w:val="240210CD"/>
    <w:rsid w:val="24A54C45"/>
    <w:rsid w:val="24BF09F7"/>
    <w:rsid w:val="25264714"/>
    <w:rsid w:val="252D53FE"/>
    <w:rsid w:val="259F4A15"/>
    <w:rsid w:val="25EC2D81"/>
    <w:rsid w:val="277057A2"/>
    <w:rsid w:val="290D371C"/>
    <w:rsid w:val="29206EB8"/>
    <w:rsid w:val="29595666"/>
    <w:rsid w:val="29874881"/>
    <w:rsid w:val="29E325E0"/>
    <w:rsid w:val="2A452503"/>
    <w:rsid w:val="2A904528"/>
    <w:rsid w:val="2AD1174F"/>
    <w:rsid w:val="2B6C2CED"/>
    <w:rsid w:val="2BA936A8"/>
    <w:rsid w:val="2C315A5A"/>
    <w:rsid w:val="2C4B1C25"/>
    <w:rsid w:val="2C715215"/>
    <w:rsid w:val="2D844089"/>
    <w:rsid w:val="2D9E56F5"/>
    <w:rsid w:val="2E667F96"/>
    <w:rsid w:val="2E8226AB"/>
    <w:rsid w:val="2FD065E6"/>
    <w:rsid w:val="2FD96870"/>
    <w:rsid w:val="30580BC9"/>
    <w:rsid w:val="31051009"/>
    <w:rsid w:val="311E2ED7"/>
    <w:rsid w:val="315619EE"/>
    <w:rsid w:val="315C449C"/>
    <w:rsid w:val="3193254E"/>
    <w:rsid w:val="31B82709"/>
    <w:rsid w:val="31D05482"/>
    <w:rsid w:val="32400B34"/>
    <w:rsid w:val="32725840"/>
    <w:rsid w:val="329E6876"/>
    <w:rsid w:val="333015F2"/>
    <w:rsid w:val="334B6320"/>
    <w:rsid w:val="33D934D4"/>
    <w:rsid w:val="33FE2F6A"/>
    <w:rsid w:val="340E07E5"/>
    <w:rsid w:val="34235BF7"/>
    <w:rsid w:val="358C5FA8"/>
    <w:rsid w:val="35C15DF1"/>
    <w:rsid w:val="36074A7F"/>
    <w:rsid w:val="36923549"/>
    <w:rsid w:val="36B75FBF"/>
    <w:rsid w:val="36BD0C45"/>
    <w:rsid w:val="36F73E37"/>
    <w:rsid w:val="37E00298"/>
    <w:rsid w:val="38557D47"/>
    <w:rsid w:val="38B302F9"/>
    <w:rsid w:val="38F12CD3"/>
    <w:rsid w:val="38F94775"/>
    <w:rsid w:val="392971ED"/>
    <w:rsid w:val="39325651"/>
    <w:rsid w:val="3A872856"/>
    <w:rsid w:val="3B3763D1"/>
    <w:rsid w:val="3C2B5FF0"/>
    <w:rsid w:val="3C2C2883"/>
    <w:rsid w:val="3C2F6E1E"/>
    <w:rsid w:val="3C4F64BA"/>
    <w:rsid w:val="3CDA245A"/>
    <w:rsid w:val="3D1E06B7"/>
    <w:rsid w:val="3DB42A9C"/>
    <w:rsid w:val="3EDA0523"/>
    <w:rsid w:val="3EE07800"/>
    <w:rsid w:val="3F6D5F11"/>
    <w:rsid w:val="3F722366"/>
    <w:rsid w:val="407A6407"/>
    <w:rsid w:val="4200449D"/>
    <w:rsid w:val="423A3BCC"/>
    <w:rsid w:val="424E57D2"/>
    <w:rsid w:val="42B26C49"/>
    <w:rsid w:val="432C7CDF"/>
    <w:rsid w:val="433A6FE6"/>
    <w:rsid w:val="43480868"/>
    <w:rsid w:val="4350713C"/>
    <w:rsid w:val="43653041"/>
    <w:rsid w:val="436653E0"/>
    <w:rsid w:val="43C4431A"/>
    <w:rsid w:val="43FA094C"/>
    <w:rsid w:val="44B951CC"/>
    <w:rsid w:val="44CD14E0"/>
    <w:rsid w:val="44DA0F44"/>
    <w:rsid w:val="44F20B0B"/>
    <w:rsid w:val="452E5F4C"/>
    <w:rsid w:val="45612018"/>
    <w:rsid w:val="456F53DF"/>
    <w:rsid w:val="458946E9"/>
    <w:rsid w:val="45A47C0E"/>
    <w:rsid w:val="46577FD6"/>
    <w:rsid w:val="46D955A7"/>
    <w:rsid w:val="47133957"/>
    <w:rsid w:val="473D543D"/>
    <w:rsid w:val="47A07E0C"/>
    <w:rsid w:val="4870272E"/>
    <w:rsid w:val="49DC7715"/>
    <w:rsid w:val="4A023139"/>
    <w:rsid w:val="4A7B576F"/>
    <w:rsid w:val="4AF561A9"/>
    <w:rsid w:val="4C4A0649"/>
    <w:rsid w:val="4C7E5ECA"/>
    <w:rsid w:val="4C876AA5"/>
    <w:rsid w:val="4D0E00FB"/>
    <w:rsid w:val="4D176606"/>
    <w:rsid w:val="4D237A2A"/>
    <w:rsid w:val="4DEC4FB0"/>
    <w:rsid w:val="4E075D8A"/>
    <w:rsid w:val="4EC00FAD"/>
    <w:rsid w:val="4F9843DC"/>
    <w:rsid w:val="4FC62A8C"/>
    <w:rsid w:val="4FE20F0D"/>
    <w:rsid w:val="4FE51552"/>
    <w:rsid w:val="50504C4B"/>
    <w:rsid w:val="506334A3"/>
    <w:rsid w:val="509C6E7C"/>
    <w:rsid w:val="5162104E"/>
    <w:rsid w:val="52014F48"/>
    <w:rsid w:val="53A039CC"/>
    <w:rsid w:val="53A1505A"/>
    <w:rsid w:val="54063E08"/>
    <w:rsid w:val="543437E8"/>
    <w:rsid w:val="54F73313"/>
    <w:rsid w:val="54F80955"/>
    <w:rsid w:val="555170A7"/>
    <w:rsid w:val="5587536D"/>
    <w:rsid w:val="559B174B"/>
    <w:rsid w:val="55CE0CF4"/>
    <w:rsid w:val="56B22A9C"/>
    <w:rsid w:val="56D0029E"/>
    <w:rsid w:val="57030D56"/>
    <w:rsid w:val="57B72A76"/>
    <w:rsid w:val="57C3426C"/>
    <w:rsid w:val="57CE1F93"/>
    <w:rsid w:val="588743D1"/>
    <w:rsid w:val="5887701A"/>
    <w:rsid w:val="59C0439F"/>
    <w:rsid w:val="5ABE2233"/>
    <w:rsid w:val="5B5339EE"/>
    <w:rsid w:val="5BDF5D95"/>
    <w:rsid w:val="5BFE7528"/>
    <w:rsid w:val="5D422B2F"/>
    <w:rsid w:val="5DAD2586"/>
    <w:rsid w:val="5E2467F1"/>
    <w:rsid w:val="5F1A2B43"/>
    <w:rsid w:val="5FB837BB"/>
    <w:rsid w:val="60CC405A"/>
    <w:rsid w:val="61E215D8"/>
    <w:rsid w:val="621B3775"/>
    <w:rsid w:val="62364782"/>
    <w:rsid w:val="6394356A"/>
    <w:rsid w:val="63C61B2C"/>
    <w:rsid w:val="63D40BE9"/>
    <w:rsid w:val="64102431"/>
    <w:rsid w:val="64A5243A"/>
    <w:rsid w:val="64DF7B03"/>
    <w:rsid w:val="64F531DE"/>
    <w:rsid w:val="65373578"/>
    <w:rsid w:val="671F124A"/>
    <w:rsid w:val="677A33C6"/>
    <w:rsid w:val="67AC3792"/>
    <w:rsid w:val="67E555AD"/>
    <w:rsid w:val="681F6961"/>
    <w:rsid w:val="68610A2F"/>
    <w:rsid w:val="68805514"/>
    <w:rsid w:val="69316E2F"/>
    <w:rsid w:val="694E2071"/>
    <w:rsid w:val="69766163"/>
    <w:rsid w:val="697A3B33"/>
    <w:rsid w:val="69D44760"/>
    <w:rsid w:val="6A520EC7"/>
    <w:rsid w:val="6AD135BE"/>
    <w:rsid w:val="6AF87E20"/>
    <w:rsid w:val="6B322639"/>
    <w:rsid w:val="6C636C38"/>
    <w:rsid w:val="6D873FD2"/>
    <w:rsid w:val="6DB34098"/>
    <w:rsid w:val="6DB545B6"/>
    <w:rsid w:val="6DD01D12"/>
    <w:rsid w:val="6DE02FB4"/>
    <w:rsid w:val="6E514CED"/>
    <w:rsid w:val="6EAF67D3"/>
    <w:rsid w:val="6EB563D5"/>
    <w:rsid w:val="6ED92677"/>
    <w:rsid w:val="6EE02CB9"/>
    <w:rsid w:val="6F225983"/>
    <w:rsid w:val="6F702EE2"/>
    <w:rsid w:val="6FFC5590"/>
    <w:rsid w:val="704879F4"/>
    <w:rsid w:val="706D1DD0"/>
    <w:rsid w:val="70856B87"/>
    <w:rsid w:val="70D527EE"/>
    <w:rsid w:val="715B5300"/>
    <w:rsid w:val="71D27F8A"/>
    <w:rsid w:val="72553024"/>
    <w:rsid w:val="73122968"/>
    <w:rsid w:val="731A78BC"/>
    <w:rsid w:val="731F5D5E"/>
    <w:rsid w:val="73C51AD5"/>
    <w:rsid w:val="741E793C"/>
    <w:rsid w:val="745E3944"/>
    <w:rsid w:val="74F91500"/>
    <w:rsid w:val="758F426B"/>
    <w:rsid w:val="75F94882"/>
    <w:rsid w:val="7635099D"/>
    <w:rsid w:val="76AE7831"/>
    <w:rsid w:val="77612F4D"/>
    <w:rsid w:val="77762421"/>
    <w:rsid w:val="77B56B1F"/>
    <w:rsid w:val="77C962AB"/>
    <w:rsid w:val="780F09F4"/>
    <w:rsid w:val="783A35FF"/>
    <w:rsid w:val="78A90480"/>
    <w:rsid w:val="7A02735D"/>
    <w:rsid w:val="7A364017"/>
    <w:rsid w:val="7A8265E1"/>
    <w:rsid w:val="7B686D42"/>
    <w:rsid w:val="7B841746"/>
    <w:rsid w:val="7C0C5D0D"/>
    <w:rsid w:val="7C6C5AC7"/>
    <w:rsid w:val="7CC6544B"/>
    <w:rsid w:val="7D0239FF"/>
    <w:rsid w:val="7D5E40CD"/>
    <w:rsid w:val="7DCD56F2"/>
    <w:rsid w:val="7DEA1F73"/>
    <w:rsid w:val="7EB76586"/>
    <w:rsid w:val="7F001CE7"/>
    <w:rsid w:val="7FE47E50"/>
    <w:rsid w:val="7FE8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5">
    <w:name w:val="heading 5"/>
    <w:basedOn w:val="1"/>
    <w:next w:val="1"/>
    <w:qFormat/>
    <w:locked/>
    <w:uiPriority w:val="0"/>
    <w:pPr>
      <w:keepNext/>
      <w:keepLines/>
      <w:numPr>
        <w:ilvl w:val="4"/>
        <w:numId w:val="1"/>
      </w:numPr>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semiHidden/>
    <w:qFormat/>
    <w:uiPriority w:val="0"/>
    <w:rPr>
      <w:b/>
    </w:rPr>
  </w:style>
  <w:style w:type="paragraph" w:styleId="7">
    <w:name w:val="annotation text"/>
    <w:basedOn w:val="1"/>
    <w:link w:val="26"/>
    <w:semiHidden/>
    <w:qFormat/>
    <w:uiPriority w:val="0"/>
    <w:pPr>
      <w:jc w:val="left"/>
    </w:pPr>
    <w:rPr>
      <w:kern w:val="0"/>
      <w:sz w:val="24"/>
      <w:szCs w:val="20"/>
    </w:rPr>
  </w:style>
  <w:style w:type="paragraph" w:styleId="8">
    <w:name w:val="Normal Indent"/>
    <w:basedOn w:val="1"/>
    <w:qFormat/>
    <w:locked/>
    <w:uiPriority w:val="99"/>
    <w:pPr>
      <w:ind w:firstLine="420" w:firstLineChars="200"/>
    </w:pPr>
  </w:style>
  <w:style w:type="paragraph" w:styleId="9">
    <w:name w:val="Body Text"/>
    <w:basedOn w:val="1"/>
    <w:next w:val="1"/>
    <w:link w:val="27"/>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28"/>
    <w:qFormat/>
    <w:uiPriority w:val="0"/>
    <w:pPr>
      <w:spacing w:after="120"/>
      <w:ind w:left="420" w:leftChars="200"/>
    </w:pPr>
    <w:rPr>
      <w:kern w:val="0"/>
      <w:sz w:val="24"/>
      <w:szCs w:val="20"/>
    </w:rPr>
  </w:style>
  <w:style w:type="paragraph" w:styleId="11">
    <w:name w:val="Body Text Indent 2"/>
    <w:basedOn w:val="1"/>
    <w:qFormat/>
    <w:locked/>
    <w:uiPriority w:val="0"/>
    <w:pPr>
      <w:ind w:firstLine="560" w:firstLineChars="200"/>
    </w:pPr>
    <w:rPr>
      <w:rFonts w:ascii="宋体" w:hAnsi="宋体"/>
      <w:sz w:val="28"/>
      <w:szCs w:val="20"/>
    </w:rPr>
  </w:style>
  <w:style w:type="paragraph" w:styleId="12">
    <w:name w:val="Date"/>
    <w:basedOn w:val="1"/>
    <w:next w:val="1"/>
    <w:link w:val="29"/>
    <w:qFormat/>
    <w:uiPriority w:val="0"/>
    <w:pPr>
      <w:ind w:left="100" w:leftChars="2500"/>
    </w:pPr>
    <w:rPr>
      <w:kern w:val="0"/>
      <w:sz w:val="24"/>
      <w:szCs w:val="20"/>
    </w:rPr>
  </w:style>
  <w:style w:type="paragraph" w:styleId="13">
    <w:name w:val="Balloon Text"/>
    <w:basedOn w:val="1"/>
    <w:link w:val="30"/>
    <w:semiHidden/>
    <w:qFormat/>
    <w:uiPriority w:val="0"/>
    <w:rPr>
      <w:kern w:val="0"/>
      <w:sz w:val="18"/>
      <w:szCs w:val="20"/>
    </w:rPr>
  </w:style>
  <w:style w:type="paragraph" w:styleId="14">
    <w:name w:val="footer"/>
    <w:basedOn w:val="1"/>
    <w:link w:val="31"/>
    <w:qFormat/>
    <w:uiPriority w:val="99"/>
    <w:pPr>
      <w:tabs>
        <w:tab w:val="center" w:pos="4153"/>
        <w:tab w:val="right" w:pos="8306"/>
      </w:tabs>
      <w:snapToGrid w:val="0"/>
      <w:jc w:val="left"/>
    </w:pPr>
    <w:rPr>
      <w:kern w:val="0"/>
      <w:sz w:val="18"/>
      <w:szCs w:val="20"/>
    </w:rPr>
  </w:style>
  <w:style w:type="paragraph" w:styleId="15">
    <w:name w:val="Body Text First Indent 2"/>
    <w:basedOn w:val="10"/>
    <w:qFormat/>
    <w:locked/>
    <w:uiPriority w:val="0"/>
    <w:pPr>
      <w:ind w:firstLine="420"/>
    </w:p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8">
    <w:name w:val="index 1"/>
    <w:basedOn w:val="1"/>
    <w:next w:val="1"/>
    <w:qFormat/>
    <w:locked/>
    <w:uiPriority w:val="0"/>
    <w:pPr>
      <w:jc w:val="center"/>
    </w:pPr>
    <w:rPr>
      <w:rFonts w:eastAsia="黑体"/>
      <w:color w:val="000000"/>
    </w:rPr>
  </w:style>
  <w:style w:type="character" w:styleId="20">
    <w:name w:val="Strong"/>
    <w:qFormat/>
    <w:locked/>
    <w:uiPriority w:val="0"/>
    <w:rPr>
      <w:b/>
    </w:rPr>
  </w:style>
  <w:style w:type="character" w:styleId="21">
    <w:name w:val="page number"/>
    <w:qFormat/>
    <w:locked/>
    <w:uiPriority w:val="0"/>
  </w:style>
  <w:style w:type="character" w:styleId="22">
    <w:name w:val="annotation reference"/>
    <w:semiHidden/>
    <w:qFormat/>
    <w:uiPriority w:val="0"/>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批注文字 字符"/>
    <w:link w:val="7"/>
    <w:qFormat/>
    <w:locked/>
    <w:uiPriority w:val="0"/>
    <w:rPr>
      <w:rFonts w:ascii="Times New Roman" w:hAnsi="Times New Roman" w:eastAsia="宋体"/>
      <w:sz w:val="24"/>
    </w:rPr>
  </w:style>
  <w:style w:type="character" w:customStyle="1" w:styleId="27">
    <w:name w:val="正文文本 字符"/>
    <w:link w:val="9"/>
    <w:qFormat/>
    <w:locked/>
    <w:uiPriority w:val="0"/>
    <w:rPr>
      <w:sz w:val="18"/>
    </w:rPr>
  </w:style>
  <w:style w:type="character" w:customStyle="1" w:styleId="28">
    <w:name w:val="正文文本缩进 字符"/>
    <w:link w:val="10"/>
    <w:semiHidden/>
    <w:qFormat/>
    <w:locked/>
    <w:uiPriority w:val="0"/>
    <w:rPr>
      <w:rFonts w:ascii="Times New Roman" w:hAnsi="Times New Roman" w:eastAsia="宋体"/>
      <w:sz w:val="24"/>
    </w:rPr>
  </w:style>
  <w:style w:type="character" w:customStyle="1" w:styleId="29">
    <w:name w:val="日期 字符1"/>
    <w:link w:val="12"/>
    <w:qFormat/>
    <w:locked/>
    <w:uiPriority w:val="0"/>
    <w:rPr>
      <w:rFonts w:ascii="Times New Roman" w:hAnsi="Times New Roman" w:eastAsia="宋体"/>
      <w:sz w:val="24"/>
    </w:rPr>
  </w:style>
  <w:style w:type="character" w:customStyle="1" w:styleId="30">
    <w:name w:val="批注框文本 字符"/>
    <w:link w:val="13"/>
    <w:semiHidden/>
    <w:qFormat/>
    <w:locked/>
    <w:uiPriority w:val="0"/>
    <w:rPr>
      <w:rFonts w:ascii="Times New Roman" w:hAnsi="Times New Roman" w:eastAsia="宋体"/>
      <w:sz w:val="18"/>
    </w:rPr>
  </w:style>
  <w:style w:type="character" w:customStyle="1" w:styleId="31">
    <w:name w:val="页脚 字符1"/>
    <w:link w:val="14"/>
    <w:qFormat/>
    <w:locked/>
    <w:uiPriority w:val="99"/>
    <w:rPr>
      <w:sz w:val="18"/>
    </w:rPr>
  </w:style>
  <w:style w:type="character" w:customStyle="1" w:styleId="32">
    <w:name w:val="页眉 字符"/>
    <w:link w:val="16"/>
    <w:qFormat/>
    <w:locked/>
    <w:uiPriority w:val="0"/>
    <w:rPr>
      <w:sz w:val="18"/>
    </w:rPr>
  </w:style>
  <w:style w:type="character" w:customStyle="1" w:styleId="33">
    <w:name w:val="普通(网站) 字符"/>
    <w:link w:val="17"/>
    <w:qFormat/>
    <w:locked/>
    <w:uiPriority w:val="0"/>
    <w:rPr>
      <w:rFonts w:ascii="宋体" w:hAnsi="宋体" w:eastAsia="宋体"/>
      <w:sz w:val="24"/>
    </w:rPr>
  </w:style>
  <w:style w:type="character" w:customStyle="1" w:styleId="34">
    <w:name w:val="批注主题 字符"/>
    <w:link w:val="6"/>
    <w:semiHidden/>
    <w:qFormat/>
    <w:locked/>
    <w:uiPriority w:val="0"/>
    <w:rPr>
      <w:rFonts w:ascii="Times New Roman" w:hAnsi="Times New Roman" w:eastAsia="宋体"/>
      <w:b/>
      <w:kern w:val="2"/>
      <w:sz w:val="24"/>
    </w:rPr>
  </w:style>
  <w:style w:type="character" w:customStyle="1" w:styleId="35">
    <w:name w:val="页脚 字符"/>
    <w:qFormat/>
    <w:uiPriority w:val="99"/>
  </w:style>
  <w:style w:type="character" w:customStyle="1" w:styleId="36">
    <w:name w:val="正文文本 字符1"/>
    <w:semiHidden/>
    <w:qFormat/>
    <w:uiPriority w:val="0"/>
    <w:rPr>
      <w:rFonts w:ascii="Times New Roman" w:hAnsi="Times New Roman" w:eastAsia="宋体"/>
      <w:sz w:val="24"/>
    </w:rPr>
  </w:style>
  <w:style w:type="character" w:customStyle="1" w:styleId="37">
    <w:name w:val="表格 Char"/>
    <w:link w:val="38"/>
    <w:qFormat/>
    <w:locked/>
    <w:uiPriority w:val="0"/>
    <w:rPr>
      <w:rFonts w:ascii="宋体"/>
      <w:sz w:val="21"/>
    </w:rPr>
  </w:style>
  <w:style w:type="paragraph" w:customStyle="1" w:styleId="38">
    <w:name w:val="表格"/>
    <w:basedOn w:val="39"/>
    <w:next w:val="40"/>
    <w:link w:val="37"/>
    <w:qFormat/>
    <w:uiPriority w:val="0"/>
    <w:pPr>
      <w:adjustRightInd w:val="0"/>
      <w:spacing w:beforeLines="10" w:afterLines="10" w:line="259" w:lineRule="auto"/>
    </w:pPr>
    <w:rPr>
      <w:rFonts w:ascii="宋体"/>
      <w:szCs w:val="20"/>
    </w:rPr>
  </w:style>
  <w:style w:type="paragraph" w:customStyle="1" w:styleId="39">
    <w:name w:val="表格文字"/>
    <w:basedOn w:val="9"/>
    <w:next w:val="9"/>
    <w:qFormat/>
    <w:uiPriority w:val="0"/>
    <w:pPr>
      <w:spacing w:after="0" w:line="360" w:lineRule="exact"/>
      <w:jc w:val="center"/>
    </w:pPr>
    <w:rPr>
      <w:spacing w:val="-4"/>
      <w:sz w:val="24"/>
      <w:szCs w:val="28"/>
    </w:rPr>
  </w:style>
  <w:style w:type="paragraph" w:customStyle="1" w:styleId="40">
    <w:name w:val="表格样式"/>
    <w:basedOn w:val="1"/>
    <w:qFormat/>
    <w:uiPriority w:val="0"/>
    <w:pPr>
      <w:shd w:val="clear" w:color="auto" w:fill="FFFFFF"/>
      <w:autoSpaceDE w:val="0"/>
      <w:jc w:val="center"/>
    </w:pPr>
    <w:rPr>
      <w:rFonts w:cs="宋体"/>
      <w:color w:val="FFFFFF"/>
      <w:spacing w:val="-1"/>
      <w:position w:val="-1"/>
      <w:szCs w:val="21"/>
    </w:rPr>
  </w:style>
  <w:style w:type="character" w:customStyle="1" w:styleId="41">
    <w:name w:val="正文格式 字符"/>
    <w:link w:val="42"/>
    <w:qFormat/>
    <w:uiPriority w:val="0"/>
    <w:rPr>
      <w:rFonts w:ascii="Times New Roman" w:hAnsi="Times New Roman"/>
      <w:sz w:val="24"/>
      <w:szCs w:val="24"/>
    </w:rPr>
  </w:style>
  <w:style w:type="paragraph" w:customStyle="1" w:styleId="42">
    <w:name w:val="正文格式"/>
    <w:basedOn w:val="9"/>
    <w:link w:val="41"/>
    <w:qFormat/>
    <w:uiPriority w:val="0"/>
    <w:pPr>
      <w:widowControl w:val="0"/>
      <w:snapToGrid/>
      <w:spacing w:before="0" w:after="0" w:line="360" w:lineRule="auto"/>
      <w:ind w:right="0" w:firstLine="480" w:firstLineChars="200"/>
    </w:pPr>
    <w:rPr>
      <w:sz w:val="24"/>
      <w:szCs w:val="24"/>
    </w:rPr>
  </w:style>
  <w:style w:type="character" w:customStyle="1" w:styleId="43">
    <w:name w:val="5级表头 Char"/>
    <w:link w:val="44"/>
    <w:qFormat/>
    <w:uiPriority w:val="0"/>
    <w:rPr>
      <w:rFonts w:ascii="Times New Roman" w:hAnsi="Times New Roman"/>
      <w:b/>
      <w:sz w:val="21"/>
      <w:szCs w:val="22"/>
    </w:rPr>
  </w:style>
  <w:style w:type="paragraph" w:customStyle="1" w:styleId="44">
    <w:name w:val="5级表头"/>
    <w:basedOn w:val="45"/>
    <w:link w:val="43"/>
    <w:qFormat/>
    <w:uiPriority w:val="0"/>
    <w:pPr>
      <w:widowControl/>
      <w:numPr>
        <w:ilvl w:val="4"/>
        <w:numId w:val="2"/>
      </w:numPr>
      <w:spacing w:line="259" w:lineRule="auto"/>
      <w:ind w:left="0" w:firstLine="0" w:firstLineChars="0"/>
      <w:jc w:val="center"/>
    </w:pPr>
    <w:rPr>
      <w:b/>
      <w:kern w:val="0"/>
      <w:szCs w:val="22"/>
    </w:rPr>
  </w:style>
  <w:style w:type="paragraph" w:styleId="45">
    <w:name w:val="List Paragraph"/>
    <w:basedOn w:val="1"/>
    <w:qFormat/>
    <w:uiPriority w:val="1"/>
    <w:pPr>
      <w:ind w:firstLine="420" w:firstLineChars="200"/>
    </w:p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日期 字符"/>
    <w:semiHidden/>
    <w:qFormat/>
    <w:uiPriority w:val="0"/>
    <w:rPr>
      <w:rFonts w:ascii="Times New Roman" w:hAnsi="Times New Roman" w:eastAsia="宋体"/>
      <w:sz w:val="24"/>
    </w:rPr>
  </w:style>
  <w:style w:type="paragraph" w:customStyle="1" w:styleId="48">
    <w:name w:val="2级标题"/>
    <w:basedOn w:val="45"/>
    <w:qFormat/>
    <w:uiPriority w:val="0"/>
    <w:pPr>
      <w:widowControl/>
      <w:numPr>
        <w:ilvl w:val="1"/>
        <w:numId w:val="2"/>
      </w:numPr>
      <w:tabs>
        <w:tab w:val="left" w:pos="1505"/>
      </w:tabs>
      <w:spacing w:line="360" w:lineRule="auto"/>
      <w:ind w:left="0" w:firstLine="0" w:firstLineChars="0"/>
      <w:jc w:val="left"/>
      <w:outlineLvl w:val="1"/>
    </w:pPr>
    <w:rPr>
      <w:b/>
      <w:kern w:val="0"/>
      <w:sz w:val="30"/>
      <w:szCs w:val="30"/>
    </w:rPr>
  </w:style>
  <w:style w:type="paragraph" w:customStyle="1" w:styleId="49">
    <w:name w:val="4级标题"/>
    <w:basedOn w:val="45"/>
    <w:qFormat/>
    <w:uiPriority w:val="0"/>
    <w:pPr>
      <w:widowControl/>
      <w:numPr>
        <w:ilvl w:val="3"/>
        <w:numId w:val="2"/>
      </w:numPr>
      <w:tabs>
        <w:tab w:val="left" w:pos="2976"/>
      </w:tabs>
      <w:spacing w:line="360" w:lineRule="auto"/>
      <w:ind w:left="0" w:firstLine="0" w:firstLineChars="0"/>
      <w:jc w:val="left"/>
      <w:outlineLvl w:val="3"/>
    </w:pPr>
    <w:rPr>
      <w:b/>
      <w:kern w:val="0"/>
      <w:sz w:val="24"/>
    </w:rPr>
  </w:style>
  <w:style w:type="paragraph" w:customStyle="1" w:styleId="50">
    <w:name w:val="6级图头"/>
    <w:basedOn w:val="45"/>
    <w:qFormat/>
    <w:uiPriority w:val="0"/>
    <w:pPr>
      <w:widowControl/>
      <w:numPr>
        <w:ilvl w:val="5"/>
        <w:numId w:val="2"/>
      </w:numPr>
      <w:tabs>
        <w:tab w:val="left" w:pos="4677"/>
      </w:tabs>
      <w:spacing w:line="259" w:lineRule="auto"/>
      <w:ind w:left="0" w:firstLine="0" w:firstLineChars="0"/>
      <w:jc w:val="center"/>
    </w:pPr>
    <w:rPr>
      <w:b/>
      <w:kern w:val="0"/>
      <w:szCs w:val="22"/>
    </w:rPr>
  </w:style>
  <w:style w:type="paragraph" w:customStyle="1" w:styleId="5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54">
    <w:name w:val="正文文字"/>
    <w:basedOn w:val="1"/>
    <w:qFormat/>
    <w:uiPriority w:val="0"/>
    <w:pPr>
      <w:spacing w:line="560" w:lineRule="exact"/>
      <w:ind w:firstLine="200" w:firstLineChars="200"/>
    </w:pPr>
    <w:rPr>
      <w:sz w:val="24"/>
      <w:szCs w:val="20"/>
    </w:rPr>
  </w:style>
  <w:style w:type="paragraph" w:customStyle="1" w:styleId="55">
    <w:name w:val="表格字体"/>
    <w:basedOn w:val="1"/>
    <w:qFormat/>
    <w:uiPriority w:val="0"/>
    <w:pPr>
      <w:spacing w:line="360" w:lineRule="exact"/>
    </w:pPr>
    <w:rPr>
      <w:rFonts w:hint="eastAsia" w:ascii="宋体" w:hAnsi="宋体"/>
      <w:szCs w:val="21"/>
    </w:rPr>
  </w:style>
  <w:style w:type="paragraph" w:customStyle="1" w:styleId="56">
    <w:name w:val="本文正文"/>
    <w:basedOn w:val="1"/>
    <w:qFormat/>
    <w:uiPriority w:val="0"/>
    <w:pPr>
      <w:autoSpaceDE w:val="0"/>
      <w:autoSpaceDN w:val="0"/>
      <w:adjustRightInd w:val="0"/>
      <w:spacing w:line="300" w:lineRule="auto"/>
      <w:ind w:firstLine="560" w:firstLineChars="200"/>
      <w:textAlignment w:val="baseline"/>
    </w:pPr>
    <w:rPr>
      <w:sz w:val="28"/>
      <w:szCs w:val="20"/>
    </w:rPr>
  </w:style>
  <w:style w:type="paragraph" w:customStyle="1" w:styleId="57">
    <w:name w:val="Table Paragraph"/>
    <w:basedOn w:val="1"/>
    <w:qFormat/>
    <w:uiPriority w:val="1"/>
    <w:pPr>
      <w:jc w:val="left"/>
    </w:pPr>
    <w:rPr>
      <w:kern w:val="0"/>
      <w:sz w:val="22"/>
      <w:szCs w:val="22"/>
      <w:lang w:eastAsia="en-US"/>
    </w:rPr>
  </w:style>
  <w:style w:type="paragraph" w:customStyle="1" w:styleId="58">
    <w:name w:val="1级标题"/>
    <w:basedOn w:val="45"/>
    <w:qFormat/>
    <w:uiPriority w:val="0"/>
    <w:pPr>
      <w:widowControl/>
      <w:numPr>
        <w:ilvl w:val="0"/>
        <w:numId w:val="2"/>
      </w:numPr>
      <w:tabs>
        <w:tab w:val="left" w:pos="425"/>
      </w:tabs>
      <w:spacing w:after="156" w:afterLines="50" w:line="360" w:lineRule="auto"/>
      <w:ind w:left="0" w:firstLine="0" w:firstLineChars="0"/>
      <w:jc w:val="center"/>
      <w:outlineLvl w:val="0"/>
    </w:pPr>
    <w:rPr>
      <w:rFonts w:eastAsia="黑体"/>
      <w:b/>
      <w:kern w:val="0"/>
      <w:sz w:val="44"/>
      <w:szCs w:val="44"/>
    </w:rPr>
  </w:style>
  <w:style w:type="paragraph" w:customStyle="1" w:styleId="59">
    <w:name w:val="24磅正文"/>
    <w:basedOn w:val="1"/>
    <w:qFormat/>
    <w:uiPriority w:val="0"/>
    <w:pPr>
      <w:spacing w:line="480" w:lineRule="exact"/>
      <w:ind w:firstLine="480" w:firstLineChars="200"/>
    </w:pPr>
    <w:rPr>
      <w:sz w:val="24"/>
    </w:rPr>
  </w:style>
  <w:style w:type="paragraph" w:customStyle="1" w:styleId="60">
    <w:name w:val="表格内容自定"/>
    <w:basedOn w:val="1"/>
    <w:qFormat/>
    <w:uiPriority w:val="0"/>
    <w:pPr>
      <w:spacing w:line="280" w:lineRule="exact"/>
      <w:jc w:val="center"/>
    </w:pPr>
    <w:rPr>
      <w:kern w:val="0"/>
      <w:sz w:val="18"/>
      <w:szCs w:val="21"/>
    </w:rPr>
  </w:style>
  <w:style w:type="paragraph" w:customStyle="1" w:styleId="61">
    <w:name w:val="表格内容"/>
    <w:basedOn w:val="1"/>
    <w:next w:val="1"/>
    <w:qFormat/>
    <w:uiPriority w:val="0"/>
    <w:pPr>
      <w:spacing w:line="240" w:lineRule="atLeast"/>
      <w:jc w:val="center"/>
    </w:pPr>
    <w:rPr>
      <w:szCs w:val="20"/>
    </w:rPr>
  </w:style>
  <w:style w:type="paragraph" w:customStyle="1" w:styleId="62">
    <w:name w:val="3级标题"/>
    <w:basedOn w:val="45"/>
    <w:qFormat/>
    <w:uiPriority w:val="0"/>
    <w:pPr>
      <w:widowControl/>
      <w:numPr>
        <w:ilvl w:val="2"/>
        <w:numId w:val="2"/>
      </w:numPr>
      <w:tabs>
        <w:tab w:val="left" w:pos="2126"/>
      </w:tabs>
      <w:spacing w:line="360" w:lineRule="auto"/>
      <w:ind w:left="0" w:firstLine="0" w:firstLineChars="0"/>
      <w:jc w:val="left"/>
      <w:outlineLvl w:val="2"/>
    </w:pPr>
    <w:rPr>
      <w:b/>
      <w:kern w:val="0"/>
      <w:sz w:val="24"/>
      <w:szCs w:val="28"/>
    </w:rPr>
  </w:style>
  <w:style w:type="paragraph" w:customStyle="1" w:styleId="63">
    <w:name w:val="报告表三级标题"/>
    <w:basedOn w:val="1"/>
    <w:next w:val="1"/>
    <w:qFormat/>
    <w:uiPriority w:val="0"/>
    <w:pPr>
      <w:spacing w:line="360" w:lineRule="auto"/>
      <w:jc w:val="left"/>
      <w:outlineLvl w:val="0"/>
    </w:pPr>
    <w:rPr>
      <w:b/>
      <w:kern w:val="1"/>
      <w:sz w:val="28"/>
    </w:rPr>
  </w:style>
  <w:style w:type="paragraph" w:customStyle="1" w:styleId="64">
    <w:name w:val="表中文字"/>
    <w:basedOn w:val="1"/>
    <w:qFormat/>
    <w:uiPriority w:val="0"/>
    <w:pPr>
      <w:widowControl/>
      <w:tabs>
        <w:tab w:val="left" w:pos="3286"/>
        <w:tab w:val="left" w:pos="8362"/>
      </w:tabs>
      <w:snapToGrid w:val="0"/>
      <w:spacing w:after="160" w:line="340" w:lineRule="exact"/>
      <w:jc w:val="center"/>
    </w:pPr>
    <w:rPr>
      <w:rFonts w:ascii="Arial" w:hAnsi="Arial" w:eastAsia="楷体_GB2312"/>
      <w:kern w:val="0"/>
      <w:sz w:val="22"/>
      <w:szCs w:val="21"/>
      <w:shd w:val="clear" w:color="auto" w:fill="FFFFFF"/>
    </w:rPr>
  </w:style>
  <w:style w:type="paragraph" w:customStyle="1" w:styleId="65">
    <w:name w:val="TW"/>
    <w:basedOn w:val="1"/>
    <w:qFormat/>
    <w:uiPriority w:val="0"/>
    <w:pPr>
      <w:ind w:firstLine="480"/>
    </w:p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5461</Words>
  <Characters>31131</Characters>
  <Lines>259</Lines>
  <Paragraphs>73</Paragraphs>
  <TotalTime>0</TotalTime>
  <ScaleCrop>false</ScaleCrop>
  <LinksUpToDate>false</LinksUpToDate>
  <CharactersWithSpaces>36519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2021-08-12T08:33:00Z</dcterms:created>
  <dc:creator>lhj</dc:creator>
  <cp:lastModifiedBy>踏雪寻梅</cp:lastModifiedBy>
  <cp:lastPrinted>2021-08-18T03:50:00Z</cp:lastPrinted>
  <dcterms:modified xsi:type="dcterms:W3CDTF">2022-01-05T03:04:50Z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333265E1F5A7457FB05C2364D1B443FD</vt:lpwstr>
  </property>
</Properties>
</file>