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泗县布恩饲料有限公司年产24万吨配合饲料项目取水申请的批复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04</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泗县布恩饲料有限公司年产24万吨配合饲料项目取水申请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4.9万m³。取水用途为生产及生活用水，取水地点位于泗县屏山镇大彭村。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w:t>
      </w:r>
      <w:r>
        <w:rPr>
          <w:rFonts w:hint="eastAsia" w:ascii="宋体" w:hAnsi="宋体"/>
          <w:sz w:val="32"/>
          <w:szCs w:val="32"/>
          <w:lang w:val="en-US" w:eastAsia="zh-CN"/>
        </w:rPr>
        <w:t>泗县布恩饲料有限公司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六、行政相对人代码：91341324MA2N1LD07W</w:t>
      </w:r>
    </w:p>
    <w:p>
      <w:pPr>
        <w:ind w:firstLine="640" w:firstLineChars="200"/>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于娟</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539CA"/>
    <w:rsid w:val="10DD4A5A"/>
    <w:rsid w:val="23491C79"/>
    <w:rsid w:val="380539CA"/>
    <w:rsid w:val="47323F06"/>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dcterms:modified xsi:type="dcterms:W3CDTF">2022-01-24T07:54:42Z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486A7ADF7404455B8E4E4D6C68FCC850</vt:lpwstr>
  </property>
</Properties>
</file>