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泗县宝业泗州绿苑南区项目水土保持方案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06</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泗县宝业泗州绿苑南区</w:t>
      </w:r>
      <w:r>
        <w:rPr>
          <w:rFonts w:hint="eastAsia" w:asciiTheme="minorEastAsia" w:hAnsiTheme="minorEastAsia" w:cstheme="minorEastAsia"/>
          <w:sz w:val="32"/>
          <w:szCs w:val="40"/>
          <w:lang w:val="en-US" w:eastAsia="zh-CN"/>
        </w:rPr>
        <w:t>项目水土保持方案</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2107-341324-04-01-948994</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泗县宝业泗州绿苑南区项目位于安徽省宿州市泗县经济开发区玉兰大道与当涂路交叉处东南角</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项目总占地面积</w:t>
      </w:r>
      <w:r>
        <w:rPr>
          <w:rFonts w:hint="eastAsia" w:asciiTheme="minorEastAsia" w:hAnsiTheme="minorEastAsia" w:cstheme="minorEastAsia"/>
          <w:sz w:val="32"/>
          <w:szCs w:val="40"/>
          <w:lang w:val="en-US" w:eastAsia="zh-CN"/>
        </w:rPr>
        <w:t>4.80</w:t>
      </w:r>
      <w:r>
        <w:rPr>
          <w:rFonts w:hint="eastAsia" w:asciiTheme="minorEastAsia" w:hAnsiTheme="minorEastAsia" w:eastAsiaTheme="minorEastAsia" w:cstheme="minorEastAsia"/>
          <w:sz w:val="32"/>
          <w:szCs w:val="40"/>
          <w:lang w:val="en-US" w:eastAsia="zh-CN"/>
        </w:rPr>
        <w:t xml:space="preserve">hm²，其中永久占地 </w:t>
      </w:r>
      <w:r>
        <w:rPr>
          <w:rFonts w:hint="eastAsia" w:asciiTheme="minorEastAsia" w:hAnsiTheme="minorEastAsia" w:cstheme="minorEastAsia"/>
          <w:sz w:val="32"/>
          <w:szCs w:val="40"/>
          <w:lang w:val="en-US" w:eastAsia="zh-CN"/>
        </w:rPr>
        <w:t>4.21</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59</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4.80</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4.80</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泗县宝诚建设投资有限公司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六、行政相对人代码：91341324MA2RK9WU8L</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高君</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1601508C"/>
    <w:rsid w:val="18DA11C6"/>
    <w:rsid w:val="33F6601D"/>
    <w:rsid w:val="3D944C9D"/>
    <w:rsid w:val="45262FEC"/>
    <w:rsid w:val="62F03745"/>
    <w:rsid w:val="66BC0935"/>
    <w:rsid w:val="674F359D"/>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2022-02-25T07:06:50Z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7B416EEECE0147549BE6AA9675EA2741</vt:lpwstr>
  </property>
</Properties>
</file>