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rPr>
          <w:rFonts w:ascii="华文仿宋" w:hAnsi="华文仿宋" w:eastAsia="华文仿宋" w:cs="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left="3237" w:leftChars="513" w:hanging="2160" w:hangingChars="600"/>
        <w:jc w:val="left"/>
        <w:rPr>
          <w:rFonts w:hint="eastAsia" w:ascii="仿宋_GB2312" w:hAnsi="Times New Roman" w:eastAsia="仿宋_GB2312" w:cs="Times New Roman"/>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 </w:t>
      </w:r>
      <w:r>
        <w:rPr>
          <w:rFonts w:hint="eastAsia" w:ascii="仿宋_GB2312" w:hAnsi="Times New Roman" w:eastAsia="仿宋_GB2312" w:cs="Times New Roman"/>
          <w:sz w:val="36"/>
          <w:szCs w:val="36"/>
          <w:u w:val="single"/>
          <w:lang w:val="en-US" w:eastAsia="zh-CN"/>
        </w:rPr>
        <w:t>关于年产</w:t>
      </w:r>
      <w:r>
        <w:rPr>
          <w:rFonts w:hint="default" w:ascii="Times New Roman" w:hAnsi="Times New Roman" w:eastAsia="仿宋_GB2312" w:cs="Times New Roman"/>
          <w:sz w:val="36"/>
          <w:szCs w:val="36"/>
          <w:u w:val="single"/>
          <w:lang w:val="en-US" w:eastAsia="zh-CN"/>
        </w:rPr>
        <w:t>500套</w:t>
      </w:r>
      <w:r>
        <w:rPr>
          <w:rFonts w:hint="eastAsia" w:ascii="仿宋_GB2312" w:hAnsi="Times New Roman" w:eastAsia="仿宋_GB2312" w:cs="Times New Roman"/>
          <w:sz w:val="36"/>
          <w:szCs w:val="36"/>
          <w:u w:val="single"/>
          <w:lang w:val="en-US" w:eastAsia="zh-CN"/>
        </w:rPr>
        <w:t>空艺切片家具座椅项目</w:t>
      </w:r>
      <w:r>
        <w:rPr>
          <w:rFonts w:hint="eastAsia" w:ascii="仿宋_GB2312" w:hAnsi="Times New Roman" w:eastAsia="仿宋_GB2312" w:cs="Times New Roman"/>
          <w:sz w:val="36"/>
          <w:szCs w:val="36"/>
          <w:u w:val="single"/>
        </w:rPr>
        <w:t xml:space="preserve"> </w:t>
      </w: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建设单位（盖章）：</w:t>
      </w:r>
      <w:bookmarkStart w:id="3" w:name="_GoBack"/>
      <w:r>
        <w:rPr>
          <w:rFonts w:hint="eastAsia" w:ascii="仿宋_GB2312" w:hAnsi="Times New Roman" w:eastAsia="仿宋_GB2312" w:cs="Times New Roman"/>
          <w:sz w:val="36"/>
          <w:szCs w:val="36"/>
          <w:u w:val="single"/>
          <w:lang w:val="en-US" w:eastAsia="zh-CN"/>
        </w:rPr>
        <w:t>宿州空艺景观工程有限公司</w:t>
      </w:r>
      <w:bookmarkEnd w:id="3"/>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二〇二二年</w:t>
      </w:r>
      <w:r>
        <w:rPr>
          <w:rFonts w:hint="eastAsia" w:ascii="仿宋_GB2312" w:eastAsia="仿宋_GB2312"/>
          <w:sz w:val="36"/>
          <w:szCs w:val="36"/>
          <w:u w:val="single"/>
          <w:lang w:val="en-US" w:eastAsia="zh-CN"/>
        </w:rPr>
        <w:t>八</w:t>
      </w:r>
      <w:r>
        <w:rPr>
          <w:rFonts w:hint="eastAsia" w:ascii="仿宋_GB2312" w:eastAsia="仿宋_GB2312"/>
          <w:sz w:val="36"/>
          <w:szCs w:val="36"/>
          <w:u w:val="single"/>
        </w:rPr>
        <w:t xml:space="preserve">月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r>
        <w:rPr>
          <w:rFonts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r>
        <w:rPr>
          <w:rFonts w:hint="eastAsia" w:ascii="楷体_GB2312" w:eastAsia="楷体_GB2312"/>
          <w:sz w:val="36"/>
          <w:szCs w:val="36"/>
        </w:rPr>
        <w:t>中华人民共和国生态环境部制</w:t>
      </w:r>
    </w:p>
    <w:p>
      <w:pPr>
        <w:pStyle w:val="18"/>
        <w:ind w:firstLine="3000" w:firstLineChars="1000"/>
        <w:jc w:val="both"/>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2"/>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color w:val="000000"/>
                <w:sz w:val="24"/>
              </w:rPr>
            </w:pPr>
            <w:r>
              <w:rPr>
                <w:rFonts w:ascii="Times New Roman" w:hAnsi="Times New Roman" w:cs="Times New Roman"/>
                <w:color w:val="000000"/>
                <w:sz w:val="24"/>
              </w:rPr>
              <w:t>建设项目名称</w:t>
            </w:r>
          </w:p>
        </w:tc>
        <w:tc>
          <w:tcPr>
            <w:tcW w:w="6488" w:type="dxa"/>
            <w:gridSpan w:val="3"/>
            <w:vAlign w:val="center"/>
          </w:tcPr>
          <w:p>
            <w:pPr>
              <w:adjustRightInd w:val="0"/>
              <w:snapToGrid w:val="0"/>
              <w:jc w:val="center"/>
              <w:rPr>
                <w:rFonts w:ascii="Times New Roman" w:hAnsi="Times New Roman" w:cs="Times New Roman"/>
                <w:color w:val="000000"/>
                <w:sz w:val="24"/>
              </w:rPr>
            </w:pPr>
            <w:r>
              <w:rPr>
                <w:rFonts w:hint="eastAsia" w:ascii="Times New Roman" w:hAnsi="Times New Roman" w:cs="Times New Roman"/>
                <w:color w:val="000000"/>
                <w:sz w:val="24"/>
                <w:lang w:val="en-US" w:eastAsia="zh-CN"/>
              </w:rPr>
              <w:t>年产500套空艺切片家具座椅项目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项目代码</w:t>
            </w:r>
          </w:p>
        </w:tc>
        <w:tc>
          <w:tcPr>
            <w:tcW w:w="6488" w:type="dxa"/>
            <w:gridSpan w:val="3"/>
            <w:vAlign w:val="center"/>
          </w:tcPr>
          <w:p>
            <w:pPr>
              <w:adjustRightInd w:val="0"/>
              <w:snapToGrid w:val="0"/>
              <w:jc w:val="center"/>
              <w:rPr>
                <w:rFonts w:hint="default" w:eastAsia="宋体"/>
                <w:color w:val="000000"/>
                <w:sz w:val="24"/>
                <w:lang w:val="en-US" w:eastAsia="zh-CN"/>
              </w:rPr>
            </w:pPr>
            <w:r>
              <w:rPr>
                <w:color w:val="000000"/>
                <w:sz w:val="24"/>
              </w:rPr>
              <w:t>2</w:t>
            </w:r>
            <w:r>
              <w:rPr>
                <w:rFonts w:hint="eastAsia"/>
                <w:color w:val="000000"/>
                <w:sz w:val="24"/>
                <w:lang w:val="en-US" w:eastAsia="zh-CN"/>
              </w:rPr>
              <w:t>203</w:t>
            </w:r>
            <w:r>
              <w:rPr>
                <w:color w:val="000000"/>
                <w:sz w:val="24"/>
              </w:rPr>
              <w:t>-341324-04-03-</w:t>
            </w:r>
            <w:r>
              <w:rPr>
                <w:rFonts w:hint="eastAsia"/>
                <w:color w:val="000000"/>
                <w:sz w:val="24"/>
                <w:lang w:val="en-US" w:eastAsia="zh-CN"/>
              </w:rPr>
              <w:t>228215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建设单位联系人</w:t>
            </w:r>
          </w:p>
        </w:tc>
        <w:tc>
          <w:tcPr>
            <w:tcW w:w="1637" w:type="dxa"/>
            <w:vAlign w:val="center"/>
          </w:tcPr>
          <w:p>
            <w:pPr>
              <w:adjustRightInd w:val="0"/>
              <w:snapToGrid w:val="0"/>
              <w:jc w:val="center"/>
              <w:rPr>
                <w:color w:val="000000"/>
                <w:sz w:val="24"/>
                <w:szCs w:val="24"/>
              </w:rPr>
            </w:pPr>
            <w:r>
              <w:rPr>
                <w:rFonts w:hint="default" w:ascii="Times New Roman" w:hAnsi="Times New Roman" w:cs="Times New Roman"/>
                <w:bCs/>
                <w:color w:val="000000"/>
                <w:sz w:val="24"/>
                <w:szCs w:val="24"/>
                <w:lang w:val="en-US" w:eastAsia="zh-CN"/>
              </w:rPr>
              <w:t>许彩刚</w:t>
            </w:r>
          </w:p>
        </w:tc>
        <w:tc>
          <w:tcPr>
            <w:tcW w:w="2212" w:type="dxa"/>
            <w:vAlign w:val="center"/>
          </w:tcPr>
          <w:p>
            <w:pPr>
              <w:adjustRightInd w:val="0"/>
              <w:snapToGrid w:val="0"/>
              <w:jc w:val="center"/>
              <w:rPr>
                <w:color w:val="000000"/>
                <w:sz w:val="24"/>
                <w:szCs w:val="24"/>
              </w:rPr>
            </w:pPr>
            <w:r>
              <w:rPr>
                <w:color w:val="000000"/>
                <w:sz w:val="24"/>
                <w:szCs w:val="24"/>
              </w:rPr>
              <w:t>联系方式</w:t>
            </w:r>
          </w:p>
        </w:tc>
        <w:tc>
          <w:tcPr>
            <w:tcW w:w="2639" w:type="dxa"/>
            <w:vAlign w:val="center"/>
          </w:tcPr>
          <w:p>
            <w:pPr>
              <w:spacing w:line="220" w:lineRule="atLeast"/>
              <w:ind w:firstLine="600" w:firstLineChars="250"/>
              <w:rPr>
                <w:color w:val="000000"/>
                <w:sz w:val="24"/>
                <w:szCs w:val="24"/>
              </w:rPr>
            </w:pPr>
            <w:r>
              <w:rPr>
                <w:rFonts w:hint="default" w:ascii="Times New Roman" w:hAnsi="Times New Roman" w:cs="Times New Roman"/>
                <w:bCs/>
                <w:color w:val="000000"/>
                <w:sz w:val="24"/>
                <w:szCs w:val="24"/>
                <w:lang w:val="en-US" w:eastAsia="zh-CN"/>
              </w:rPr>
              <w:t>15298897730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建设地点</w:t>
            </w:r>
          </w:p>
        </w:tc>
        <w:tc>
          <w:tcPr>
            <w:tcW w:w="6488" w:type="dxa"/>
            <w:gridSpan w:val="3"/>
            <w:vAlign w:val="center"/>
          </w:tcPr>
          <w:p>
            <w:pPr>
              <w:adjustRightInd w:val="0"/>
              <w:snapToGrid w:val="0"/>
              <w:jc w:val="center"/>
              <w:rPr>
                <w:color w:val="000000"/>
                <w:sz w:val="24"/>
              </w:rPr>
            </w:pPr>
            <w:r>
              <w:rPr>
                <w:sz w:val="24"/>
              </w:rPr>
              <w:t>宿州市泗县刘圩镇工业园区金光大道</w:t>
            </w:r>
            <w:r>
              <w:rPr>
                <w:rFonts w:ascii="宋体" w:hAnsi="宋体" w:eastAsia="宋体" w:cs="宋体"/>
                <w:sz w:val="24"/>
                <w:szCs w:val="24"/>
              </w:rPr>
              <w:t>西</w:t>
            </w:r>
            <w:r>
              <w:rPr>
                <w:rFonts w:hint="default" w:ascii="Times New Roman" w:hAnsi="Times New Roman" w:eastAsia="宋体" w:cs="Times New Roman"/>
                <w:sz w:val="24"/>
                <w:szCs w:val="24"/>
              </w:rPr>
              <w:t>侧变电所南50米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6488"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color w:val="000000" w:themeColor="text1"/>
                <w:sz w:val="24"/>
                <w:u w:val="single"/>
                <w14:textFill>
                  <w14:solidFill>
                    <w14:schemeClr w14:val="tx1"/>
                  </w14:solidFill>
                </w14:textFill>
              </w:rPr>
              <w:t xml:space="preserve"> 11</w:t>
            </w:r>
            <w:r>
              <w:rPr>
                <w:rFonts w:hint="eastAsia"/>
                <w:color w:val="000000" w:themeColor="text1"/>
                <w:sz w:val="24"/>
                <w:u w:val="single"/>
                <w:lang w:val="en-US" w:eastAsia="zh-CN"/>
                <w14:textFill>
                  <w14:solidFill>
                    <w14:schemeClr w14:val="tx1"/>
                  </w14:solidFill>
                </w14:textFill>
              </w:rPr>
              <w:t>8</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4</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43.503</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秒，</w:t>
            </w:r>
            <w:r>
              <w:rPr>
                <w:color w:val="000000" w:themeColor="text1"/>
                <w:sz w:val="24"/>
                <w:u w:val="single"/>
                <w14:textFill>
                  <w14:solidFill>
                    <w14:schemeClr w14:val="tx1"/>
                  </w14:solidFill>
                </w14:textFill>
              </w:rPr>
              <w:t xml:space="preserve"> 33 </w:t>
            </w:r>
            <w:r>
              <w:rPr>
                <w:color w:val="000000" w:themeColor="text1"/>
                <w:sz w:val="24"/>
                <w14:textFill>
                  <w14:solidFill>
                    <w14:schemeClr w14:val="tx1"/>
                  </w14:solidFill>
                </w14:textFill>
              </w:rPr>
              <w:t>度</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3</w:t>
            </w:r>
            <w:r>
              <w:rPr>
                <w:color w:val="000000" w:themeColor="text1"/>
                <w:sz w:val="24"/>
                <w:u w:val="single"/>
                <w14:textFill>
                  <w14:solidFill>
                    <w14:schemeClr w14:val="tx1"/>
                  </w14:solidFill>
                </w14:textFill>
              </w:rPr>
              <w:t xml:space="preserve">9 </w:t>
            </w:r>
            <w:r>
              <w:rPr>
                <w:color w:val="000000" w:themeColor="text1"/>
                <w:sz w:val="24"/>
                <w14:textFill>
                  <w14:solidFill>
                    <w14:schemeClr w14:val="tx1"/>
                  </w14:solidFill>
                </w14:textFill>
              </w:rPr>
              <w:t>分</w:t>
            </w:r>
            <w:r>
              <w:rPr>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10.744</w:t>
            </w:r>
            <w:r>
              <w:rPr>
                <w:color w:val="000000" w:themeColor="text1"/>
                <w:sz w:val="24"/>
                <w:u w:val="single"/>
                <w14:textFill>
                  <w14:solidFill>
                    <w14:schemeClr w14:val="tx1"/>
                  </w14:solidFill>
                </w14:textFill>
              </w:rPr>
              <w:t xml:space="preserve"> </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国民经济</w:t>
            </w:r>
          </w:p>
          <w:p>
            <w:pPr>
              <w:adjustRightInd w:val="0"/>
              <w:snapToGrid w:val="0"/>
              <w:jc w:val="center"/>
              <w:rPr>
                <w:sz w:val="24"/>
              </w:rPr>
            </w:pPr>
            <w:r>
              <w:rPr>
                <w:sz w:val="24"/>
              </w:rPr>
              <w:t>行业类别</w:t>
            </w:r>
          </w:p>
        </w:tc>
        <w:tc>
          <w:tcPr>
            <w:tcW w:w="1637" w:type="dxa"/>
            <w:vAlign w:val="center"/>
          </w:tcPr>
          <w:p>
            <w:pPr>
              <w:adjustRightInd w:val="0"/>
              <w:snapToGrid w:val="0"/>
              <w:jc w:val="center"/>
              <w:rPr>
                <w:bCs/>
                <w:sz w:val="24"/>
              </w:rPr>
            </w:pPr>
            <w:r>
              <w:rPr>
                <w:bCs/>
                <w:sz w:val="24"/>
              </w:rPr>
              <w:t>C2110</w:t>
            </w:r>
          </w:p>
          <w:p>
            <w:pPr>
              <w:adjustRightInd w:val="0"/>
              <w:snapToGrid w:val="0"/>
              <w:jc w:val="center"/>
              <w:rPr>
                <w:color w:val="000000"/>
                <w:sz w:val="24"/>
              </w:rPr>
            </w:pPr>
            <w:r>
              <w:rPr>
                <w:bCs/>
                <w:sz w:val="24"/>
              </w:rPr>
              <w:t>木质家具制造</w:t>
            </w:r>
          </w:p>
        </w:tc>
        <w:tc>
          <w:tcPr>
            <w:tcW w:w="2212" w:type="dxa"/>
            <w:vAlign w:val="center"/>
          </w:tcPr>
          <w:p>
            <w:pPr>
              <w:adjustRightInd w:val="0"/>
              <w:snapToGrid w:val="0"/>
              <w:jc w:val="center"/>
              <w:rPr>
                <w:color w:val="000000"/>
                <w:sz w:val="24"/>
              </w:rPr>
            </w:pPr>
            <w:bookmarkStart w:id="1" w:name="_Hlk49843745"/>
            <w:r>
              <w:rPr>
                <w:color w:val="000000"/>
                <w:sz w:val="24"/>
              </w:rPr>
              <w:t>建设项目</w:t>
            </w:r>
          </w:p>
          <w:p>
            <w:pPr>
              <w:adjustRightInd w:val="0"/>
              <w:snapToGrid w:val="0"/>
              <w:jc w:val="center"/>
              <w:rPr>
                <w:color w:val="000000"/>
                <w:sz w:val="24"/>
              </w:rPr>
            </w:pPr>
            <w:r>
              <w:rPr>
                <w:color w:val="000000"/>
                <w:sz w:val="24"/>
              </w:rPr>
              <w:t>行业类别</w:t>
            </w:r>
            <w:bookmarkEnd w:id="1"/>
          </w:p>
        </w:tc>
        <w:tc>
          <w:tcPr>
            <w:tcW w:w="2639" w:type="dxa"/>
            <w:vAlign w:val="center"/>
          </w:tcPr>
          <w:p>
            <w:pPr>
              <w:adjustRightInd w:val="0"/>
              <w:snapToGrid w:val="0"/>
              <w:jc w:val="center"/>
              <w:rPr>
                <w:color w:val="000000"/>
                <w:sz w:val="24"/>
              </w:rPr>
            </w:pPr>
            <w:r>
              <w:rPr>
                <w:rFonts w:hint="default" w:ascii="Times New Roman" w:hAnsi="Times New Roman" w:cs="Times New Roman"/>
                <w:color w:val="000000"/>
                <w:sz w:val="24"/>
              </w:rPr>
              <w:t>十八、家具制造业21木质家具制造211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建设性质</w:t>
            </w:r>
          </w:p>
        </w:tc>
        <w:tc>
          <w:tcPr>
            <w:tcW w:w="1637" w:type="dxa"/>
            <w:vAlign w:val="center"/>
          </w:tcPr>
          <w:p>
            <w:pPr>
              <w:jc w:val="left"/>
              <w:rPr>
                <w:sz w:val="24"/>
              </w:rPr>
            </w:pPr>
            <w:r>
              <w:rPr>
                <w:sz w:val="24"/>
              </w:rPr>
              <w:sym w:font="Wingdings 2" w:char="0052"/>
            </w:r>
            <w:r>
              <w:rPr>
                <w:sz w:val="24"/>
              </w:rPr>
              <w:t>新建（迁建）</w:t>
            </w:r>
          </w:p>
          <w:p>
            <w:pPr>
              <w:jc w:val="left"/>
              <w:rPr>
                <w:sz w:val="24"/>
              </w:rPr>
            </w:pPr>
            <w:r>
              <w:rPr>
                <w:sz w:val="24"/>
              </w:rPr>
              <w:sym w:font="Wingdings 2" w:char="00A3"/>
            </w:r>
            <w:r>
              <w:rPr>
                <w:sz w:val="24"/>
              </w:rPr>
              <w:t>改建</w:t>
            </w:r>
          </w:p>
          <w:p>
            <w:pPr>
              <w:jc w:val="left"/>
              <w:rPr>
                <w:sz w:val="24"/>
              </w:rPr>
            </w:pPr>
            <w:r>
              <w:rPr>
                <w:sz w:val="24"/>
              </w:rPr>
              <w:sym w:font="Wingdings 2" w:char="00A3"/>
            </w:r>
            <w:r>
              <w:rPr>
                <w:sz w:val="24"/>
              </w:rPr>
              <w:t>扩建</w:t>
            </w:r>
          </w:p>
          <w:p>
            <w:pPr>
              <w:jc w:val="left"/>
              <w:rPr>
                <w:sz w:val="24"/>
              </w:rPr>
            </w:pPr>
            <w:r>
              <w:rPr>
                <w:sz w:val="24"/>
              </w:rPr>
              <w:sym w:font="Wingdings 2" w:char="00A3"/>
            </w:r>
            <w:r>
              <w:rPr>
                <w:sz w:val="24"/>
              </w:rPr>
              <w:t>技术改造</w:t>
            </w:r>
          </w:p>
        </w:tc>
        <w:tc>
          <w:tcPr>
            <w:tcW w:w="2212" w:type="dxa"/>
            <w:vAlign w:val="center"/>
          </w:tcPr>
          <w:p>
            <w:pPr>
              <w:adjustRightInd w:val="0"/>
              <w:snapToGrid w:val="0"/>
              <w:jc w:val="center"/>
              <w:rPr>
                <w:sz w:val="24"/>
              </w:rPr>
            </w:pPr>
            <w:r>
              <w:rPr>
                <w:sz w:val="24"/>
              </w:rPr>
              <w:t>建设项目</w:t>
            </w:r>
          </w:p>
          <w:p>
            <w:pPr>
              <w:adjustRightInd w:val="0"/>
              <w:snapToGrid w:val="0"/>
              <w:jc w:val="center"/>
              <w:rPr>
                <w:sz w:val="24"/>
              </w:rPr>
            </w:pPr>
            <w:r>
              <w:rPr>
                <w:sz w:val="24"/>
              </w:rPr>
              <w:t>申报情形</w:t>
            </w:r>
          </w:p>
        </w:tc>
        <w:tc>
          <w:tcPr>
            <w:tcW w:w="2639" w:type="dxa"/>
            <w:vAlign w:val="center"/>
          </w:tcPr>
          <w:p>
            <w:pPr>
              <w:jc w:val="left"/>
              <w:rPr>
                <w:sz w:val="24"/>
              </w:rPr>
            </w:pPr>
            <w:r>
              <w:rPr>
                <w:sz w:val="24"/>
              </w:rPr>
              <w:sym w:font="Wingdings 2" w:char="0052"/>
            </w:r>
            <w:r>
              <w:rPr>
                <w:sz w:val="24"/>
              </w:rPr>
              <w:t xml:space="preserve">首次申报项目             </w:t>
            </w:r>
          </w:p>
          <w:p>
            <w:pPr>
              <w:jc w:val="left"/>
              <w:rPr>
                <w:sz w:val="24"/>
              </w:rPr>
            </w:pPr>
            <w:r>
              <w:rPr>
                <w:sz w:val="24"/>
              </w:rPr>
              <w:sym w:font="Wingdings 2" w:char="00A3"/>
            </w:r>
            <w:r>
              <w:rPr>
                <w:sz w:val="24"/>
              </w:rPr>
              <w:t>不予批准后再次申报项目</w:t>
            </w:r>
          </w:p>
          <w:p>
            <w:pPr>
              <w:jc w:val="left"/>
              <w:rPr>
                <w:sz w:val="24"/>
              </w:rPr>
            </w:pPr>
            <w:r>
              <w:rPr>
                <w:sz w:val="24"/>
              </w:rPr>
              <w:sym w:font="Wingdings 2" w:char="00A3"/>
            </w:r>
            <w:r>
              <w:rPr>
                <w:sz w:val="24"/>
              </w:rPr>
              <w:t xml:space="preserve">超五年重新审核项目     </w:t>
            </w:r>
          </w:p>
          <w:p>
            <w:pPr>
              <w:jc w:val="left"/>
              <w:rPr>
                <w:sz w:val="24"/>
              </w:rPr>
            </w:pPr>
            <w:r>
              <w:rPr>
                <w:sz w:val="24"/>
              </w:rPr>
              <w:sym w:font="Wingdings 2" w:char="00A3"/>
            </w:r>
            <w:r>
              <w:rPr>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备案）部门（选填）</w:t>
            </w:r>
          </w:p>
        </w:tc>
        <w:tc>
          <w:tcPr>
            <w:tcW w:w="1637" w:type="dxa"/>
            <w:vAlign w:val="center"/>
          </w:tcPr>
          <w:p>
            <w:pPr>
              <w:adjustRightInd w:val="0"/>
              <w:snapToGrid w:val="0"/>
              <w:jc w:val="center"/>
              <w:rPr>
                <w:sz w:val="24"/>
              </w:rPr>
            </w:pPr>
            <w:r>
              <w:rPr>
                <w:sz w:val="24"/>
              </w:rPr>
              <w:t>泗县发展和改革委员会</w:t>
            </w:r>
          </w:p>
        </w:tc>
        <w:tc>
          <w:tcPr>
            <w:tcW w:w="2212" w:type="dxa"/>
            <w:vAlign w:val="center"/>
          </w:tcPr>
          <w:p>
            <w:pPr>
              <w:adjustRightInd w:val="0"/>
              <w:snapToGrid w:val="0"/>
              <w:jc w:val="center"/>
              <w:rPr>
                <w:sz w:val="24"/>
              </w:rPr>
            </w:pPr>
            <w:r>
              <w:rPr>
                <w:sz w:val="24"/>
              </w:rPr>
              <w:t>项目审批（核准/</w:t>
            </w:r>
          </w:p>
          <w:p>
            <w:pPr>
              <w:adjustRightInd w:val="0"/>
              <w:snapToGrid w:val="0"/>
              <w:jc w:val="center"/>
              <w:rPr>
                <w:sz w:val="24"/>
              </w:rPr>
            </w:pPr>
            <w:r>
              <w:rPr>
                <w:sz w:val="24"/>
              </w:rPr>
              <w:t>备案）文号（选填）</w:t>
            </w:r>
          </w:p>
        </w:tc>
        <w:tc>
          <w:tcPr>
            <w:tcW w:w="2639" w:type="dxa"/>
            <w:vAlign w:val="center"/>
          </w:tcPr>
          <w:p>
            <w:pPr>
              <w:adjustRightInd w:val="0"/>
              <w:snapToGrid w:val="0"/>
              <w:jc w:val="center"/>
              <w:rPr>
                <w:sz w:val="24"/>
              </w:rPr>
            </w:pPr>
            <w:r>
              <w:rPr>
                <w:sz w:val="24"/>
              </w:rPr>
              <w:t>泗发改备案号[202</w:t>
            </w:r>
            <w:r>
              <w:rPr>
                <w:rFonts w:hint="eastAsia"/>
                <w:sz w:val="24"/>
                <w:lang w:val="en-US" w:eastAsia="zh-CN"/>
              </w:rPr>
              <w:t>2</w:t>
            </w:r>
            <w:r>
              <w:rPr>
                <w:sz w:val="24"/>
              </w:rPr>
              <w:t>]</w:t>
            </w:r>
            <w:r>
              <w:rPr>
                <w:rFonts w:hint="eastAsia"/>
                <w:sz w:val="24"/>
              </w:rPr>
              <w:t>1</w:t>
            </w:r>
            <w:r>
              <w:rPr>
                <w:rFonts w:hint="eastAsia"/>
                <w:sz w:val="24"/>
                <w:lang w:val="en-US" w:eastAsia="zh-CN"/>
              </w:rPr>
              <w:t>5</w:t>
            </w:r>
            <w:r>
              <w:rPr>
                <w:sz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1637"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8</w:t>
            </w:r>
            <w:r>
              <w:rPr>
                <w:color w:val="000000" w:themeColor="text1"/>
                <w:sz w:val="24"/>
                <w14:textFill>
                  <w14:solidFill>
                    <w14:schemeClr w14:val="tx1"/>
                  </w14:solidFill>
                </w14:textFill>
              </w:rPr>
              <w:t>00</w:t>
            </w:r>
          </w:p>
        </w:tc>
        <w:tc>
          <w:tcPr>
            <w:tcW w:w="221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2639" w:type="dxa"/>
            <w:vAlign w:val="center"/>
          </w:tcPr>
          <w:p>
            <w:pP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1637" w:type="dxa"/>
            <w:vAlign w:val="center"/>
          </w:tcPr>
          <w:p>
            <w:pPr>
              <w:adjustRightInd w:val="0"/>
              <w:snapToGrid w:val="0"/>
              <w:jc w:val="center"/>
              <w:rPr>
                <w:rFonts w:hint="default"/>
                <w:color w:val="000000" w:themeColor="text1"/>
                <w:sz w:val="24"/>
                <w:lang w:val="en-US"/>
                <w14:textFill>
                  <w14:solidFill>
                    <w14:schemeClr w14:val="tx1"/>
                  </w14:solidFill>
                </w14:textFill>
              </w:rPr>
            </w:pPr>
            <w:r>
              <w:rPr>
                <w:rFonts w:hint="eastAsia"/>
                <w:color w:val="000000" w:themeColor="text1"/>
                <w:sz w:val="24"/>
                <w:lang w:val="en-US" w:eastAsia="zh-CN"/>
                <w14:textFill>
                  <w14:solidFill>
                    <w14:schemeClr w14:val="tx1"/>
                  </w14:solidFill>
                </w14:textFill>
              </w:rPr>
              <w:t>8.75</w:t>
            </w:r>
          </w:p>
        </w:tc>
        <w:tc>
          <w:tcPr>
            <w:tcW w:w="221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sz w:val="24"/>
              </w:rPr>
            </w:pPr>
            <w:r>
              <w:rPr>
                <w:sz w:val="24"/>
              </w:rPr>
              <w:t>是否开工建设</w:t>
            </w:r>
          </w:p>
        </w:tc>
        <w:tc>
          <w:tcPr>
            <w:tcW w:w="1637" w:type="dxa"/>
            <w:vAlign w:val="center"/>
          </w:tcPr>
          <w:p>
            <w:pPr>
              <w:adjustRightInd w:val="0"/>
              <w:snapToGrid w:val="0"/>
              <w:rPr>
                <w:sz w:val="24"/>
              </w:rPr>
            </w:pPr>
            <w:r>
              <w:rPr>
                <w:sz w:val="24"/>
              </w:rPr>
              <w:sym w:font="Wingdings 2" w:char="0052"/>
            </w:r>
            <w:r>
              <w:rPr>
                <w:sz w:val="24"/>
              </w:rPr>
              <w:t>否</w:t>
            </w:r>
          </w:p>
          <w:p>
            <w:pPr>
              <w:adjustRightInd w:val="0"/>
              <w:snapToGrid w:val="0"/>
              <w:rPr>
                <w:sz w:val="24"/>
              </w:rPr>
            </w:pPr>
            <w:r>
              <w:rPr>
                <w:sz w:val="24"/>
              </w:rPr>
              <w:sym w:font="Wingdings 2" w:char="00A3"/>
            </w:r>
            <w:r>
              <w:rPr>
                <w:sz w:val="24"/>
              </w:rPr>
              <w:t>是：</w:t>
            </w:r>
            <w:r>
              <w:rPr>
                <w:sz w:val="24"/>
                <w:u w:val="single"/>
              </w:rPr>
              <w:t xml:space="preserve">             </w:t>
            </w:r>
          </w:p>
        </w:tc>
        <w:tc>
          <w:tcPr>
            <w:tcW w:w="2212" w:type="dxa"/>
            <w:tcMar>
              <w:top w:w="16" w:type="dxa"/>
              <w:left w:w="16" w:type="dxa"/>
              <w:right w:w="16" w:type="dxa"/>
            </w:tcMar>
            <w:vAlign w:val="center"/>
          </w:tcPr>
          <w:p>
            <w:pPr>
              <w:adjustRightInd w:val="0"/>
              <w:snapToGrid w:val="0"/>
              <w:jc w:val="center"/>
              <w:rPr>
                <w:spacing w:val="-6"/>
                <w:sz w:val="24"/>
              </w:rPr>
            </w:pPr>
            <w:r>
              <w:rPr>
                <w:spacing w:val="-6"/>
                <w:sz w:val="24"/>
              </w:rPr>
              <w:t>用地（用海）</w:t>
            </w:r>
          </w:p>
          <w:p>
            <w:pPr>
              <w:adjustRightInd w:val="0"/>
              <w:snapToGrid w:val="0"/>
              <w:jc w:val="center"/>
              <w:rPr>
                <w:sz w:val="24"/>
              </w:rPr>
            </w:pPr>
            <w:r>
              <w:rPr>
                <w:spacing w:val="-6"/>
                <w:sz w:val="24"/>
              </w:rPr>
              <w:t>面积（m</w:t>
            </w:r>
            <w:r>
              <w:rPr>
                <w:spacing w:val="-6"/>
                <w:sz w:val="24"/>
                <w:vertAlign w:val="superscript"/>
              </w:rPr>
              <w:t>2</w:t>
            </w:r>
            <w:r>
              <w:rPr>
                <w:spacing w:val="-6"/>
                <w:sz w:val="24"/>
              </w:rPr>
              <w:t>）</w:t>
            </w:r>
          </w:p>
        </w:tc>
        <w:tc>
          <w:tcPr>
            <w:tcW w:w="2639" w:type="dxa"/>
            <w:vAlign w:val="center"/>
          </w:tcPr>
          <w:p>
            <w:pPr>
              <w:adjustRightInd w:val="0"/>
              <w:snapToGrid w:val="0"/>
              <w:jc w:val="center"/>
              <w:rPr>
                <w:sz w:val="24"/>
              </w:rPr>
            </w:pPr>
            <w:r>
              <w:rPr>
                <w:rFonts w:hint="eastAsia"/>
                <w:sz w:val="24"/>
                <w:lang w:val="en-US" w:eastAsia="zh-CN"/>
              </w:rPr>
              <w:t>26</w:t>
            </w:r>
            <w:r>
              <w:rPr>
                <w:rFonts w:hint="eastAsia"/>
                <w:sz w:val="24"/>
              </w:rPr>
              <w:t>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kern w:val="0"/>
                <w:sz w:val="24"/>
              </w:rPr>
              <w:t>专项评价设置情况</w:t>
            </w:r>
          </w:p>
        </w:tc>
        <w:tc>
          <w:tcPr>
            <w:tcW w:w="6488" w:type="dxa"/>
            <w:gridSpan w:val="3"/>
            <w:vAlign w:val="center"/>
          </w:tcPr>
          <w:p>
            <w:pPr>
              <w:autoSpaceDE w:val="0"/>
              <w:autoSpaceDN w:val="0"/>
              <w:adjustRightInd w:val="0"/>
              <w:snapToGrid w:val="0"/>
              <w:jc w:val="center"/>
              <w:rPr>
                <w:kern w:val="0"/>
                <w:sz w:val="24"/>
              </w:rPr>
            </w:pPr>
            <w:r>
              <w:rPr>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sz w:val="24"/>
              </w:rPr>
              <w:t>规划情况</w:t>
            </w:r>
          </w:p>
        </w:tc>
        <w:tc>
          <w:tcPr>
            <w:tcW w:w="6488" w:type="dxa"/>
            <w:gridSpan w:val="3"/>
            <w:vAlign w:val="center"/>
          </w:tcPr>
          <w:p>
            <w:pPr>
              <w:autoSpaceDE w:val="0"/>
              <w:autoSpaceDN w:val="0"/>
              <w:adjustRightInd w:val="0"/>
              <w:snapToGrid w:val="0"/>
              <w:jc w:val="center"/>
              <w:rPr>
                <w:kern w:val="0"/>
                <w:sz w:val="24"/>
              </w:rPr>
            </w:pPr>
            <w:r>
              <w:rPr>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sz w:val="24"/>
              </w:rPr>
            </w:pPr>
            <w:r>
              <w:rPr>
                <w:sz w:val="24"/>
              </w:rPr>
              <w:t>规划环境影响</w:t>
            </w:r>
          </w:p>
          <w:p>
            <w:pPr>
              <w:adjustRightInd w:val="0"/>
              <w:snapToGrid w:val="0"/>
              <w:jc w:val="center"/>
              <w:rPr>
                <w:kern w:val="0"/>
                <w:sz w:val="24"/>
              </w:rPr>
            </w:pPr>
            <w:r>
              <w:rPr>
                <w:sz w:val="24"/>
              </w:rPr>
              <w:t>评价情况</w:t>
            </w:r>
          </w:p>
        </w:tc>
        <w:tc>
          <w:tcPr>
            <w:tcW w:w="6488" w:type="dxa"/>
            <w:gridSpan w:val="3"/>
            <w:vAlign w:val="center"/>
          </w:tcPr>
          <w:p>
            <w:pPr>
              <w:autoSpaceDE w:val="0"/>
              <w:autoSpaceDN w:val="0"/>
              <w:adjustRightInd w:val="0"/>
              <w:snapToGrid w:val="0"/>
              <w:jc w:val="center"/>
              <w:rPr>
                <w:kern w:val="0"/>
                <w:sz w:val="24"/>
              </w:rPr>
            </w:pPr>
            <w:r>
              <w:rPr>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kern w:val="0"/>
                <w:sz w:val="24"/>
              </w:rPr>
              <w:t>规划及规划环境</w:t>
            </w:r>
          </w:p>
          <w:p>
            <w:pPr>
              <w:autoSpaceDE w:val="0"/>
              <w:autoSpaceDN w:val="0"/>
              <w:adjustRightInd w:val="0"/>
              <w:snapToGrid w:val="0"/>
              <w:jc w:val="center"/>
              <w:rPr>
                <w:kern w:val="0"/>
                <w:sz w:val="24"/>
              </w:rPr>
            </w:pPr>
            <w:r>
              <w:rPr>
                <w:kern w:val="0"/>
                <w:sz w:val="24"/>
              </w:rPr>
              <w:t>影响评价符合性分析</w:t>
            </w:r>
          </w:p>
        </w:tc>
        <w:tc>
          <w:tcPr>
            <w:tcW w:w="6488" w:type="dxa"/>
            <w:gridSpan w:val="3"/>
            <w:vAlign w:val="center"/>
          </w:tcPr>
          <w:p>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11" w:lineRule="atLeast"/>
              <w:ind w:right="0"/>
              <w:jc w:val="center"/>
              <w:rPr>
                <w:kern w:val="0"/>
                <w:sz w:val="24"/>
              </w:rPr>
            </w:pPr>
            <w:r>
              <w:rPr>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kern w:val="0"/>
                <w:sz w:val="24"/>
              </w:rPr>
            </w:pPr>
            <w:r>
              <w:rPr>
                <w:kern w:val="0"/>
                <w:sz w:val="24"/>
              </w:rPr>
              <w:t>其他符合性分析</w:t>
            </w:r>
          </w:p>
        </w:tc>
        <w:tc>
          <w:tcPr>
            <w:tcW w:w="6488" w:type="dxa"/>
            <w:gridSpan w:val="3"/>
            <w:vAlign w:val="center"/>
          </w:tcPr>
          <w:p>
            <w:pPr>
              <w:autoSpaceDE w:val="0"/>
              <w:autoSpaceDN w:val="0"/>
              <w:adjustRightInd w:val="0"/>
              <w:snapToGrid w:val="0"/>
              <w:spacing w:line="360" w:lineRule="auto"/>
              <w:ind w:firstLine="482" w:firstLineChars="200"/>
              <w:rPr>
                <w:b/>
                <w:bCs/>
                <w:sz w:val="24"/>
              </w:rPr>
            </w:pPr>
            <w:r>
              <w:rPr>
                <w:b/>
                <w:bCs/>
                <w:sz w:val="24"/>
              </w:rPr>
              <w:t>一</w:t>
            </w:r>
            <w:r>
              <w:rPr>
                <w:rFonts w:hint="eastAsia"/>
                <w:b/>
                <w:bCs/>
                <w:sz w:val="24"/>
              </w:rPr>
              <w:t>、产业政策符合性分析</w:t>
            </w:r>
          </w:p>
          <w:p>
            <w:pPr>
              <w:pStyle w:val="48"/>
              <w:spacing w:line="360" w:lineRule="auto"/>
              <w:rPr>
                <w:rFonts w:cs="Times New Roman"/>
                <w:sz w:val="24"/>
                <w:szCs w:val="24"/>
              </w:rPr>
            </w:pPr>
            <w:r>
              <w:rPr>
                <w:sz w:val="24"/>
              </w:rPr>
              <w:t>依</w:t>
            </w:r>
            <w:r>
              <w:rPr>
                <w:rFonts w:cs="Times New Roman"/>
                <w:sz w:val="24"/>
                <w:szCs w:val="24"/>
              </w:rPr>
              <w:t>据《产业结构调整指导目录（201</w:t>
            </w:r>
            <w:r>
              <w:rPr>
                <w:rFonts w:hint="eastAsia" w:cs="Times New Roman"/>
                <w:sz w:val="24"/>
                <w:szCs w:val="24"/>
              </w:rPr>
              <w:t>9</w:t>
            </w:r>
            <w:r>
              <w:rPr>
                <w:rFonts w:cs="Times New Roman"/>
                <w:sz w:val="24"/>
                <w:szCs w:val="24"/>
              </w:rPr>
              <w:t>年本）》，本项目不属于鼓励类、限制类和淘汰类，属于允许类。</w:t>
            </w:r>
            <w:r>
              <w:rPr>
                <w:sz w:val="24"/>
              </w:rPr>
              <w:t>且</w:t>
            </w:r>
            <w:r>
              <w:rPr>
                <w:rFonts w:cs="Times New Roman"/>
                <w:sz w:val="24"/>
                <w:szCs w:val="24"/>
              </w:rPr>
              <w:t>本项目已</w:t>
            </w:r>
            <w:r>
              <w:rPr>
                <w:sz w:val="24"/>
              </w:rPr>
              <w:t>于202</w:t>
            </w:r>
            <w:r>
              <w:rPr>
                <w:rFonts w:hint="eastAsia"/>
                <w:sz w:val="24"/>
                <w:lang w:val="en-US" w:eastAsia="zh-CN"/>
              </w:rPr>
              <w:t>2</w:t>
            </w:r>
            <w:r>
              <w:rPr>
                <w:sz w:val="24"/>
              </w:rPr>
              <w:t>年</w:t>
            </w:r>
            <w:r>
              <w:rPr>
                <w:rFonts w:hint="eastAsia"/>
                <w:sz w:val="24"/>
                <w:lang w:val="en-US" w:eastAsia="zh-CN"/>
              </w:rPr>
              <w:t>3</w:t>
            </w:r>
            <w:r>
              <w:rPr>
                <w:sz w:val="24"/>
              </w:rPr>
              <w:t>月</w:t>
            </w:r>
            <w:r>
              <w:rPr>
                <w:rFonts w:hint="eastAsia"/>
                <w:sz w:val="24"/>
                <w:lang w:val="en-US" w:eastAsia="zh-CN"/>
              </w:rPr>
              <w:t>7</w:t>
            </w:r>
            <w:r>
              <w:rPr>
                <w:sz w:val="24"/>
              </w:rPr>
              <w:t>日经</w:t>
            </w:r>
            <w:r>
              <w:rPr>
                <w:rFonts w:hint="eastAsia" w:cs="Times New Roman"/>
                <w:sz w:val="24"/>
                <w:szCs w:val="24"/>
              </w:rPr>
              <w:t>泗县发展和改革委员会以泗发改备案[202</w:t>
            </w:r>
            <w:r>
              <w:rPr>
                <w:rFonts w:hint="eastAsia" w:cs="Times New Roman"/>
                <w:sz w:val="24"/>
                <w:szCs w:val="24"/>
                <w:lang w:val="en-US" w:eastAsia="zh-CN"/>
              </w:rPr>
              <w:t>2</w:t>
            </w:r>
            <w:r>
              <w:rPr>
                <w:rFonts w:hint="eastAsia" w:cs="Times New Roman"/>
                <w:sz w:val="24"/>
                <w:szCs w:val="24"/>
              </w:rPr>
              <w:t>]1</w:t>
            </w:r>
            <w:r>
              <w:rPr>
                <w:rFonts w:hint="eastAsia" w:cs="Times New Roman"/>
                <w:sz w:val="24"/>
                <w:szCs w:val="24"/>
                <w:lang w:val="en-US" w:eastAsia="zh-CN"/>
              </w:rPr>
              <w:t>5</w:t>
            </w:r>
            <w:r>
              <w:rPr>
                <w:rFonts w:hint="eastAsia" w:cs="Times New Roman"/>
                <w:sz w:val="24"/>
                <w:szCs w:val="24"/>
              </w:rPr>
              <w:t>号文件同意本项目的备案，项目代码为</w:t>
            </w:r>
            <w:r>
              <w:rPr>
                <w:color w:val="000000"/>
                <w:sz w:val="24"/>
              </w:rPr>
              <w:t>2</w:t>
            </w:r>
            <w:r>
              <w:rPr>
                <w:rFonts w:hint="eastAsia"/>
                <w:color w:val="000000"/>
                <w:sz w:val="24"/>
                <w:lang w:val="en-US" w:eastAsia="zh-CN"/>
              </w:rPr>
              <w:t>203</w:t>
            </w:r>
            <w:r>
              <w:rPr>
                <w:color w:val="000000"/>
                <w:sz w:val="24"/>
              </w:rPr>
              <w:t>-341324-04-03-</w:t>
            </w:r>
            <w:r>
              <w:rPr>
                <w:rFonts w:hint="eastAsia"/>
                <w:color w:val="000000"/>
                <w:sz w:val="24"/>
                <w:lang w:val="en-US" w:eastAsia="zh-CN"/>
              </w:rPr>
              <w:t>228215</w:t>
            </w:r>
            <w:r>
              <w:rPr>
                <w:rFonts w:cs="Times New Roman"/>
                <w:sz w:val="24"/>
                <w:szCs w:val="24"/>
              </w:rPr>
              <w:t>。</w:t>
            </w:r>
          </w:p>
          <w:p>
            <w:pPr>
              <w:autoSpaceDE w:val="0"/>
              <w:autoSpaceDN w:val="0"/>
              <w:adjustRightInd w:val="0"/>
              <w:snapToGrid w:val="0"/>
              <w:spacing w:line="360" w:lineRule="auto"/>
              <w:ind w:firstLine="480" w:firstLineChars="200"/>
              <w:rPr>
                <w:b/>
                <w:bCs/>
                <w:sz w:val="24"/>
              </w:rPr>
            </w:pPr>
            <w:r>
              <w:rPr>
                <w:sz w:val="24"/>
              </w:rPr>
              <w:t>因此，本项目的建设符合国家和地方相关产业政策。</w:t>
            </w:r>
          </w:p>
          <w:p>
            <w:pPr>
              <w:spacing w:line="360" w:lineRule="auto"/>
              <w:ind w:firstLine="480" w:firstLineChars="200"/>
              <w:rPr>
                <w:b/>
                <w:bCs/>
                <w:lang w:bidi="ar"/>
              </w:rPr>
            </w:pPr>
            <w:r>
              <w:rPr>
                <w:rFonts w:ascii="宋体" w:hAnsi="宋体" w:cs="宋体"/>
                <w:sz w:val="24"/>
              </w:rPr>
              <w:t>二</w:t>
            </w:r>
            <w:r>
              <w:rPr>
                <w:rFonts w:hint="eastAsia" w:ascii="宋体" w:hAnsi="宋体" w:cs="宋体"/>
                <w:sz w:val="24"/>
              </w:rPr>
              <w:t>、</w:t>
            </w:r>
            <w:r>
              <w:rPr>
                <w:b/>
                <w:bCs/>
                <w:sz w:val="24"/>
                <w:lang w:bidi="ar"/>
              </w:rPr>
              <w:t>项目</w:t>
            </w:r>
            <w:r>
              <w:rPr>
                <w:b/>
                <w:bCs/>
                <w:sz w:val="24"/>
              </w:rPr>
              <w:t>选址</w:t>
            </w:r>
            <w:r>
              <w:rPr>
                <w:b/>
                <w:bCs/>
                <w:sz w:val="24"/>
                <w:lang w:bidi="ar"/>
              </w:rPr>
              <w:t>符合性分析。</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s="宋体"/>
                <w:sz w:val="24"/>
                <w:szCs w:val="24"/>
              </w:rPr>
            </w:pPr>
            <w:r>
              <w:rPr>
                <w:rFonts w:hint="eastAsia" w:cs="宋体"/>
                <w:sz w:val="24"/>
                <w:szCs w:val="24"/>
              </w:rPr>
              <w:t>本项目位于</w:t>
            </w:r>
            <w:r>
              <w:rPr>
                <w:sz w:val="24"/>
                <w:szCs w:val="24"/>
              </w:rPr>
              <w:t>宿州市泗县刘圩镇工业园区金光大道1号</w:t>
            </w:r>
            <w:r>
              <w:rPr>
                <w:rFonts w:hint="eastAsia" w:cs="宋体"/>
                <w:sz w:val="24"/>
                <w:szCs w:val="24"/>
              </w:rPr>
              <w:t>，本项目为新建厂房，占地面积约为</w:t>
            </w:r>
            <w:r>
              <w:rPr>
                <w:rFonts w:hint="eastAsia"/>
                <w:sz w:val="24"/>
              </w:rPr>
              <w:t>1000</w:t>
            </w:r>
            <w:r>
              <w:rPr>
                <w:sz w:val="24"/>
                <w:szCs w:val="24"/>
              </w:rPr>
              <w:t>m</w:t>
            </w:r>
            <w:r>
              <w:rPr>
                <w:sz w:val="24"/>
                <w:szCs w:val="24"/>
                <w:vertAlign w:val="superscript"/>
              </w:rPr>
              <w:t>2</w:t>
            </w:r>
            <w:r>
              <w:rPr>
                <w:rFonts w:hint="eastAsia" w:cs="宋体"/>
                <w:sz w:val="24"/>
                <w:szCs w:val="24"/>
              </w:rPr>
              <w:t>。</w:t>
            </w:r>
            <w:r>
              <w:rPr>
                <w:rFonts w:hint="eastAsia" w:cs="宋体"/>
                <w:color w:val="000000" w:themeColor="text1"/>
                <w:sz w:val="24"/>
                <w:szCs w:val="24"/>
                <w14:textFill>
                  <w14:solidFill>
                    <w14:schemeClr w14:val="tx1"/>
                  </w14:solidFill>
                </w14:textFill>
              </w:rPr>
              <w:t>根据</w:t>
            </w:r>
            <w:r>
              <w:rPr>
                <w:rFonts w:ascii="宋体" w:hAnsi="宋体" w:eastAsia="宋体" w:cs="宋体"/>
                <w:color w:val="000000" w:themeColor="text1"/>
                <w:sz w:val="24"/>
                <w:szCs w:val="24"/>
                <w14:textFill>
                  <w14:solidFill>
                    <w14:schemeClr w14:val="tx1"/>
                  </w14:solidFill>
                </w14:textFill>
              </w:rPr>
              <w:t>甲</w:t>
            </w:r>
            <w:r>
              <w:rPr>
                <w:rFonts w:ascii="宋体" w:hAnsi="宋体" w:eastAsia="宋体" w:cs="宋体"/>
                <w:sz w:val="24"/>
                <w:szCs w:val="24"/>
              </w:rPr>
              <w:t>方提供的土地证</w:t>
            </w:r>
            <w:r>
              <w:rPr>
                <w:rFonts w:hint="eastAsia" w:cs="宋体"/>
                <w:color w:val="000000" w:themeColor="text1"/>
                <w:sz w:val="24"/>
                <w:szCs w:val="24"/>
                <w14:textFill>
                  <w14:solidFill>
                    <w14:schemeClr w14:val="tx1"/>
                  </w14:solidFill>
                </w14:textFill>
              </w:rPr>
              <w:t>（见附件</w:t>
            </w:r>
            <w:r>
              <w:rPr>
                <w:rFonts w:hint="eastAsia" w:cs="宋体"/>
                <w:color w:val="000000" w:themeColor="text1"/>
                <w:sz w:val="24"/>
                <w:szCs w:val="24"/>
                <w:lang w:val="en-US" w:eastAsia="zh-CN"/>
                <w14:textFill>
                  <w14:solidFill>
                    <w14:schemeClr w14:val="tx1"/>
                  </w14:solidFill>
                </w14:textFill>
              </w:rPr>
              <w:t>3</w:t>
            </w:r>
            <w:r>
              <w:rPr>
                <w:rFonts w:hint="eastAsia" w:cs="宋体"/>
                <w:color w:val="000000" w:themeColor="text1"/>
                <w:sz w:val="24"/>
                <w:szCs w:val="24"/>
                <w14:textFill>
                  <w14:solidFill>
                    <w14:schemeClr w14:val="tx1"/>
                  </w14:solidFill>
                </w14:textFill>
              </w:rPr>
              <w:t>）</w:t>
            </w:r>
            <w:r>
              <w:rPr>
                <w:rFonts w:hint="eastAsia" w:cs="宋体"/>
                <w:sz w:val="24"/>
                <w:szCs w:val="24"/>
              </w:rPr>
              <w:t>，该地属于建设用地，符合用地规划要求。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420"/>
              <w:jc w:val="both"/>
              <w:textAlignment w:val="auto"/>
              <w:rPr>
                <w:rFonts w:hint="eastAsia" w:ascii="Times New Roman" w:hAnsi="Times New Roman" w:eastAsia="宋体" w:cs="Times New Roman"/>
                <w:kern w:val="2"/>
                <w:sz w:val="24"/>
                <w:szCs w:val="24"/>
                <w:lang w:val="en-US" w:eastAsia="zh-CN" w:bidi="ar-SA"/>
              </w:rPr>
            </w:pPr>
            <w:r>
              <w:rPr>
                <w:sz w:val="24"/>
              </w:rPr>
              <w:t>本项目位于安徽省宿州市泗县刘圩镇工业园区金光大道1号</w:t>
            </w:r>
            <w:r>
              <w:rPr>
                <w:iCs/>
                <w:color w:val="000000"/>
                <w:sz w:val="24"/>
              </w:rPr>
              <w:t>，</w:t>
            </w:r>
            <w:r>
              <w:rPr>
                <w:rFonts w:hint="eastAsia" w:ascii="Times New Roman" w:hAnsi="Times New Roman" w:eastAsia="宋体" w:cs="Times New Roman"/>
                <w:kern w:val="2"/>
                <w:sz w:val="24"/>
                <w:szCs w:val="24"/>
                <w:lang w:val="en-US" w:eastAsia="zh-CN" w:bidi="ar-SA"/>
              </w:rPr>
              <w:t>泗县</w:t>
            </w:r>
            <w:r>
              <w:rPr>
                <w:rFonts w:hint="eastAsia"/>
              </w:rPr>
              <w:t>刘圩镇</w:t>
            </w:r>
            <w:r>
              <w:rPr>
                <w:rFonts w:hint="eastAsia" w:ascii="Times New Roman" w:hAnsi="Times New Roman" w:eastAsia="宋体" w:cs="Times New Roman"/>
                <w:kern w:val="2"/>
                <w:sz w:val="24"/>
                <w:szCs w:val="24"/>
                <w:lang w:val="en-US" w:eastAsia="zh-CN" w:bidi="ar-SA"/>
              </w:rPr>
              <w:t>新型乡村工业园，始建于2007年9月，累计投入4500万元，利用土地300亩，现有规模以上工业企业8家，其中生产体育文化用品的4家。工业园区水、电、路、通讯等基础设施和绿化、亮化、供水、排水等配套设施基本齐全。</w:t>
            </w:r>
          </w:p>
          <w:p>
            <w:pPr>
              <w:widowControl/>
              <w:spacing w:line="360" w:lineRule="auto"/>
              <w:ind w:firstLine="480" w:firstLineChars="200"/>
              <w:jc w:val="left"/>
              <w:rPr>
                <w:iCs/>
                <w:color w:val="000000"/>
                <w:sz w:val="24"/>
              </w:rPr>
            </w:pPr>
            <w:r>
              <w:rPr>
                <w:rFonts w:hint="eastAsia" w:ascii="Times New Roman" w:hAnsi="Times New Roman" w:eastAsia="宋体" w:cs="Times New Roman"/>
                <w:kern w:val="2"/>
                <w:sz w:val="24"/>
                <w:szCs w:val="24"/>
                <w:lang w:val="en-US" w:eastAsia="zh-CN" w:bidi="ar-SA"/>
              </w:rPr>
              <w:t>计划在“十四五”期间，</w:t>
            </w:r>
            <w:r>
              <w:rPr>
                <w:rFonts w:hint="eastAsia" w:cs="Times New Roman"/>
                <w:kern w:val="2"/>
                <w:sz w:val="24"/>
                <w:szCs w:val="24"/>
                <w:lang w:val="en-US" w:eastAsia="zh-CN" w:bidi="ar-SA"/>
              </w:rPr>
              <w:t>刘圩镇</w:t>
            </w:r>
            <w:r>
              <w:rPr>
                <w:rFonts w:hint="eastAsia" w:ascii="Times New Roman" w:hAnsi="Times New Roman" w:eastAsia="宋体" w:cs="Times New Roman"/>
                <w:kern w:val="2"/>
                <w:sz w:val="24"/>
                <w:szCs w:val="24"/>
                <w:lang w:val="en-US" w:eastAsia="zh-CN" w:bidi="ar-SA"/>
              </w:rPr>
              <w:t>工业园区再新征建设用地200亩，用于工业项目建设，新增规模以上工业企业10家，新增规上工业总产值15亿元；到“十四五”末，</w:t>
            </w:r>
            <w:r>
              <w:rPr>
                <w:rFonts w:hint="eastAsia" w:cs="Times New Roman"/>
                <w:kern w:val="2"/>
                <w:sz w:val="24"/>
                <w:szCs w:val="24"/>
                <w:lang w:val="en-US" w:eastAsia="zh-CN" w:bidi="ar-SA"/>
              </w:rPr>
              <w:t>刘圩镇</w:t>
            </w:r>
            <w:r>
              <w:rPr>
                <w:rFonts w:hint="eastAsia" w:ascii="Times New Roman" w:hAnsi="Times New Roman" w:eastAsia="宋体" w:cs="Times New Roman"/>
                <w:kern w:val="2"/>
                <w:sz w:val="24"/>
                <w:szCs w:val="24"/>
                <w:lang w:val="en-US" w:eastAsia="zh-CN" w:bidi="ar-SA"/>
              </w:rPr>
              <w:t>规上工业总产值争取达到30亿元以上。将刘圩镇工业园区建设成为“双创孵化园”。一是创建体育文化用品生产加工产业孵化园，申报省级文化用品生产加工孵化园基地。在现有4家体育文化用品生产加工企业的基础上，争取在“十四五”期间再新增6家以上体育文化生产加工用品企业，主要是生产各种球类和玩具，年产值达到20亿元以上。二是申报省级新型乡村工业园和农民工返乡创业园。计划投入资金8500万元，3000万元强化园区基础设施建设及配套（道路、管网、电网）；4000万元用于园区拓展规模，打造升级版（征地、拆迁、建设厂房），1500万元进行周边环境整治、停车场和广场建设。</w:t>
            </w:r>
          </w:p>
          <w:p>
            <w:pPr>
              <w:widowControl/>
              <w:spacing w:line="360" w:lineRule="auto"/>
              <w:ind w:firstLine="480" w:firstLineChars="200"/>
              <w:jc w:val="left"/>
              <w:rPr>
                <w:bCs/>
                <w:sz w:val="24"/>
              </w:rPr>
            </w:pPr>
            <w:r>
              <w:rPr>
                <w:sz w:val="24"/>
              </w:rPr>
              <w:t>项目东侧为</w:t>
            </w:r>
            <w:r>
              <w:rPr>
                <w:rFonts w:ascii="宋体" w:hAnsi="宋体" w:eastAsia="宋体" w:cs="宋体"/>
                <w:sz w:val="24"/>
                <w:szCs w:val="24"/>
              </w:rPr>
              <w:t>空地</w:t>
            </w:r>
            <w:r>
              <w:rPr>
                <w:sz w:val="24"/>
              </w:rPr>
              <w:t>，南侧为</w:t>
            </w:r>
            <w:r>
              <w:rPr>
                <w:rFonts w:ascii="宋体" w:hAnsi="宋体" w:eastAsia="宋体" w:cs="宋体"/>
                <w:sz w:val="24"/>
                <w:szCs w:val="24"/>
              </w:rPr>
              <w:t>鼎信木业</w:t>
            </w:r>
            <w:r>
              <w:rPr>
                <w:sz w:val="24"/>
              </w:rPr>
              <w:t>，西侧为空</w:t>
            </w:r>
            <w:r>
              <w:rPr>
                <w:rFonts w:hint="eastAsia"/>
                <w:sz w:val="24"/>
                <w:lang w:val="en-US" w:eastAsia="zh-CN"/>
              </w:rPr>
              <w:t>地</w:t>
            </w:r>
            <w:r>
              <w:rPr>
                <w:sz w:val="24"/>
              </w:rPr>
              <w:t>，北侧为</w:t>
            </w:r>
            <w:r>
              <w:rPr>
                <w:rFonts w:ascii="宋体" w:hAnsi="宋体" w:eastAsia="宋体" w:cs="宋体"/>
                <w:sz w:val="24"/>
                <w:szCs w:val="24"/>
              </w:rPr>
              <w:t>泗县金皖泵业有限公司</w:t>
            </w:r>
            <w:r>
              <w:rPr>
                <w:sz w:val="24"/>
              </w:rPr>
              <w:t>。</w:t>
            </w:r>
            <w:r>
              <w:rPr>
                <w:rFonts w:ascii="宋体" w:hAnsi="宋体" w:cs="宋体"/>
                <w:sz w:val="24"/>
              </w:rPr>
              <w:t>项目属于</w:t>
            </w:r>
            <w:r>
              <w:rPr>
                <w:bCs/>
                <w:sz w:val="24"/>
              </w:rPr>
              <w:t>木质家具制造</w:t>
            </w:r>
            <w:r>
              <w:rPr>
                <w:rFonts w:ascii="宋体" w:hAnsi="宋体" w:cs="宋体"/>
                <w:sz w:val="24"/>
              </w:rPr>
              <w:t>，且</w:t>
            </w:r>
            <w:r>
              <w:rPr>
                <w:rFonts w:hint="eastAsia" w:ascii="宋体" w:hAnsi="宋体" w:cs="宋体"/>
                <w:sz w:val="24"/>
                <w:lang w:val="en-US" w:eastAsia="zh-CN"/>
              </w:rPr>
              <w:t>与</w:t>
            </w:r>
            <w:r>
              <w:rPr>
                <w:rFonts w:ascii="宋体" w:hAnsi="宋体" w:cs="宋体"/>
                <w:sz w:val="24"/>
              </w:rPr>
              <w:t>周边企业</w:t>
            </w:r>
            <w:r>
              <w:rPr>
                <w:rFonts w:ascii="宋体" w:hAnsi="宋体" w:eastAsia="宋体" w:cs="宋体"/>
                <w:sz w:val="24"/>
                <w:szCs w:val="24"/>
              </w:rPr>
              <w:t>不存在环境冲突</w:t>
            </w:r>
            <w:r>
              <w:rPr>
                <w:rFonts w:ascii="宋体" w:hAnsi="宋体" w:cs="宋体"/>
                <w:sz w:val="24"/>
              </w:rPr>
              <w:t>，因此</w:t>
            </w:r>
            <w:r>
              <w:rPr>
                <w:sz w:val="24"/>
              </w:rPr>
              <w:t>本项目</w:t>
            </w:r>
            <w:r>
              <w:rPr>
                <w:rFonts w:ascii="宋体" w:hAnsi="宋体" w:cs="宋体"/>
                <w:sz w:val="24"/>
              </w:rPr>
              <w:t>与周边企业相融</w:t>
            </w:r>
            <w:r>
              <w:rPr>
                <w:bCs/>
                <w:sz w:val="24"/>
              </w:rPr>
              <w:t>。厂界</w:t>
            </w:r>
            <w:r>
              <w:rPr>
                <w:rFonts w:hint="eastAsia"/>
                <w:bCs/>
                <w:sz w:val="24"/>
              </w:rPr>
              <w:t>周边</w:t>
            </w:r>
            <w:r>
              <w:rPr>
                <w:bCs/>
                <w:sz w:val="24"/>
              </w:rPr>
              <w:t>无环境敏感保护目标、饮用水源、城市居民区、自然保护区等环境特殊敏感区。运营消耗资源主要为水、电，项目耗电量相对区域资源利用总量较少，满足项目建设外部条件要求。</w:t>
            </w:r>
          </w:p>
          <w:p>
            <w:pPr>
              <w:widowControl/>
              <w:spacing w:line="360" w:lineRule="auto"/>
              <w:ind w:firstLine="480" w:firstLineChars="200"/>
              <w:jc w:val="left"/>
              <w:rPr>
                <w:bCs/>
                <w:sz w:val="24"/>
              </w:rPr>
            </w:pPr>
            <w:r>
              <w:rPr>
                <w:bCs/>
                <w:sz w:val="24"/>
              </w:rPr>
              <w:t>总体来说，建设项目厂址地理位置优越，交通便利，通过对厂区合理布局，加强绿化，并落实各项污染防治措施后，污染物均可达标排放，不会对项目所在区域环境造成较大影响。</w:t>
            </w:r>
          </w:p>
          <w:p>
            <w:pPr>
              <w:widowControl/>
              <w:spacing w:line="360" w:lineRule="auto"/>
              <w:ind w:firstLine="480" w:firstLineChars="200"/>
              <w:jc w:val="left"/>
              <w:rPr>
                <w:b/>
                <w:bCs/>
              </w:rPr>
            </w:pPr>
            <w:r>
              <w:rPr>
                <w:bCs/>
                <w:sz w:val="24"/>
              </w:rPr>
              <w:t>综上分析，本项目选址合理。</w:t>
            </w:r>
          </w:p>
          <w:p>
            <w:pPr>
              <w:spacing w:line="360" w:lineRule="auto"/>
              <w:ind w:firstLine="422" w:firstLineChars="200"/>
              <w:rPr>
                <w:sz w:val="24"/>
              </w:rPr>
            </w:pPr>
            <w:r>
              <w:rPr>
                <w:rFonts w:hint="eastAsia"/>
                <w:b/>
                <w:bCs/>
                <w:lang w:bidi="ar"/>
              </w:rPr>
              <w:t>三</w:t>
            </w:r>
            <w:r>
              <w:rPr>
                <w:b/>
                <w:bCs/>
                <w:sz w:val="24"/>
              </w:rPr>
              <w:t>、</w:t>
            </w:r>
            <w:r>
              <w:rPr>
                <w:rFonts w:hint="eastAsia"/>
              </w:rPr>
              <w:t>“</w:t>
            </w:r>
            <w:r>
              <w:rPr>
                <w:b/>
                <w:bCs/>
                <w:sz w:val="24"/>
              </w:rPr>
              <w:t>三线一单</w:t>
            </w:r>
            <w:r>
              <w:rPr>
                <w:rFonts w:hint="eastAsia"/>
              </w:rPr>
              <w:t>”</w:t>
            </w:r>
            <w:r>
              <w:rPr>
                <w:b/>
                <w:bCs/>
                <w:sz w:val="24"/>
              </w:rPr>
              <w:t>符合性分析</w:t>
            </w:r>
          </w:p>
          <w:p>
            <w:pPr>
              <w:spacing w:line="360" w:lineRule="auto"/>
              <w:ind w:firstLine="480" w:firstLineChars="200"/>
              <w:rPr>
                <w:sz w:val="24"/>
              </w:rPr>
            </w:pPr>
            <w:r>
              <w:rPr>
                <w:sz w:val="24"/>
              </w:rPr>
              <w:t>1、生态保护红线</w:t>
            </w:r>
          </w:p>
          <w:p>
            <w:pPr>
              <w:pStyle w:val="59"/>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360" w:lineRule="auto"/>
              <w:ind w:firstLine="480" w:firstLineChars="200"/>
              <w:jc w:val="both"/>
              <w:textAlignment w:val="baseline"/>
              <w:rPr>
                <w:rFonts w:hint="default"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安徽</w:t>
            </w:r>
            <w:r>
              <w:rPr>
                <w:rFonts w:hint="default"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省生态红线划定方案目前正处于拟定阶段尚未发布，根据安徽省人民政府《关于加快实施“三线一单”生态环境分区管控的通知》</w:t>
            </w:r>
            <w:r>
              <w:rPr>
                <w:rFonts w:hint="eastAsia"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w:t>
            </w:r>
            <w:r>
              <w:rPr>
                <w:rFonts w:hint="default"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全省共划定环境管控单元</w:t>
            </w:r>
            <w:r>
              <w:rPr>
                <w:rFonts w:hint="eastAsia"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1002</w:t>
            </w:r>
            <w:r>
              <w:rPr>
                <w:rFonts w:hint="default"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个，分为优先保护单元、重点管控单元和一般管控单元三类，实施分类管控。</w:t>
            </w:r>
          </w:p>
          <w:p>
            <w:pPr>
              <w:pStyle w:val="59"/>
              <w:keepNext w:val="0"/>
              <w:keepLines w:val="0"/>
              <w:pageBreakBefore w:val="0"/>
              <w:widowControl w:val="0"/>
              <w:numPr>
                <w:ilvl w:val="0"/>
                <w:numId w:val="0"/>
              </w:numPr>
              <w:tabs>
                <w:tab w:val="left" w:pos="420"/>
              </w:tabs>
              <w:kinsoku/>
              <w:wordWrap/>
              <w:overflowPunct/>
              <w:topLinePunct w:val="0"/>
              <w:autoSpaceDE/>
              <w:autoSpaceDN/>
              <w:bidi w:val="0"/>
              <w:adjustRightInd w:val="0"/>
              <w:snapToGrid/>
              <w:spacing w:line="360" w:lineRule="auto"/>
              <w:ind w:firstLine="480" w:firstLineChars="200"/>
              <w:jc w:val="both"/>
              <w:textAlignment w:val="baseline"/>
              <w:rPr>
                <w:kern w:val="0"/>
                <w:sz w:val="24"/>
              </w:rPr>
            </w:pPr>
            <w:r>
              <w:rPr>
                <w:rFonts w:hint="default" w:ascii="Times New Roman" w:hAnsi="Times New Roman" w:eastAsia="宋体" w:cs="Times New Roman"/>
                <w:caps w:val="0"/>
                <w:color w:val="000000" w:themeColor="text1"/>
                <w:spacing w:val="0"/>
                <w:position w:val="0"/>
                <w:sz w:val="24"/>
                <w:szCs w:val="24"/>
                <w:lang w:eastAsia="zh-CN"/>
                <w14:textFill>
                  <w14:solidFill>
                    <w14:schemeClr w14:val="tx1"/>
                  </w14:solidFill>
                </w14:textFill>
              </w:rPr>
              <w:t>本</w:t>
            </w:r>
            <w:r>
              <w:rPr>
                <w:rFonts w:hint="default"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项目</w:t>
            </w:r>
            <w:r>
              <w:rPr>
                <w:rFonts w:hint="default" w:ascii="Times New Roman" w:hAnsi="Times New Roman" w:eastAsia="宋体" w:cs="Times New Roman"/>
                <w:caps w:val="0"/>
                <w:color w:val="000000" w:themeColor="text1"/>
                <w:spacing w:val="0"/>
                <w:position w:val="0"/>
                <w:sz w:val="24"/>
                <w:szCs w:val="24"/>
                <w:lang w:eastAsia="zh-CN"/>
                <w14:textFill>
                  <w14:solidFill>
                    <w14:schemeClr w14:val="tx1"/>
                  </w14:solidFill>
                </w14:textFill>
              </w:rPr>
              <w:t>位于</w:t>
            </w:r>
            <w:r>
              <w:rPr>
                <w:sz w:val="24"/>
              </w:rPr>
              <w:t>宿州市泗县刘圩镇工业园区金光大道</w:t>
            </w:r>
            <w:r>
              <w:rPr>
                <w:rFonts w:ascii="宋体" w:hAnsi="宋体" w:eastAsia="宋体" w:cs="宋体"/>
                <w:sz w:val="24"/>
                <w:szCs w:val="24"/>
              </w:rPr>
              <w:t>西</w:t>
            </w:r>
            <w:r>
              <w:rPr>
                <w:rFonts w:hint="default" w:ascii="Times New Roman" w:hAnsi="Times New Roman" w:eastAsia="宋体" w:cs="Times New Roman"/>
                <w:sz w:val="24"/>
                <w:szCs w:val="24"/>
              </w:rPr>
              <w:t>侧变电所南50米</w:t>
            </w:r>
            <w:r>
              <w:rPr>
                <w:rFonts w:hint="eastAsia" w:ascii="Times New Roman" w:hAnsi="Times New Roman" w:eastAsia="宋体" w:cs="Times New Roman"/>
                <w:sz w:val="24"/>
                <w:szCs w:val="24"/>
                <w:lang w:val="en-US" w:eastAsia="zh-CN"/>
              </w:rPr>
              <w:t>处</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选址属于</w:t>
            </w:r>
            <w:r>
              <w:rPr>
                <w:rFonts w:hint="default"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一般管控单元</w:t>
            </w:r>
            <w:r>
              <w:rPr>
                <w:rFonts w:hint="eastAsia"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w:t>
            </w:r>
            <w:r>
              <w:rPr>
                <w:rFonts w:hint="default"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根据调查，项目所在地不涉及国家限制开发区和禁止开发区，不涉及</w:t>
            </w:r>
            <w:r>
              <w:rPr>
                <w:rFonts w:hint="default" w:ascii="Times New Roman" w:hAnsi="Times New Roman" w:eastAsia="宋体" w:cs="Times New Roman"/>
                <w:caps w:val="0"/>
                <w:color w:val="000000" w:themeColor="text1"/>
                <w:spacing w:val="0"/>
                <w:position w:val="0"/>
                <w:sz w:val="24"/>
                <w:szCs w:val="24"/>
                <w:u w:val="none"/>
                <w14:textFill>
                  <w14:solidFill>
                    <w14:schemeClr w14:val="tx1"/>
                  </w14:solidFill>
                </w14:textFill>
              </w:rPr>
              <w:t>自然保护区、风景名胜区、文物古迹</w:t>
            </w:r>
            <w:r>
              <w:rPr>
                <w:rFonts w:hint="default" w:ascii="Times New Roman" w:hAnsi="Times New Roman" w:eastAsia="宋体" w:cs="Times New Roman"/>
                <w:caps w:val="0"/>
                <w:color w:val="000000" w:themeColor="text1"/>
                <w:spacing w:val="0"/>
                <w:position w:val="0"/>
                <w:sz w:val="24"/>
                <w:szCs w:val="24"/>
                <w:u w:val="none"/>
                <w:lang w:eastAsia="zh-CN"/>
                <w14:textFill>
                  <w14:solidFill>
                    <w14:schemeClr w14:val="tx1"/>
                  </w14:solidFill>
                </w14:textFill>
              </w:rPr>
              <w:t>、水源地保护区</w:t>
            </w:r>
            <w:r>
              <w:rPr>
                <w:rFonts w:hint="default" w:ascii="Times New Roman" w:hAnsi="Times New Roman" w:eastAsia="宋体" w:cs="Times New Roman"/>
                <w:caps w:val="0"/>
                <w:color w:val="000000" w:themeColor="text1"/>
                <w:spacing w:val="0"/>
                <w:position w:val="0"/>
                <w:sz w:val="24"/>
                <w:szCs w:val="24"/>
                <w:u w:val="none"/>
                <w14:textFill>
                  <w14:solidFill>
                    <w14:schemeClr w14:val="tx1"/>
                  </w14:solidFill>
                </w14:textFill>
              </w:rPr>
              <w:t>等</w:t>
            </w:r>
            <w:r>
              <w:rPr>
                <w:rFonts w:hint="default"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w:t>
            </w:r>
            <w:r>
              <w:rPr>
                <w:rFonts w:hint="eastAsia"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因此，项目</w:t>
            </w:r>
            <w:r>
              <w:rPr>
                <w:rFonts w:hint="default" w:ascii="Times New Roman" w:hAnsi="Times New Roman" w:eastAsia="宋体" w:cs="Times New Roman"/>
                <w:caps w:val="0"/>
                <w:color w:val="000000" w:themeColor="text1"/>
                <w:spacing w:val="0"/>
                <w:position w:val="0"/>
                <w:sz w:val="24"/>
                <w:szCs w:val="24"/>
                <w:lang w:val="en-US" w:eastAsia="zh-CN"/>
                <w14:textFill>
                  <w14:solidFill>
                    <w14:schemeClr w14:val="tx1"/>
                  </w14:solidFill>
                </w14:textFill>
              </w:rPr>
              <w:t>符合生态保护红线要求</w:t>
            </w:r>
            <w:r>
              <w:rPr>
                <w:color w:val="000000" w:themeColor="text1"/>
                <w:kern w:val="0"/>
                <w:sz w:val="24"/>
                <w14:textFill>
                  <w14:solidFill>
                    <w14:schemeClr w14:val="tx1"/>
                  </w14:solidFill>
                </w14:textFill>
              </w:rPr>
              <w:t>。</w:t>
            </w:r>
            <w:r>
              <w:rPr>
                <w:rFonts w:hint="eastAsia"/>
                <w:color w:val="000000" w:themeColor="text1"/>
                <w:kern w:val="0"/>
                <w:sz w:val="24"/>
                <w:lang w:val="en-US" w:eastAsia="zh-CN"/>
                <w14:textFill>
                  <w14:solidFill>
                    <w14:schemeClr w14:val="tx1"/>
                  </w14:solidFill>
                </w14:textFill>
              </w:rPr>
              <w:t>同时</w:t>
            </w:r>
            <w:r>
              <w:rPr>
                <w:rFonts w:hint="eastAsia"/>
                <w:kern w:val="0"/>
                <w:sz w:val="24"/>
              </w:rPr>
              <w:t>依</w:t>
            </w:r>
            <w:r>
              <w:rPr>
                <w:sz w:val="24"/>
              </w:rPr>
              <w:t>据</w:t>
            </w:r>
            <w:r>
              <w:rPr>
                <w:kern w:val="0"/>
                <w:sz w:val="24"/>
              </w:rPr>
              <w:t>《安徽省人民政府关于发布安徽省生态保护红线的通知》（皖政秘[2018]120号），本项目所在区域不在生态保护红线区域内。</w:t>
            </w:r>
          </w:p>
          <w:p>
            <w:pPr>
              <w:spacing w:line="360" w:lineRule="auto"/>
              <w:ind w:firstLine="480" w:firstLineChars="200"/>
              <w:rPr>
                <w:kern w:val="0"/>
                <w:sz w:val="24"/>
              </w:rPr>
            </w:pPr>
            <w:r>
              <w:rPr>
                <w:kern w:val="0"/>
                <w:sz w:val="24"/>
              </w:rPr>
              <w:t>2、环境质量底线</w:t>
            </w:r>
          </w:p>
          <w:p>
            <w:pPr>
              <w:spacing w:line="360" w:lineRule="auto"/>
              <w:ind w:firstLine="480" w:firstLineChars="200"/>
              <w:rPr>
                <w:kern w:val="0"/>
                <w:sz w:val="24"/>
              </w:rPr>
            </w:pPr>
            <w:r>
              <w:rPr>
                <w:color w:val="000000"/>
                <w:sz w:val="24"/>
                <w:lang w:bidi="ar"/>
              </w:rPr>
              <w:t>根</w:t>
            </w:r>
            <w:r>
              <w:rPr>
                <w:rFonts w:eastAsia="宋体"/>
                <w:color w:val="000000"/>
                <w:sz w:val="24"/>
                <w:lang w:bidi="ar"/>
              </w:rPr>
              <w:t>据</w:t>
            </w:r>
            <w:r>
              <w:rPr>
                <w:rFonts w:hint="eastAsia" w:eastAsia="宋体"/>
                <w:color w:val="000000"/>
                <w:sz w:val="24"/>
                <w:lang w:val="en-US" w:eastAsia="zh-CN" w:bidi="ar"/>
              </w:rPr>
              <w:t>2021</w:t>
            </w:r>
            <w:r>
              <w:rPr>
                <w:rFonts w:eastAsia="宋体"/>
                <w:color w:val="000000"/>
                <w:sz w:val="24"/>
                <w:lang w:bidi="ar"/>
              </w:rPr>
              <w:t>年宿州市环境质量公报，</w:t>
            </w:r>
            <w:r>
              <w:rPr>
                <w:color w:val="000000"/>
                <w:sz w:val="24"/>
                <w:lang w:bidi="ar"/>
              </w:rPr>
              <w:t>项目区域大气环境质量不满足《环境空气质量标准》（GB3095-2012）二级标准，为改善环境空气质量情况，宿州市通过优化产业结构和布局，严格控制高耗能、高污染项目建设，对“散乱污”企业进行综合整治，加强扬尘综合整治，严格控制污染物新增排放量，大力发展清洁能源，加强区域工业废气的收集和处理，大力淘汰老旧车辆，加强区域联防联控，以及严格要求和管理企业，减少移动污染源的排放，严格施工和道路扬尘监管，则本地区的环境空气质量将逐渐得到改善。</w:t>
            </w:r>
            <w:r>
              <w:rPr>
                <w:sz w:val="24"/>
                <w:lang w:bidi="ar"/>
              </w:rPr>
              <w:t>本项目产生的生活污水水质简单，经化粪池处理后</w:t>
            </w:r>
            <w:r>
              <w:rPr>
                <w:sz w:val="24"/>
              </w:rPr>
              <w:t>定期</w:t>
            </w:r>
            <w:r>
              <w:rPr>
                <w:rFonts w:hint="eastAsia"/>
                <w:sz w:val="24"/>
              </w:rPr>
              <w:t>清掏外运，不外排</w:t>
            </w:r>
            <w:r>
              <w:rPr>
                <w:sz w:val="24"/>
                <w:lang w:bidi="ar"/>
              </w:rPr>
              <w:t>。声环境质量可以满足区域声环境质量标准。结合项目环境影响预测，本项目的建设不会恶化区域环境质量功能，不会触碰区域环境质量底线。</w:t>
            </w:r>
          </w:p>
          <w:p>
            <w:pPr>
              <w:spacing w:line="360" w:lineRule="auto"/>
              <w:ind w:firstLine="480" w:firstLineChars="200"/>
              <w:rPr>
                <w:kern w:val="0"/>
                <w:sz w:val="24"/>
              </w:rPr>
            </w:pPr>
            <w:r>
              <w:rPr>
                <w:kern w:val="0"/>
                <w:sz w:val="24"/>
              </w:rPr>
              <w:t>3、资源利用上线</w:t>
            </w:r>
          </w:p>
          <w:p>
            <w:pPr>
              <w:spacing w:line="360" w:lineRule="auto"/>
              <w:ind w:firstLine="480" w:firstLineChars="200"/>
              <w:rPr>
                <w:kern w:val="0"/>
                <w:sz w:val="24"/>
              </w:rPr>
            </w:pPr>
            <w:r>
              <w:rPr>
                <w:kern w:val="0"/>
                <w:sz w:val="24"/>
              </w:rPr>
              <w:t>本</w:t>
            </w:r>
            <w:r>
              <w:rPr>
                <w:sz w:val="24"/>
                <w:lang w:bidi="ar"/>
              </w:rPr>
              <w:t>项目所在地不属于资源、能源紧缺区域，</w:t>
            </w:r>
            <w:r>
              <w:rPr>
                <w:rFonts w:ascii="宋体" w:hAnsi="宋体" w:cs="宋体"/>
                <w:sz w:val="24"/>
              </w:rPr>
              <w:t>且</w:t>
            </w:r>
            <w:r>
              <w:rPr>
                <w:sz w:val="24"/>
                <w:lang w:bidi="ar"/>
              </w:rPr>
              <w:t>本项目用地性质为工业用地。从资源角度，本项目的建设充分利用了现有土地资源，减少了土地资源的浪费。从能源角度，本项目消耗能源主要为电、水，</w:t>
            </w:r>
            <w:r>
              <w:rPr>
                <w:rFonts w:ascii="宋体" w:hAnsi="宋体" w:cs="宋体"/>
                <w:sz w:val="24"/>
              </w:rPr>
              <w:t>不消耗煤炭、天然气等资源，不突破当地资源利用上限要求</w:t>
            </w:r>
            <w:r>
              <w:rPr>
                <w:sz w:val="24"/>
                <w:lang w:bidi="ar"/>
              </w:rPr>
              <w:t>。</w:t>
            </w:r>
          </w:p>
          <w:p>
            <w:pPr>
              <w:spacing w:line="360" w:lineRule="auto"/>
              <w:ind w:firstLine="480" w:firstLineChars="200"/>
              <w:rPr>
                <w:kern w:val="0"/>
                <w:sz w:val="24"/>
              </w:rPr>
            </w:pPr>
            <w:r>
              <w:rPr>
                <w:kern w:val="0"/>
                <w:sz w:val="24"/>
              </w:rPr>
              <w:t>4、环境准入负面清单</w:t>
            </w:r>
          </w:p>
          <w:p>
            <w:pPr>
              <w:spacing w:line="360" w:lineRule="auto"/>
              <w:ind w:firstLine="480" w:firstLineChars="200"/>
              <w:rPr>
                <w:rFonts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项目所在地为无环境准入负面清单。</w:t>
            </w:r>
          </w:p>
          <w:p>
            <w:pPr>
              <w:pStyle w:val="42"/>
              <w:spacing w:line="360" w:lineRule="auto"/>
              <w:rPr>
                <w:lang w:bidi="ar"/>
              </w:rPr>
            </w:pPr>
            <w:r>
              <w:rPr>
                <w:lang w:bidi="ar"/>
              </w:rPr>
              <w:t>综上分析，本项目建设符合“三线一单”的要求。</w:t>
            </w:r>
          </w:p>
          <w:p>
            <w:pPr>
              <w:spacing w:line="360" w:lineRule="auto"/>
              <w:ind w:firstLine="482" w:firstLineChars="200"/>
              <w:rPr>
                <w:b/>
                <w:kern w:val="0"/>
                <w:sz w:val="24"/>
              </w:rPr>
            </w:pPr>
            <w:r>
              <w:rPr>
                <w:rFonts w:ascii="宋体" w:hAnsi="宋体" w:cs="宋体"/>
                <w:b/>
                <w:bCs/>
                <w:sz w:val="24"/>
              </w:rPr>
              <w:t>四</w:t>
            </w:r>
            <w:r>
              <w:rPr>
                <w:b/>
                <w:sz w:val="24"/>
              </w:rPr>
              <w:t>、</w:t>
            </w:r>
            <w:r>
              <w:rPr>
                <w:b/>
                <w:kern w:val="0"/>
                <w:sz w:val="24"/>
              </w:rPr>
              <w:t>与相关政策相符性</w:t>
            </w:r>
          </w:p>
          <w:p>
            <w:pPr>
              <w:autoSpaceDE w:val="0"/>
              <w:spacing w:line="360" w:lineRule="auto"/>
              <w:ind w:firstLine="482" w:firstLineChars="200"/>
              <w:rPr>
                <w:b/>
                <w:bCs/>
                <w:sz w:val="24"/>
                <w:szCs w:val="24"/>
              </w:rPr>
            </w:pPr>
            <w:r>
              <w:rPr>
                <w:rFonts w:hint="eastAsia"/>
                <w:b/>
                <w:bCs/>
                <w:sz w:val="24"/>
                <w:szCs w:val="24"/>
              </w:rPr>
              <w:t>1、</w:t>
            </w:r>
            <w:r>
              <w:rPr>
                <w:b/>
                <w:bCs/>
                <w:sz w:val="24"/>
                <w:szCs w:val="24"/>
              </w:rPr>
              <w:t>与宿州市大气污染防治联席会议办公室档宿大气办[2021]2号《宿州市2021年应对气候变化和大气污染防治重点工作任务》的符合性分析</w:t>
            </w:r>
          </w:p>
          <w:p>
            <w:pPr>
              <w:autoSpaceDE w:val="0"/>
              <w:spacing w:line="360" w:lineRule="auto"/>
              <w:jc w:val="center"/>
              <w:rPr>
                <w:sz w:val="24"/>
                <w:szCs w:val="24"/>
              </w:rPr>
            </w:pPr>
            <w:r>
              <w:rPr>
                <w:b/>
                <w:bCs/>
                <w:sz w:val="24"/>
                <w:szCs w:val="24"/>
              </w:rPr>
              <w:t>表1-</w:t>
            </w:r>
            <w:r>
              <w:rPr>
                <w:rFonts w:hint="eastAsia"/>
                <w:b/>
                <w:bCs/>
                <w:sz w:val="24"/>
                <w:szCs w:val="24"/>
                <w:lang w:val="en-US" w:eastAsia="zh-CN"/>
              </w:rPr>
              <w:t>1</w:t>
            </w:r>
            <w:r>
              <w:rPr>
                <w:rFonts w:hint="eastAsia"/>
                <w:b/>
                <w:bCs/>
                <w:sz w:val="24"/>
                <w:szCs w:val="24"/>
              </w:rPr>
              <w:t xml:space="preserve">  </w:t>
            </w:r>
            <w:r>
              <w:rPr>
                <w:b/>
                <w:bCs/>
                <w:sz w:val="24"/>
                <w:szCs w:val="24"/>
              </w:rPr>
              <w:t>项目与《宿州市2021年应对气候变化和大气污染防治重点工作任务》符合性</w:t>
            </w:r>
          </w:p>
          <w:tbl>
            <w:tblPr>
              <w:tblStyle w:val="22"/>
              <w:tblW w:w="6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542"/>
              <w:gridCol w:w="1508"/>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rPr>
                  </w:pPr>
                  <w:r>
                    <w:rPr>
                      <w:b/>
                      <w:bCs/>
                      <w:sz w:val="21"/>
                      <w:szCs w:val="21"/>
                    </w:rPr>
                    <w:t>序号</w:t>
                  </w:r>
                </w:p>
              </w:tc>
              <w:tc>
                <w:tcPr>
                  <w:tcW w:w="3542" w:type="dxa"/>
                  <w:tcBorders>
                    <w:top w:val="single" w:color="auto" w:sz="4" w:space="0"/>
                    <w:left w:val="nil"/>
                    <w:bottom w:val="single" w:color="auto" w:sz="4" w:space="0"/>
                    <w:right w:val="single" w:color="auto" w:sz="4" w:space="0"/>
                  </w:tcBorders>
                  <w:vAlign w:val="center"/>
                </w:tcPr>
                <w:p>
                  <w:pPr>
                    <w:jc w:val="center"/>
                    <w:rPr>
                      <w:b/>
                      <w:bCs/>
                      <w:sz w:val="21"/>
                      <w:szCs w:val="21"/>
                    </w:rPr>
                  </w:pPr>
                  <w:r>
                    <w:rPr>
                      <w:b/>
                      <w:bCs/>
                      <w:sz w:val="21"/>
                      <w:szCs w:val="21"/>
                    </w:rPr>
                    <w:t>宿州市2021年应对气候变化和大气污染防治重点工作任务</w:t>
                  </w:r>
                </w:p>
              </w:tc>
              <w:tc>
                <w:tcPr>
                  <w:tcW w:w="1508" w:type="dxa"/>
                  <w:tcBorders>
                    <w:top w:val="single" w:color="auto" w:sz="4" w:space="0"/>
                    <w:left w:val="nil"/>
                    <w:bottom w:val="single" w:color="auto" w:sz="4" w:space="0"/>
                    <w:right w:val="single" w:color="auto" w:sz="4" w:space="0"/>
                  </w:tcBorders>
                  <w:vAlign w:val="center"/>
                </w:tcPr>
                <w:p>
                  <w:pPr>
                    <w:jc w:val="center"/>
                    <w:rPr>
                      <w:b/>
                      <w:bCs/>
                      <w:sz w:val="21"/>
                      <w:szCs w:val="21"/>
                    </w:rPr>
                  </w:pPr>
                  <w:r>
                    <w:rPr>
                      <w:b/>
                      <w:bCs/>
                      <w:sz w:val="21"/>
                      <w:szCs w:val="21"/>
                    </w:rPr>
                    <w:t>项目情况</w:t>
                  </w:r>
                </w:p>
              </w:tc>
              <w:tc>
                <w:tcPr>
                  <w:tcW w:w="644" w:type="dxa"/>
                  <w:tcBorders>
                    <w:top w:val="single" w:color="auto" w:sz="4" w:space="0"/>
                    <w:left w:val="nil"/>
                    <w:bottom w:val="single" w:color="auto" w:sz="4" w:space="0"/>
                    <w:right w:val="single" w:color="auto" w:sz="4" w:space="0"/>
                  </w:tcBorders>
                  <w:vAlign w:val="center"/>
                </w:tcPr>
                <w:p>
                  <w:pPr>
                    <w:jc w:val="center"/>
                    <w:rPr>
                      <w:b/>
                      <w:bCs/>
                      <w:sz w:val="21"/>
                      <w:szCs w:val="21"/>
                    </w:rPr>
                  </w:pPr>
                  <w:r>
                    <w:rPr>
                      <w:b/>
                      <w:bCs/>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1</w:t>
                  </w:r>
                </w:p>
              </w:tc>
              <w:tc>
                <w:tcPr>
                  <w:tcW w:w="3542"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持续加大煤炭消费减量控制。严控化石能源消费总量，新、改、扩建项目严格实施煤炭等量或减量替代，禁止新建企业自备燃煤设施。加大监管力度，打击在禁燃区内使用散煤等违法行为</w:t>
                  </w:r>
                </w:p>
              </w:tc>
              <w:tc>
                <w:tcPr>
                  <w:tcW w:w="1508"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本项目所用的能源为电和水，无燃煤锅炉使用</w:t>
                  </w:r>
                </w:p>
              </w:tc>
              <w:tc>
                <w:tcPr>
                  <w:tcW w:w="644"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2</w:t>
                  </w:r>
                </w:p>
              </w:tc>
              <w:tc>
                <w:tcPr>
                  <w:tcW w:w="3542"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开展锅炉炉窑深度治理。进一步摸排清理现有燃煤小热电和燃煤锅炉，确保区域内35蒸吨/小时以下燃煤锅炉清零。加快推进30万千瓦及以上热点联产机组供热半径30公里范围内燃煤锅炉和低效燃煤小热电关停整合，积极推进陶瓷、玻璃等行业清洁燃料替代工程；清理整治无法稳定达标排放的工业炉窑锅炉，取缔不达标燃料类煤气发生炉；4月底前，摸排全市生物质锅炉并建立台账，年底前完成建成区生物质锅炉完成超低排放改造并安装烟气在线连续监测仪器，监测仪器须与生态环境部门自动监测监控系统联网，淘汰不能稳定达标（燃煤锅炉特别排放限值）的生物质锅炉和非生物质专用锅炉</w:t>
                  </w:r>
                </w:p>
              </w:tc>
              <w:tc>
                <w:tcPr>
                  <w:tcW w:w="1508"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本项目所用的能源为电和水，无燃煤锅炉使用</w:t>
                  </w:r>
                </w:p>
              </w:tc>
              <w:tc>
                <w:tcPr>
                  <w:tcW w:w="644"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3</w:t>
                  </w:r>
                </w:p>
              </w:tc>
              <w:tc>
                <w:tcPr>
                  <w:tcW w:w="3542"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加快推进VOCs精细化治理。实施VOCs产品源头替代工程，严格落实《油墨中可挥发性有机化合物含量的限值》等国家产品VOCs含量限值标准，推进家具制造、汽车制造、印刷和记录媒介、橡胶和塑胶制品等行业低VOCs含量原辅材料替代。实施重点企业VOCs综合治理工程，编制执行“一企一策”，推进治污设施改造升级。</w:t>
                  </w:r>
                </w:p>
              </w:tc>
              <w:tc>
                <w:tcPr>
                  <w:tcW w:w="1508"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本项目</w:t>
                  </w:r>
                  <w:r>
                    <w:rPr>
                      <w:rFonts w:hint="eastAsia"/>
                      <w:sz w:val="21"/>
                      <w:szCs w:val="21"/>
                    </w:rPr>
                    <w:t>不使用油墨，油漆</w:t>
                  </w:r>
                  <w:r>
                    <w:rPr>
                      <w:sz w:val="21"/>
                      <w:szCs w:val="21"/>
                    </w:rPr>
                    <w:t>VOCs含量</w:t>
                  </w:r>
                  <w:r>
                    <w:rPr>
                      <w:rFonts w:hint="eastAsia"/>
                      <w:sz w:val="21"/>
                      <w:szCs w:val="21"/>
                    </w:rPr>
                    <w:t>满足《低挥发性有机化合物含量涂料产品技术要求》（G</w:t>
                  </w:r>
                  <w:r>
                    <w:rPr>
                      <w:sz w:val="21"/>
                      <w:szCs w:val="21"/>
                    </w:rPr>
                    <w:t>B/T 38597-2020</w:t>
                  </w:r>
                  <w:r>
                    <w:rPr>
                      <w:rFonts w:hint="eastAsia"/>
                      <w:sz w:val="21"/>
                      <w:szCs w:val="21"/>
                    </w:rPr>
                    <w:t>）</w:t>
                  </w:r>
                  <w:r>
                    <w:rPr>
                      <w:sz w:val="21"/>
                      <w:szCs w:val="21"/>
                    </w:rPr>
                    <w:t>表</w:t>
                  </w:r>
                  <w:r>
                    <w:rPr>
                      <w:rFonts w:hint="eastAsia"/>
                      <w:sz w:val="21"/>
                      <w:szCs w:val="21"/>
                    </w:rPr>
                    <w:t>2中工业防护涂料（</w:t>
                  </w:r>
                  <w:r>
                    <w:rPr>
                      <w:sz w:val="21"/>
                      <w:szCs w:val="21"/>
                    </w:rPr>
                    <w:t>木器</w:t>
                  </w:r>
                  <w:r>
                    <w:rPr>
                      <w:rFonts w:hint="eastAsia"/>
                      <w:sz w:val="21"/>
                      <w:szCs w:val="21"/>
                    </w:rPr>
                    <w:t>涂料）</w:t>
                  </w:r>
                  <w:r>
                    <w:rPr>
                      <w:sz w:val="21"/>
                      <w:szCs w:val="21"/>
                    </w:rPr>
                    <w:t>VOCs≤420g/L</w:t>
                  </w:r>
                  <w:r>
                    <w:rPr>
                      <w:rFonts w:hint="eastAsia"/>
                      <w:sz w:val="21"/>
                      <w:szCs w:val="21"/>
                    </w:rPr>
                    <w:t>的要求</w:t>
                  </w:r>
                </w:p>
              </w:tc>
              <w:tc>
                <w:tcPr>
                  <w:tcW w:w="644"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相符</w:t>
                  </w:r>
                </w:p>
              </w:tc>
            </w:tr>
          </w:tbl>
          <w:p>
            <w:pPr>
              <w:spacing w:line="360" w:lineRule="auto"/>
              <w:ind w:firstLine="482" w:firstLineChars="200"/>
              <w:rPr>
                <w:b/>
                <w:bCs/>
                <w:sz w:val="24"/>
                <w:szCs w:val="24"/>
              </w:rPr>
            </w:pPr>
            <w:r>
              <w:rPr>
                <w:rFonts w:hint="eastAsia"/>
                <w:b/>
                <w:bCs/>
                <w:sz w:val="24"/>
                <w:szCs w:val="24"/>
              </w:rPr>
              <w:t>2、与《2021-2022年秋冬季大气污染综合治理攻坚行动方案》的相符性分析</w:t>
            </w:r>
          </w:p>
          <w:p>
            <w:pPr>
              <w:pStyle w:val="2"/>
              <w:spacing w:line="360" w:lineRule="auto"/>
              <w:jc w:val="center"/>
              <w:rPr>
                <w:b/>
                <w:bCs/>
                <w:kern w:val="2"/>
                <w:sz w:val="24"/>
                <w:szCs w:val="24"/>
              </w:rPr>
            </w:pPr>
            <w:r>
              <w:rPr>
                <w:b/>
                <w:bCs/>
                <w:kern w:val="2"/>
                <w:sz w:val="24"/>
                <w:szCs w:val="24"/>
              </w:rPr>
              <w:t>表</w:t>
            </w:r>
            <w:r>
              <w:rPr>
                <w:rFonts w:hint="eastAsia"/>
                <w:b/>
                <w:bCs/>
                <w:kern w:val="2"/>
                <w:sz w:val="24"/>
                <w:szCs w:val="24"/>
              </w:rPr>
              <w:t>1-</w:t>
            </w:r>
            <w:r>
              <w:rPr>
                <w:rFonts w:hint="eastAsia"/>
                <w:b/>
                <w:bCs/>
                <w:kern w:val="2"/>
                <w:sz w:val="24"/>
                <w:szCs w:val="24"/>
                <w:lang w:val="en-US" w:eastAsia="zh-CN"/>
              </w:rPr>
              <w:t>2</w:t>
            </w:r>
            <w:r>
              <w:rPr>
                <w:rFonts w:hint="eastAsia"/>
                <w:b/>
                <w:bCs/>
                <w:kern w:val="2"/>
                <w:sz w:val="24"/>
                <w:szCs w:val="24"/>
              </w:rPr>
              <w:t xml:space="preserve">  </w:t>
            </w:r>
            <w:r>
              <w:rPr>
                <w:b/>
                <w:bCs/>
                <w:kern w:val="2"/>
                <w:sz w:val="24"/>
                <w:szCs w:val="24"/>
              </w:rPr>
              <w:t>与《</w:t>
            </w:r>
            <w:r>
              <w:rPr>
                <w:rFonts w:hint="eastAsia"/>
                <w:b/>
                <w:bCs/>
                <w:kern w:val="2"/>
                <w:sz w:val="24"/>
                <w:szCs w:val="24"/>
              </w:rPr>
              <w:t>2021-2022年秋冬季大气污染综合治理攻坚行动方案</w:t>
            </w:r>
            <w:r>
              <w:rPr>
                <w:b/>
                <w:bCs/>
                <w:kern w:val="2"/>
                <w:sz w:val="24"/>
                <w:szCs w:val="24"/>
              </w:rPr>
              <w:t>》相符性分析一览表</w:t>
            </w:r>
          </w:p>
          <w:tbl>
            <w:tblPr>
              <w:tblStyle w:val="23"/>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262"/>
              <w:gridCol w:w="130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b/>
                    </w:rPr>
                  </w:pPr>
                  <w:r>
                    <w:rPr>
                      <w:b/>
                      <w:bCs/>
                      <w:sz w:val="21"/>
                      <w:szCs w:val="21"/>
                    </w:rPr>
                    <w:t>序号</w:t>
                  </w:r>
                </w:p>
              </w:tc>
              <w:tc>
                <w:tcPr>
                  <w:tcW w:w="3262" w:type="dxa"/>
                  <w:vAlign w:val="center"/>
                </w:tcPr>
                <w:p>
                  <w:pPr>
                    <w:jc w:val="center"/>
                    <w:rPr>
                      <w:b/>
                    </w:rPr>
                  </w:pPr>
                  <w:r>
                    <w:rPr>
                      <w:b/>
                      <w:bCs/>
                      <w:sz w:val="21"/>
                      <w:szCs w:val="21"/>
                    </w:rPr>
                    <w:t>方案内容</w:t>
                  </w:r>
                </w:p>
              </w:tc>
              <w:tc>
                <w:tcPr>
                  <w:tcW w:w="1305" w:type="dxa"/>
                  <w:vAlign w:val="center"/>
                </w:tcPr>
                <w:p>
                  <w:pPr>
                    <w:jc w:val="center"/>
                    <w:rPr>
                      <w:b/>
                    </w:rPr>
                  </w:pPr>
                  <w:r>
                    <w:rPr>
                      <w:b/>
                      <w:bCs/>
                      <w:sz w:val="21"/>
                      <w:szCs w:val="21"/>
                    </w:rPr>
                    <w:t>本项目内容</w:t>
                  </w:r>
                </w:p>
              </w:tc>
              <w:tc>
                <w:tcPr>
                  <w:tcW w:w="882" w:type="dxa"/>
                  <w:vAlign w:val="center"/>
                </w:tcPr>
                <w:p>
                  <w:pPr>
                    <w:jc w:val="center"/>
                    <w:rPr>
                      <w:b/>
                    </w:rPr>
                  </w:pPr>
                  <w:r>
                    <w:rPr>
                      <w:b/>
                      <w:bCs/>
                      <w:sz w:val="21"/>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b/>
                    </w:rPr>
                  </w:pPr>
                  <w:r>
                    <w:rPr>
                      <w:sz w:val="21"/>
                      <w:szCs w:val="21"/>
                    </w:rPr>
                    <w:t>1</w:t>
                  </w:r>
                </w:p>
              </w:tc>
              <w:tc>
                <w:tcPr>
                  <w:tcW w:w="3262" w:type="dxa"/>
                  <w:vAlign w:val="center"/>
                </w:tcPr>
                <w:p>
                  <w:pPr>
                    <w:rPr>
                      <w:b/>
                    </w:rPr>
                  </w:pPr>
                  <w:r>
                    <w:rPr>
                      <w:sz w:val="21"/>
                      <w:szCs w:val="21"/>
                    </w:rPr>
                    <w:t>全面梳理排查拟建、在建和存量“两高”项目，对“两高”项目实行清单管理，进行分类处置、动态监控。严格落实能耗双控、产能置换、污染物区域削减、煤炭减量替代等要求，不符合要求的“两高”项目要坚决整改。认真开展自查自纠，严查违规上马、未批先建项目，严格依法查处违法违规企业。对标国内外产品能效、环保先进水平，推动在建和拟建“两高”项目能效、环保水平提升，推进存量“两高”项目改造升级。</w:t>
                  </w:r>
                </w:p>
              </w:tc>
              <w:tc>
                <w:tcPr>
                  <w:tcW w:w="1305" w:type="dxa"/>
                  <w:vAlign w:val="center"/>
                </w:tcPr>
                <w:p>
                  <w:pPr>
                    <w:jc w:val="center"/>
                    <w:rPr>
                      <w:b/>
                    </w:rPr>
                  </w:pPr>
                  <w:r>
                    <w:rPr>
                      <w:rFonts w:hint="eastAsia"/>
                      <w:sz w:val="21"/>
                      <w:szCs w:val="21"/>
                    </w:rPr>
                    <w:t>本项目不属于“两高”行业</w:t>
                  </w:r>
                </w:p>
              </w:tc>
              <w:tc>
                <w:tcPr>
                  <w:tcW w:w="882" w:type="dxa"/>
                  <w:vAlign w:val="center"/>
                </w:tcPr>
                <w:p>
                  <w:pPr>
                    <w:jc w:val="center"/>
                    <w:rPr>
                      <w:b/>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jc w:val="center"/>
                    <w:rPr>
                      <w:sz w:val="21"/>
                      <w:szCs w:val="21"/>
                    </w:rPr>
                  </w:pPr>
                  <w:r>
                    <w:rPr>
                      <w:rFonts w:hint="eastAsia"/>
                      <w:sz w:val="21"/>
                      <w:szCs w:val="21"/>
                    </w:rPr>
                    <w:t>2</w:t>
                  </w:r>
                </w:p>
              </w:tc>
              <w:tc>
                <w:tcPr>
                  <w:tcW w:w="3262" w:type="dxa"/>
                  <w:vAlign w:val="center"/>
                </w:tcPr>
                <w:p>
                  <w:pPr>
                    <w:jc w:val="center"/>
                    <w:rPr>
                      <w:sz w:val="21"/>
                      <w:szCs w:val="21"/>
                    </w:rPr>
                  </w:pPr>
                  <w:r>
                    <w:rPr>
                      <w:rFonts w:hint="eastAsia"/>
                      <w:sz w:val="21"/>
                      <w:szCs w:val="21"/>
                      <w:shd w:val="clear" w:color="auto" w:fill="FFFFFF"/>
                    </w:rPr>
                    <w:t>严格落实《关于加快解决当前挥发性有机物治理突出问题的通知》有关要求，高质量完成排查治理工作。2021年10月底前，以石化、化工、工业涂装、包装印刷以及油品储运销为重点，结合本地特色产业，组织企业针对挥发性有机物液体储罐、装卸、敞开液面、泄漏检测与修复、废气收集、废气旁路、治理设施、加油站、非正常工况、产品VOC含量等10个关键环节完成一轮排查工作。在企业自查基础上，各地生态环境部门开展一轮检查抽测，对排污许可重点管理企业全覆盖。2021年12月底前，各地对检查抽测以及夏季臭氧污染防治监督帮扶工作中发现存在的突出问题，指导企业制定整改方案加快按照治理要求进行整治，提高VOCs治理工作的针对性和有效性，做到“夏病冬治”。加强国家和地方涂料、油墨、胶粘剂、清洗剂等产品VOCs含量限值标准执行情况的监督检查。培育梳理一批VOCs治理的标杆企业，加大宣传力度，形成带动效应。</w:t>
                  </w:r>
                </w:p>
              </w:tc>
              <w:tc>
                <w:tcPr>
                  <w:tcW w:w="1305" w:type="dxa"/>
                  <w:vAlign w:val="center"/>
                </w:tcPr>
                <w:p>
                  <w:pPr>
                    <w:jc w:val="center"/>
                    <w:rPr>
                      <w:sz w:val="21"/>
                      <w:szCs w:val="21"/>
                    </w:rPr>
                  </w:pPr>
                  <w:r>
                    <w:rPr>
                      <w:sz w:val="21"/>
                      <w:szCs w:val="21"/>
                    </w:rPr>
                    <w:t>本项目</w:t>
                  </w:r>
                  <w:r>
                    <w:rPr>
                      <w:rFonts w:hint="eastAsia"/>
                      <w:sz w:val="21"/>
                      <w:szCs w:val="21"/>
                    </w:rPr>
                    <w:t>使用的油漆</w:t>
                  </w:r>
                  <w:r>
                    <w:rPr>
                      <w:sz w:val="21"/>
                      <w:szCs w:val="21"/>
                    </w:rPr>
                    <w:t>VOCs含量</w:t>
                  </w:r>
                  <w:r>
                    <w:rPr>
                      <w:rFonts w:hint="eastAsia"/>
                      <w:sz w:val="21"/>
                      <w:szCs w:val="21"/>
                    </w:rPr>
                    <w:t>满足《低挥发性有机化合物含量涂料产品技术要求》（G</w:t>
                  </w:r>
                  <w:r>
                    <w:rPr>
                      <w:sz w:val="21"/>
                      <w:szCs w:val="21"/>
                    </w:rPr>
                    <w:t>B/T 38597-2020</w:t>
                  </w:r>
                  <w:r>
                    <w:rPr>
                      <w:rFonts w:hint="eastAsia"/>
                      <w:sz w:val="21"/>
                      <w:szCs w:val="21"/>
                    </w:rPr>
                    <w:t>）</w:t>
                  </w:r>
                  <w:r>
                    <w:rPr>
                      <w:sz w:val="21"/>
                      <w:szCs w:val="21"/>
                    </w:rPr>
                    <w:t>表</w:t>
                  </w:r>
                  <w:r>
                    <w:rPr>
                      <w:rFonts w:hint="eastAsia"/>
                      <w:sz w:val="21"/>
                      <w:szCs w:val="21"/>
                    </w:rPr>
                    <w:t>2中工业防护涂料（</w:t>
                  </w:r>
                  <w:r>
                    <w:rPr>
                      <w:sz w:val="21"/>
                      <w:szCs w:val="21"/>
                    </w:rPr>
                    <w:t>木器</w:t>
                  </w:r>
                  <w:r>
                    <w:rPr>
                      <w:rFonts w:hint="eastAsia"/>
                      <w:sz w:val="21"/>
                      <w:szCs w:val="21"/>
                    </w:rPr>
                    <w:t>涂料）</w:t>
                  </w:r>
                  <w:r>
                    <w:rPr>
                      <w:sz w:val="21"/>
                      <w:szCs w:val="21"/>
                    </w:rPr>
                    <w:t>VOCs≤420g/L</w:t>
                  </w:r>
                  <w:r>
                    <w:rPr>
                      <w:rFonts w:hint="eastAsia"/>
                      <w:sz w:val="21"/>
                      <w:szCs w:val="21"/>
                    </w:rPr>
                    <w:t>的要求</w:t>
                  </w:r>
                  <w:r>
                    <w:rPr>
                      <w:sz w:val="21"/>
                      <w:szCs w:val="21"/>
                    </w:rPr>
                    <w:t>，</w:t>
                  </w:r>
                  <w:r>
                    <w:rPr>
                      <w:rFonts w:hint="eastAsia"/>
                      <w:sz w:val="21"/>
                      <w:szCs w:val="21"/>
                      <w:lang w:bidi="ar"/>
                    </w:rPr>
                    <w:t>项目废气采取</w:t>
                  </w:r>
                  <w:r>
                    <w:rPr>
                      <w:szCs w:val="21"/>
                    </w:rPr>
                    <w:t>集气罩+</w:t>
                  </w:r>
                  <w:r>
                    <w:rPr>
                      <w:rFonts w:hint="eastAsia"/>
                      <w:szCs w:val="21"/>
                    </w:rPr>
                    <w:t>过滤棉</w:t>
                  </w:r>
                  <w:r>
                    <w:rPr>
                      <w:rFonts w:eastAsia="Times New Roman"/>
                      <w:szCs w:val="21"/>
                    </w:rPr>
                    <w:t>+</w:t>
                  </w:r>
                  <w:r>
                    <w:rPr>
                      <w:rFonts w:hint="eastAsia"/>
                      <w:szCs w:val="21"/>
                    </w:rPr>
                    <w:t>二</w:t>
                  </w:r>
                  <w:r>
                    <w:rPr>
                      <w:szCs w:val="21"/>
                    </w:rPr>
                    <w:t>活性炭吸附</w:t>
                  </w:r>
                  <w:r>
                    <w:rPr>
                      <w:rFonts w:hint="eastAsia"/>
                      <w:sz w:val="21"/>
                      <w:szCs w:val="21"/>
                    </w:rPr>
                    <w:t>装置处理</w:t>
                  </w:r>
                  <w:r>
                    <w:rPr>
                      <w:rFonts w:hint="eastAsia"/>
                      <w:sz w:val="21"/>
                      <w:szCs w:val="21"/>
                      <w:lang w:bidi="ar"/>
                    </w:rPr>
                    <w:t>，其中挥发性有机物的处理效率为9</w:t>
                  </w:r>
                  <w:r>
                    <w:rPr>
                      <w:rFonts w:hint="eastAsia"/>
                      <w:sz w:val="21"/>
                      <w:szCs w:val="21"/>
                      <w:lang w:val="en-US" w:eastAsia="zh-CN" w:bidi="ar"/>
                    </w:rPr>
                    <w:t>0</w:t>
                  </w:r>
                  <w:r>
                    <w:rPr>
                      <w:rFonts w:hint="eastAsia"/>
                      <w:sz w:val="21"/>
                      <w:szCs w:val="21"/>
                      <w:lang w:bidi="ar"/>
                    </w:rPr>
                    <w:t>%以上</w:t>
                  </w:r>
                </w:p>
              </w:tc>
              <w:tc>
                <w:tcPr>
                  <w:tcW w:w="882" w:type="dxa"/>
                  <w:vAlign w:val="center"/>
                </w:tcPr>
                <w:p>
                  <w:pPr>
                    <w:jc w:val="center"/>
                    <w:rPr>
                      <w:sz w:val="21"/>
                      <w:szCs w:val="21"/>
                    </w:rPr>
                  </w:pPr>
                  <w:r>
                    <w:rPr>
                      <w:rFonts w:hint="eastAsia"/>
                      <w:sz w:val="21"/>
                      <w:szCs w:val="21"/>
                    </w:rPr>
                    <w:t>相符</w:t>
                  </w:r>
                </w:p>
              </w:tc>
            </w:tr>
          </w:tbl>
          <w:p>
            <w:pPr>
              <w:spacing w:line="360" w:lineRule="auto"/>
              <w:ind w:firstLine="482" w:firstLineChars="200"/>
              <w:rPr>
                <w:b/>
                <w:bCs/>
                <w:sz w:val="24"/>
                <w:szCs w:val="24"/>
              </w:rPr>
            </w:pPr>
            <w:r>
              <w:rPr>
                <w:rFonts w:hint="eastAsia"/>
                <w:b/>
                <w:bCs/>
                <w:sz w:val="24"/>
                <w:szCs w:val="24"/>
              </w:rPr>
              <w:t>3、</w:t>
            </w:r>
            <w:r>
              <w:rPr>
                <w:b/>
                <w:bCs/>
                <w:sz w:val="24"/>
                <w:szCs w:val="24"/>
              </w:rPr>
              <w:t>与《</w:t>
            </w:r>
            <w:r>
              <w:rPr>
                <w:rFonts w:ascii="宋体" w:hAnsi="宋体" w:cs="宋体"/>
                <w:b/>
                <w:bCs/>
                <w:sz w:val="24"/>
                <w:szCs w:val="24"/>
              </w:rPr>
              <w:t>挥发性有机物</w:t>
            </w:r>
            <w:r>
              <w:rPr>
                <w:b/>
                <w:bCs/>
                <w:sz w:val="24"/>
                <w:szCs w:val="24"/>
              </w:rPr>
              <w:t>(VOCs)污染防治技术政策》符合性分析</w:t>
            </w:r>
          </w:p>
          <w:p>
            <w:pPr>
              <w:jc w:val="center"/>
              <w:rPr>
                <w:b/>
                <w:bCs/>
                <w:sz w:val="24"/>
                <w:szCs w:val="24"/>
              </w:rPr>
            </w:pPr>
            <w:r>
              <w:rPr>
                <w:b/>
                <w:bCs/>
                <w:sz w:val="24"/>
                <w:szCs w:val="24"/>
              </w:rPr>
              <w:t>表1</w:t>
            </w:r>
            <w:r>
              <w:rPr>
                <w:rFonts w:hint="eastAsia"/>
                <w:b/>
                <w:bCs/>
                <w:sz w:val="24"/>
                <w:szCs w:val="24"/>
              </w:rPr>
              <w:t>-</w:t>
            </w:r>
            <w:r>
              <w:rPr>
                <w:rFonts w:hint="eastAsia"/>
                <w:b/>
                <w:bCs/>
                <w:sz w:val="24"/>
                <w:szCs w:val="24"/>
                <w:lang w:val="en-US" w:eastAsia="zh-CN"/>
              </w:rPr>
              <w:t>3</w:t>
            </w:r>
            <w:r>
              <w:rPr>
                <w:b/>
                <w:bCs/>
                <w:sz w:val="24"/>
                <w:szCs w:val="24"/>
              </w:rPr>
              <w:t xml:space="preserve">  《</w:t>
            </w:r>
            <w:r>
              <w:rPr>
                <w:rFonts w:ascii="宋体" w:hAnsi="宋体" w:cs="宋体"/>
                <w:b/>
                <w:bCs/>
                <w:sz w:val="24"/>
                <w:szCs w:val="24"/>
              </w:rPr>
              <w:t>挥发性有机物</w:t>
            </w:r>
            <w:r>
              <w:rPr>
                <w:b/>
                <w:bCs/>
                <w:sz w:val="24"/>
                <w:szCs w:val="24"/>
              </w:rPr>
              <w:t>(VOCs)污染防治技术政策》符合性分析</w:t>
            </w:r>
          </w:p>
          <w:tbl>
            <w:tblPr>
              <w:tblStyle w:val="23"/>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435"/>
              <w:gridCol w:w="131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63" w:type="dxa"/>
                  <w:vAlign w:val="center"/>
                </w:tcPr>
                <w:p>
                  <w:pPr>
                    <w:jc w:val="center"/>
                    <w:rPr>
                      <w:b/>
                      <w:bCs/>
                      <w:sz w:val="21"/>
                      <w:szCs w:val="21"/>
                    </w:rPr>
                  </w:pPr>
                  <w:r>
                    <w:rPr>
                      <w:b/>
                      <w:bCs/>
                      <w:sz w:val="21"/>
                      <w:szCs w:val="21"/>
                    </w:rPr>
                    <w:t>序号</w:t>
                  </w:r>
                </w:p>
              </w:tc>
              <w:tc>
                <w:tcPr>
                  <w:tcW w:w="3435" w:type="dxa"/>
                  <w:vAlign w:val="center"/>
                </w:tcPr>
                <w:p>
                  <w:pPr>
                    <w:jc w:val="center"/>
                    <w:rPr>
                      <w:b/>
                      <w:bCs/>
                      <w:sz w:val="21"/>
                      <w:szCs w:val="21"/>
                    </w:rPr>
                  </w:pPr>
                  <w:r>
                    <w:rPr>
                      <w:b/>
                      <w:bCs/>
                      <w:sz w:val="21"/>
                      <w:szCs w:val="21"/>
                    </w:rPr>
                    <w:t>方案内容</w:t>
                  </w:r>
                </w:p>
              </w:tc>
              <w:tc>
                <w:tcPr>
                  <w:tcW w:w="1312" w:type="dxa"/>
                  <w:vAlign w:val="center"/>
                </w:tcPr>
                <w:p>
                  <w:pPr>
                    <w:jc w:val="center"/>
                    <w:rPr>
                      <w:b/>
                      <w:bCs/>
                      <w:sz w:val="21"/>
                      <w:szCs w:val="21"/>
                    </w:rPr>
                  </w:pPr>
                  <w:r>
                    <w:rPr>
                      <w:b/>
                      <w:bCs/>
                      <w:sz w:val="21"/>
                      <w:szCs w:val="21"/>
                    </w:rPr>
                    <w:t>本项目内容</w:t>
                  </w:r>
                </w:p>
              </w:tc>
              <w:tc>
                <w:tcPr>
                  <w:tcW w:w="762" w:type="dxa"/>
                  <w:vAlign w:val="center"/>
                </w:tcPr>
                <w:p>
                  <w:pPr>
                    <w:jc w:val="center"/>
                    <w:rPr>
                      <w:b/>
                      <w:bCs/>
                      <w:sz w:val="21"/>
                      <w:szCs w:val="21"/>
                    </w:rPr>
                  </w:pPr>
                  <w:r>
                    <w:rPr>
                      <w:b/>
                      <w:bCs/>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3" w:type="dxa"/>
                  <w:vAlign w:val="center"/>
                </w:tcPr>
                <w:p>
                  <w:pPr>
                    <w:jc w:val="center"/>
                    <w:rPr>
                      <w:b/>
                      <w:bCs/>
                      <w:sz w:val="21"/>
                      <w:szCs w:val="21"/>
                    </w:rPr>
                  </w:pPr>
                  <w:r>
                    <w:rPr>
                      <w:sz w:val="21"/>
                      <w:szCs w:val="21"/>
                    </w:rPr>
                    <w:t>1</w:t>
                  </w:r>
                </w:p>
              </w:tc>
              <w:tc>
                <w:tcPr>
                  <w:tcW w:w="3435" w:type="dxa"/>
                  <w:vAlign w:val="center"/>
                </w:tcPr>
                <w:p>
                  <w:pPr>
                    <w:jc w:val="center"/>
                    <w:rPr>
                      <w:sz w:val="21"/>
                      <w:szCs w:val="21"/>
                    </w:rPr>
                  </w:pPr>
                  <w:r>
                    <w:rPr>
                      <w:sz w:val="21"/>
                      <w:szCs w:val="21"/>
                    </w:rPr>
                    <w:t>在涂装、印刷、粘合、工业清洗等含VOCs产品的使用过程中的VOCs污染防治技术措施包括：鼓励使用通过环境标志产品认证的环保型涂料、油墨、胶粘剂和清洗剂；根据涂装工艺的不同，鼓励使用水性涂料、高固份涂料、粉末涂料、紫外光固化（UV）涂料等环保型涂料；推广采用静电喷涂、淋涂、辊涂、浸涂等效率较高的涂装工艺；应尽量避免无VOCs净化、回收措施的露天喷涂作业；在印刷工艺中推广使用水性油墨，印铁制罐行业鼓励使用紫外光固化（UV）油墨，书刊印刷行业鼓励使用预涂膜技术;鼓励在人造板、制鞋、皮革制品、包装材料等粘合过程中使用水基型、热熔型等环保型胶粘剂，在复合膜的生产中推广无溶剂复合及共挤出复合技术；淘汰以三氟三氯乙烷、甲基氯仿和四氯化碳为清洗剂或溶剂的生产工艺。清洗过程中产生的废溶剂宜密闭收集，有回收价值的废溶剂经处理后回用，其他废溶剂应妥善处置；含VOCs产品的使用过程中，应采取废气收集措施，提高废气收集效率，减少废气的无组织排放与逸散，并对收集后的废气进行回收或处理后达标排放。</w:t>
                  </w:r>
                </w:p>
              </w:tc>
              <w:tc>
                <w:tcPr>
                  <w:tcW w:w="1312" w:type="dxa"/>
                  <w:vAlign w:val="center"/>
                </w:tcPr>
                <w:p>
                  <w:pPr>
                    <w:jc w:val="center"/>
                    <w:rPr>
                      <w:sz w:val="21"/>
                      <w:szCs w:val="21"/>
                    </w:rPr>
                  </w:pPr>
                  <w:r>
                    <w:rPr>
                      <w:sz w:val="21"/>
                      <w:szCs w:val="21"/>
                    </w:rPr>
                    <w:t>本项目</w:t>
                  </w:r>
                  <w:r>
                    <w:rPr>
                      <w:rFonts w:hint="eastAsia"/>
                      <w:sz w:val="21"/>
                      <w:szCs w:val="21"/>
                    </w:rPr>
                    <w:t>使用的油漆</w:t>
                  </w:r>
                  <w:r>
                    <w:rPr>
                      <w:sz w:val="21"/>
                      <w:szCs w:val="21"/>
                    </w:rPr>
                    <w:t>VOCs含量</w:t>
                  </w:r>
                  <w:r>
                    <w:rPr>
                      <w:rFonts w:hint="eastAsia"/>
                      <w:sz w:val="21"/>
                      <w:szCs w:val="21"/>
                    </w:rPr>
                    <w:t>满足《低挥发性有机化合物含量涂料产品技术要求》（G</w:t>
                  </w:r>
                  <w:r>
                    <w:rPr>
                      <w:sz w:val="21"/>
                      <w:szCs w:val="21"/>
                    </w:rPr>
                    <w:t>B/T 38597-2020</w:t>
                  </w:r>
                  <w:r>
                    <w:rPr>
                      <w:rFonts w:hint="eastAsia"/>
                      <w:sz w:val="21"/>
                      <w:szCs w:val="21"/>
                    </w:rPr>
                    <w:t>）</w:t>
                  </w:r>
                  <w:r>
                    <w:rPr>
                      <w:sz w:val="21"/>
                      <w:szCs w:val="21"/>
                    </w:rPr>
                    <w:t>表</w:t>
                  </w:r>
                  <w:r>
                    <w:rPr>
                      <w:rFonts w:hint="eastAsia"/>
                      <w:sz w:val="21"/>
                      <w:szCs w:val="21"/>
                    </w:rPr>
                    <w:t>2中工业防护涂料（</w:t>
                  </w:r>
                  <w:r>
                    <w:rPr>
                      <w:sz w:val="21"/>
                      <w:szCs w:val="21"/>
                    </w:rPr>
                    <w:t>木器</w:t>
                  </w:r>
                  <w:r>
                    <w:rPr>
                      <w:rFonts w:hint="eastAsia"/>
                      <w:sz w:val="21"/>
                      <w:szCs w:val="21"/>
                    </w:rPr>
                    <w:t>涂料）</w:t>
                  </w:r>
                  <w:r>
                    <w:rPr>
                      <w:sz w:val="21"/>
                      <w:szCs w:val="21"/>
                    </w:rPr>
                    <w:t>VOCs≤420g/L</w:t>
                  </w:r>
                  <w:r>
                    <w:rPr>
                      <w:rFonts w:hint="eastAsia"/>
                      <w:sz w:val="21"/>
                      <w:szCs w:val="21"/>
                    </w:rPr>
                    <w:t>的要求</w:t>
                  </w:r>
                  <w:r>
                    <w:rPr>
                      <w:sz w:val="21"/>
                      <w:szCs w:val="21"/>
                    </w:rPr>
                    <w:t>，</w:t>
                  </w:r>
                  <w:r>
                    <w:rPr>
                      <w:rFonts w:hint="eastAsia"/>
                      <w:sz w:val="21"/>
                      <w:szCs w:val="21"/>
                      <w:lang w:bidi="ar"/>
                    </w:rPr>
                    <w:t>项目废气采取</w:t>
                  </w:r>
                  <w:r>
                    <w:rPr>
                      <w:szCs w:val="21"/>
                    </w:rPr>
                    <w:t>集气罩+</w:t>
                  </w:r>
                  <w:r>
                    <w:rPr>
                      <w:rFonts w:hint="eastAsia"/>
                      <w:szCs w:val="21"/>
                    </w:rPr>
                    <w:t>过滤棉</w:t>
                  </w:r>
                  <w:r>
                    <w:rPr>
                      <w:rFonts w:eastAsia="Times New Roman"/>
                      <w:szCs w:val="21"/>
                    </w:rPr>
                    <w:t>+</w:t>
                  </w:r>
                  <w:r>
                    <w:rPr>
                      <w:rFonts w:hint="eastAsia"/>
                      <w:szCs w:val="21"/>
                    </w:rPr>
                    <w:t>二</w:t>
                  </w:r>
                  <w:r>
                    <w:rPr>
                      <w:szCs w:val="21"/>
                    </w:rPr>
                    <w:t>活性炭吸附</w:t>
                  </w:r>
                  <w:r>
                    <w:rPr>
                      <w:rFonts w:hint="eastAsia"/>
                      <w:sz w:val="21"/>
                      <w:szCs w:val="21"/>
                    </w:rPr>
                    <w:t>装置处理</w:t>
                  </w:r>
                  <w:r>
                    <w:rPr>
                      <w:rFonts w:hint="eastAsia"/>
                      <w:sz w:val="21"/>
                      <w:szCs w:val="21"/>
                      <w:lang w:bidi="ar"/>
                    </w:rPr>
                    <w:t>，其中挥发性有机物的处理效率为9</w:t>
                  </w:r>
                  <w:r>
                    <w:rPr>
                      <w:rFonts w:hint="eastAsia"/>
                      <w:sz w:val="21"/>
                      <w:szCs w:val="21"/>
                      <w:lang w:val="en-US" w:eastAsia="zh-CN" w:bidi="ar"/>
                    </w:rPr>
                    <w:t>0</w:t>
                  </w:r>
                  <w:r>
                    <w:rPr>
                      <w:rFonts w:hint="eastAsia"/>
                      <w:sz w:val="21"/>
                      <w:szCs w:val="21"/>
                      <w:lang w:bidi="ar"/>
                    </w:rPr>
                    <w:t>%以上</w:t>
                  </w:r>
                </w:p>
              </w:tc>
              <w:tc>
                <w:tcPr>
                  <w:tcW w:w="762" w:type="dxa"/>
                  <w:vAlign w:val="center"/>
                </w:tcPr>
                <w:p>
                  <w:pPr>
                    <w:jc w:val="center"/>
                    <w:rPr>
                      <w:b/>
                      <w:bCs/>
                      <w:sz w:val="21"/>
                      <w:szCs w:val="21"/>
                    </w:rPr>
                  </w:pPr>
                  <w:r>
                    <w:rPr>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3" w:type="dxa"/>
                  <w:vAlign w:val="center"/>
                </w:tcPr>
                <w:p>
                  <w:pPr>
                    <w:jc w:val="center"/>
                    <w:rPr>
                      <w:sz w:val="21"/>
                      <w:szCs w:val="21"/>
                    </w:rPr>
                  </w:pPr>
                  <w:r>
                    <w:rPr>
                      <w:rFonts w:hint="eastAsia"/>
                      <w:sz w:val="21"/>
                      <w:szCs w:val="21"/>
                    </w:rPr>
                    <w:t>2</w:t>
                  </w:r>
                </w:p>
              </w:tc>
              <w:tc>
                <w:tcPr>
                  <w:tcW w:w="3435" w:type="dxa"/>
                  <w:vAlign w:val="center"/>
                </w:tcPr>
                <w:p>
                  <w:pPr>
                    <w:jc w:val="center"/>
                    <w:rPr>
                      <w:sz w:val="21"/>
                      <w:szCs w:val="21"/>
                    </w:rPr>
                  </w:pPr>
                  <w:r>
                    <w:rPr>
                      <w:sz w:val="21"/>
                      <w:szCs w:val="21"/>
                    </w:rPr>
                    <w:t>在工业生产过程中鼓励VOCs的回收利用，并优先鼓励在生产系统内回用。对于含高浓度VOCs的废气，宜优先采用冷凝回收、吸附回收技术进行回收利用，并辅助以其他治理技术实现达标排放。对于含中等浓度VOCs的废气，可采用吸附技术回收有机溶剂，或采用催化燃烧和热力焚烧技术净化后达标排放。当采用催化燃烧和热力焚烧技术进行净化时，应进行余热回收利用。对于含低浓度VOCs的废气，有回收价值时可采用吸附技术、吸收技术对有机溶剂回收后达标排放；不宜回收时，可采用吸附浓缩燃烧技术、生物技术、吸收技术、等离子体技术或紫外光高级氧化技术等净化后达标排放。</w:t>
                  </w:r>
                </w:p>
              </w:tc>
              <w:tc>
                <w:tcPr>
                  <w:tcW w:w="1312" w:type="dxa"/>
                  <w:vAlign w:val="center"/>
                </w:tcPr>
                <w:p>
                  <w:pPr>
                    <w:jc w:val="center"/>
                    <w:rPr>
                      <w:sz w:val="21"/>
                      <w:szCs w:val="21"/>
                    </w:rPr>
                  </w:pPr>
                  <w:r>
                    <w:rPr>
                      <w:rFonts w:hint="eastAsia"/>
                      <w:sz w:val="21"/>
                      <w:szCs w:val="21"/>
                    </w:rPr>
                    <w:t>本</w:t>
                  </w:r>
                  <w:r>
                    <w:rPr>
                      <w:sz w:val="21"/>
                      <w:szCs w:val="21"/>
                    </w:rPr>
                    <w:t>项目产生的VOCs无回收价值，经活性炭吸附装置处理后达标排放</w:t>
                  </w:r>
                </w:p>
              </w:tc>
              <w:tc>
                <w:tcPr>
                  <w:tcW w:w="762" w:type="dxa"/>
                  <w:vAlign w:val="center"/>
                </w:tcPr>
                <w:p>
                  <w:pPr>
                    <w:jc w:val="center"/>
                    <w:rPr>
                      <w:sz w:val="21"/>
                      <w:szCs w:val="21"/>
                    </w:rPr>
                  </w:pPr>
                </w:p>
              </w:tc>
            </w:tr>
          </w:tbl>
          <w:p>
            <w:pPr>
              <w:ind w:firstLine="482" w:firstLineChars="200"/>
              <w:rPr>
                <w:b/>
                <w:bCs/>
                <w:sz w:val="24"/>
                <w:szCs w:val="24"/>
              </w:rPr>
            </w:pPr>
            <w:r>
              <w:rPr>
                <w:rFonts w:hint="eastAsia"/>
                <w:b/>
                <w:bCs/>
                <w:sz w:val="24"/>
                <w:szCs w:val="24"/>
              </w:rPr>
              <w:t>4、与《重点行业挥发性有机物综合治理方案》的相符性分析</w:t>
            </w:r>
          </w:p>
          <w:p>
            <w:pPr>
              <w:pStyle w:val="2"/>
              <w:jc w:val="center"/>
              <w:rPr>
                <w:b/>
                <w:bCs/>
                <w:kern w:val="2"/>
                <w:sz w:val="24"/>
                <w:szCs w:val="24"/>
              </w:rPr>
            </w:pPr>
            <w:r>
              <w:rPr>
                <w:rFonts w:hint="eastAsia"/>
                <w:b/>
                <w:bCs/>
                <w:kern w:val="2"/>
                <w:sz w:val="24"/>
                <w:szCs w:val="24"/>
              </w:rPr>
              <w:t>表1-</w:t>
            </w:r>
            <w:r>
              <w:rPr>
                <w:rFonts w:hint="eastAsia"/>
                <w:b/>
                <w:bCs/>
                <w:kern w:val="2"/>
                <w:sz w:val="24"/>
                <w:szCs w:val="24"/>
                <w:lang w:val="en-US" w:eastAsia="zh-CN"/>
              </w:rPr>
              <w:t>4</w:t>
            </w:r>
            <w:r>
              <w:rPr>
                <w:rFonts w:hint="eastAsia"/>
                <w:b/>
                <w:bCs/>
                <w:kern w:val="2"/>
                <w:sz w:val="24"/>
                <w:szCs w:val="24"/>
              </w:rPr>
              <w:t xml:space="preserve">  与《重点行业挥发性有机物综合治理方案》相符性分析一览表</w:t>
            </w:r>
          </w:p>
          <w:tbl>
            <w:tblPr>
              <w:tblStyle w:val="23"/>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730"/>
              <w:gridCol w:w="1935"/>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vAlign w:val="center"/>
                </w:tcPr>
                <w:p>
                  <w:pPr>
                    <w:jc w:val="center"/>
                    <w:rPr>
                      <w:b/>
                      <w:bCs/>
                    </w:rPr>
                  </w:pPr>
                  <w:r>
                    <w:rPr>
                      <w:b/>
                      <w:bCs/>
                      <w:sz w:val="21"/>
                      <w:szCs w:val="21"/>
                    </w:rPr>
                    <w:t>序号</w:t>
                  </w:r>
                </w:p>
              </w:tc>
              <w:tc>
                <w:tcPr>
                  <w:tcW w:w="2730" w:type="dxa"/>
                  <w:vAlign w:val="center"/>
                </w:tcPr>
                <w:p>
                  <w:pPr>
                    <w:jc w:val="center"/>
                    <w:rPr>
                      <w:b/>
                      <w:bCs/>
                    </w:rPr>
                  </w:pPr>
                  <w:r>
                    <w:rPr>
                      <w:rFonts w:hint="eastAsia"/>
                      <w:b/>
                      <w:bCs/>
                      <w:sz w:val="21"/>
                      <w:szCs w:val="21"/>
                    </w:rPr>
                    <w:t>重点行业挥发性有机物综合治理方案</w:t>
                  </w:r>
                </w:p>
              </w:tc>
              <w:tc>
                <w:tcPr>
                  <w:tcW w:w="1935" w:type="dxa"/>
                  <w:vAlign w:val="center"/>
                </w:tcPr>
                <w:p>
                  <w:pPr>
                    <w:jc w:val="center"/>
                    <w:rPr>
                      <w:b/>
                      <w:bCs/>
                    </w:rPr>
                  </w:pPr>
                  <w:r>
                    <w:rPr>
                      <w:b/>
                      <w:bCs/>
                      <w:sz w:val="21"/>
                      <w:szCs w:val="21"/>
                    </w:rPr>
                    <w:t>项目情况</w:t>
                  </w:r>
                </w:p>
              </w:tc>
              <w:tc>
                <w:tcPr>
                  <w:tcW w:w="938" w:type="dxa"/>
                  <w:vAlign w:val="center"/>
                </w:tcPr>
                <w:p>
                  <w:pPr>
                    <w:jc w:val="center"/>
                    <w:rPr>
                      <w:b/>
                      <w:bCs/>
                    </w:rPr>
                  </w:pPr>
                  <w:r>
                    <w:rPr>
                      <w:b/>
                      <w:bCs/>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vAlign w:val="center"/>
                </w:tcPr>
                <w:p>
                  <w:pPr>
                    <w:jc w:val="center"/>
                    <w:rPr>
                      <w:b/>
                      <w:bCs/>
                    </w:rPr>
                  </w:pPr>
                  <w:r>
                    <w:rPr>
                      <w:rFonts w:hint="eastAsia"/>
                      <w:sz w:val="21"/>
                      <w:szCs w:val="21"/>
                    </w:rPr>
                    <w:t>1</w:t>
                  </w:r>
                </w:p>
              </w:tc>
              <w:tc>
                <w:tcPr>
                  <w:tcW w:w="2730" w:type="dxa"/>
                  <w:vAlign w:val="center"/>
                </w:tcPr>
                <w:p>
                  <w:pPr>
                    <w:jc w:val="center"/>
                    <w:rPr>
                      <w:b/>
                      <w:bCs/>
                    </w:rPr>
                  </w:pPr>
                  <w:r>
                    <w:rPr>
                      <w:sz w:val="21"/>
                      <w:szCs w:val="21"/>
                      <w:shd w:val="clear" w:color="auto" w:fill="FFFFFF"/>
                    </w:rPr>
                    <w:t>通过使用水性、辐射固化、植物基等低VOCs含量的油墨，水基、热熔、无溶剂、辐射固化、改性、生物降解等低VOCs含量的胶粘剂等，替代溶剂型油墨、胶粘剂等，从源头减少VOCs产生。包装印刷等行业要加大源头替代力度；在技术成熟的行业，推广使用低VOCs含量油墨和胶粘剂，重点区域到2020年年底前基本完成。鼓励加快低VOCs含量油墨、胶粘剂等研发和生产。</w:t>
                  </w:r>
                </w:p>
              </w:tc>
              <w:tc>
                <w:tcPr>
                  <w:tcW w:w="1935" w:type="dxa"/>
                  <w:vAlign w:val="center"/>
                </w:tcPr>
                <w:p>
                  <w:pPr>
                    <w:jc w:val="center"/>
                    <w:rPr>
                      <w:b/>
                      <w:bCs/>
                    </w:rPr>
                  </w:pPr>
                  <w:r>
                    <w:rPr>
                      <w:sz w:val="21"/>
                      <w:szCs w:val="21"/>
                    </w:rPr>
                    <w:t>本项目</w:t>
                  </w:r>
                  <w:r>
                    <w:rPr>
                      <w:rFonts w:hint="eastAsia"/>
                      <w:sz w:val="21"/>
                      <w:szCs w:val="21"/>
                    </w:rPr>
                    <w:t>使用的油漆</w:t>
                  </w:r>
                  <w:r>
                    <w:rPr>
                      <w:sz w:val="21"/>
                      <w:szCs w:val="21"/>
                    </w:rPr>
                    <w:t>VOCs含量</w:t>
                  </w:r>
                  <w:r>
                    <w:rPr>
                      <w:rFonts w:hint="eastAsia"/>
                      <w:sz w:val="21"/>
                      <w:szCs w:val="21"/>
                    </w:rPr>
                    <w:t>满足《低挥发性有机化合物含量涂料产品技术要求》（G</w:t>
                  </w:r>
                  <w:r>
                    <w:rPr>
                      <w:sz w:val="21"/>
                      <w:szCs w:val="21"/>
                    </w:rPr>
                    <w:t>B/T 38597-2020</w:t>
                  </w:r>
                  <w:r>
                    <w:rPr>
                      <w:rFonts w:hint="eastAsia"/>
                      <w:sz w:val="21"/>
                      <w:szCs w:val="21"/>
                    </w:rPr>
                    <w:t>）</w:t>
                  </w:r>
                  <w:r>
                    <w:rPr>
                      <w:sz w:val="21"/>
                      <w:szCs w:val="21"/>
                    </w:rPr>
                    <w:t>表</w:t>
                  </w:r>
                  <w:r>
                    <w:rPr>
                      <w:rFonts w:hint="eastAsia"/>
                      <w:sz w:val="21"/>
                      <w:szCs w:val="21"/>
                    </w:rPr>
                    <w:t>2中工业防护涂料（</w:t>
                  </w:r>
                  <w:r>
                    <w:rPr>
                      <w:sz w:val="21"/>
                      <w:szCs w:val="21"/>
                    </w:rPr>
                    <w:t>木器</w:t>
                  </w:r>
                  <w:r>
                    <w:rPr>
                      <w:rFonts w:hint="eastAsia"/>
                      <w:sz w:val="21"/>
                      <w:szCs w:val="21"/>
                    </w:rPr>
                    <w:t>涂料）</w:t>
                  </w:r>
                  <w:r>
                    <w:rPr>
                      <w:sz w:val="21"/>
                      <w:szCs w:val="21"/>
                    </w:rPr>
                    <w:t>VOCs≤420g/L</w:t>
                  </w:r>
                  <w:r>
                    <w:rPr>
                      <w:rFonts w:hint="eastAsia"/>
                      <w:sz w:val="21"/>
                      <w:szCs w:val="21"/>
                    </w:rPr>
                    <w:t>的要求</w:t>
                  </w:r>
                  <w:r>
                    <w:rPr>
                      <w:sz w:val="21"/>
                      <w:szCs w:val="21"/>
                    </w:rPr>
                    <w:t>，</w:t>
                  </w:r>
                  <w:r>
                    <w:rPr>
                      <w:rFonts w:hint="eastAsia"/>
                      <w:sz w:val="21"/>
                      <w:szCs w:val="21"/>
                      <w:lang w:bidi="ar"/>
                    </w:rPr>
                    <w:t>项目废气采取</w:t>
                  </w:r>
                  <w:r>
                    <w:rPr>
                      <w:szCs w:val="21"/>
                    </w:rPr>
                    <w:t>集气罩+</w:t>
                  </w:r>
                  <w:r>
                    <w:rPr>
                      <w:rFonts w:hint="eastAsia"/>
                      <w:szCs w:val="21"/>
                    </w:rPr>
                    <w:t>过滤棉</w:t>
                  </w:r>
                  <w:r>
                    <w:rPr>
                      <w:rFonts w:eastAsia="Times New Roman"/>
                      <w:szCs w:val="21"/>
                    </w:rPr>
                    <w:t>+</w:t>
                  </w:r>
                  <w:r>
                    <w:rPr>
                      <w:rFonts w:hint="eastAsia"/>
                      <w:szCs w:val="21"/>
                    </w:rPr>
                    <w:t>二</w:t>
                  </w:r>
                  <w:r>
                    <w:rPr>
                      <w:szCs w:val="21"/>
                    </w:rPr>
                    <w:t>活性炭吸附</w:t>
                  </w:r>
                  <w:r>
                    <w:rPr>
                      <w:rFonts w:hint="eastAsia"/>
                      <w:sz w:val="21"/>
                      <w:szCs w:val="21"/>
                    </w:rPr>
                    <w:t>装置</w:t>
                  </w:r>
                  <w:r>
                    <w:rPr>
                      <w:sz w:val="21"/>
                      <w:szCs w:val="21"/>
                    </w:rPr>
                    <w:t>处理后达标排放</w:t>
                  </w:r>
                </w:p>
              </w:tc>
              <w:tc>
                <w:tcPr>
                  <w:tcW w:w="938" w:type="dxa"/>
                  <w:vAlign w:val="center"/>
                </w:tcPr>
                <w:p>
                  <w:pPr>
                    <w:jc w:val="center"/>
                    <w:rPr>
                      <w:b/>
                      <w:bCs/>
                    </w:rPr>
                  </w:pPr>
                  <w:r>
                    <w:rPr>
                      <w:rFonts w:hint="eastAsia"/>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vAlign w:val="center"/>
                </w:tcPr>
                <w:p>
                  <w:pPr>
                    <w:jc w:val="center"/>
                    <w:rPr>
                      <w:b/>
                      <w:bCs/>
                    </w:rPr>
                  </w:pPr>
                  <w:r>
                    <w:rPr>
                      <w:rFonts w:hint="eastAsia"/>
                      <w:sz w:val="21"/>
                      <w:szCs w:val="21"/>
                    </w:rPr>
                    <w:t>2</w:t>
                  </w:r>
                </w:p>
              </w:tc>
              <w:tc>
                <w:tcPr>
                  <w:tcW w:w="2730" w:type="dxa"/>
                  <w:vAlign w:val="center"/>
                </w:tcPr>
                <w:p>
                  <w:pPr>
                    <w:jc w:val="center"/>
                    <w:rPr>
                      <w:b/>
                      <w:bCs/>
                    </w:rPr>
                  </w:pPr>
                  <w:r>
                    <w:rPr>
                      <w:sz w:val="21"/>
                      <w:szCs w:val="21"/>
                      <w:shd w:val="clear" w:color="auto" w:fill="FFFFFF"/>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1935" w:type="dxa"/>
                  <w:vAlign w:val="center"/>
                </w:tcPr>
                <w:p>
                  <w:pPr>
                    <w:jc w:val="center"/>
                    <w:rPr>
                      <w:b/>
                      <w:bCs/>
                    </w:rPr>
                  </w:pPr>
                  <w:r>
                    <w:rPr>
                      <w:sz w:val="21"/>
                      <w:szCs w:val="21"/>
                      <w:shd w:val="clear" w:color="auto" w:fill="FFFFFF"/>
                    </w:rPr>
                    <w:t>项目使用的</w:t>
                  </w:r>
                  <w:r>
                    <w:rPr>
                      <w:rFonts w:hint="eastAsia"/>
                      <w:sz w:val="21"/>
                      <w:szCs w:val="21"/>
                    </w:rPr>
                    <w:t>油漆</w:t>
                  </w:r>
                  <w:r>
                    <w:rPr>
                      <w:sz w:val="21"/>
                      <w:szCs w:val="21"/>
                      <w:shd w:val="clear" w:color="auto" w:fill="FFFFFF"/>
                    </w:rPr>
                    <w:t>在储存转移和输送过程中为密封桶装</w:t>
                  </w:r>
                  <w:r>
                    <w:rPr>
                      <w:rFonts w:hint="eastAsia"/>
                      <w:sz w:val="21"/>
                      <w:szCs w:val="21"/>
                      <w:shd w:val="clear" w:color="auto" w:fill="FFFFFF"/>
                    </w:rPr>
                    <w:t>，</w:t>
                  </w:r>
                  <w:r>
                    <w:rPr>
                      <w:sz w:val="21"/>
                      <w:szCs w:val="21"/>
                      <w:shd w:val="clear" w:color="auto" w:fill="FFFFFF"/>
                    </w:rPr>
                    <w:t>因此不存在储存、转移和输送、设备与管线组件泄漏、敞开液面逸散</w:t>
                  </w:r>
                </w:p>
              </w:tc>
              <w:tc>
                <w:tcPr>
                  <w:tcW w:w="938" w:type="dxa"/>
                  <w:vAlign w:val="center"/>
                </w:tcPr>
                <w:p>
                  <w:pPr>
                    <w:jc w:val="center"/>
                    <w:rPr>
                      <w:b/>
                      <w:bCs/>
                    </w:rPr>
                  </w:pPr>
                  <w:r>
                    <w:rPr>
                      <w:rFonts w:hint="eastAsia"/>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vAlign w:val="center"/>
                </w:tcPr>
                <w:p>
                  <w:pPr>
                    <w:jc w:val="center"/>
                    <w:rPr>
                      <w:b/>
                      <w:bCs/>
                    </w:rPr>
                  </w:pPr>
                  <w:r>
                    <w:rPr>
                      <w:rFonts w:hint="eastAsia"/>
                      <w:sz w:val="21"/>
                      <w:szCs w:val="21"/>
                    </w:rPr>
                    <w:t>3</w:t>
                  </w:r>
                </w:p>
              </w:tc>
              <w:tc>
                <w:tcPr>
                  <w:tcW w:w="2730" w:type="dxa"/>
                  <w:vAlign w:val="center"/>
                </w:tcPr>
                <w:p>
                  <w:pPr>
                    <w:jc w:val="center"/>
                    <w:rPr>
                      <w:b/>
                      <w:bCs/>
                    </w:rPr>
                  </w:pPr>
                  <w:r>
                    <w:rPr>
                      <w:rFonts w:hint="eastAsia"/>
                      <w:sz w:val="21"/>
                      <w:szCs w:val="21"/>
                      <w:shd w:val="clear" w:color="auto" w:fill="FFFFFF"/>
                    </w:rPr>
                    <w:t>企业新建治污设施或对现有治污设施实施改造，应依据排放废气的浓度、组分、风量，温度、湿度、压力，以及生产工况等，合理选择治理技术。鼓励企业采用多种技术的组合工艺，提高VOCs治理效率。低浓度、大风量废气，宜采用沸石转轮吸附、活性炭吸附、减风增浓等浓缩技术，提高VOCs浓度后净化处理</w:t>
                  </w:r>
                </w:p>
              </w:tc>
              <w:tc>
                <w:tcPr>
                  <w:tcW w:w="1935" w:type="dxa"/>
                  <w:vAlign w:val="center"/>
                </w:tcPr>
                <w:p>
                  <w:pPr>
                    <w:jc w:val="center"/>
                    <w:rPr>
                      <w:b/>
                      <w:bCs/>
                    </w:rPr>
                  </w:pPr>
                  <w:r>
                    <w:rPr>
                      <w:rFonts w:hint="eastAsia"/>
                      <w:sz w:val="21"/>
                      <w:szCs w:val="21"/>
                      <w:lang w:bidi="ar"/>
                    </w:rPr>
                    <w:t>本项目设</w:t>
                  </w:r>
                  <w:r>
                    <w:rPr>
                      <w:szCs w:val="21"/>
                    </w:rPr>
                    <w:t>集气罩+</w:t>
                  </w:r>
                  <w:r>
                    <w:rPr>
                      <w:rFonts w:hint="eastAsia"/>
                      <w:szCs w:val="21"/>
                    </w:rPr>
                    <w:t>过滤棉</w:t>
                  </w:r>
                  <w:r>
                    <w:rPr>
                      <w:rFonts w:eastAsia="Times New Roman"/>
                      <w:szCs w:val="21"/>
                    </w:rPr>
                    <w:t>+</w:t>
                  </w:r>
                  <w:r>
                    <w:rPr>
                      <w:rFonts w:hint="eastAsia"/>
                      <w:szCs w:val="21"/>
                    </w:rPr>
                    <w:t>二</w:t>
                  </w:r>
                  <w:r>
                    <w:rPr>
                      <w:szCs w:val="21"/>
                    </w:rPr>
                    <w:t>活性炭吸附</w:t>
                  </w:r>
                  <w:r>
                    <w:rPr>
                      <w:rFonts w:hint="eastAsia"/>
                      <w:sz w:val="21"/>
                      <w:szCs w:val="21"/>
                    </w:rPr>
                    <w:t>装置</w:t>
                  </w:r>
                  <w:r>
                    <w:rPr>
                      <w:rFonts w:hint="eastAsia"/>
                      <w:sz w:val="21"/>
                      <w:szCs w:val="21"/>
                      <w:lang w:bidi="ar"/>
                    </w:rPr>
                    <w:t>，其中挥发性有机物的收集效率为90%以上，处理效率为9</w:t>
                  </w:r>
                  <w:r>
                    <w:rPr>
                      <w:rFonts w:hint="eastAsia"/>
                      <w:sz w:val="21"/>
                      <w:szCs w:val="21"/>
                      <w:lang w:val="en-US" w:eastAsia="zh-CN" w:bidi="ar"/>
                    </w:rPr>
                    <w:t>0</w:t>
                  </w:r>
                  <w:r>
                    <w:rPr>
                      <w:rFonts w:hint="eastAsia"/>
                      <w:sz w:val="21"/>
                      <w:szCs w:val="21"/>
                      <w:lang w:bidi="ar"/>
                    </w:rPr>
                    <w:t>%以上</w:t>
                  </w:r>
                </w:p>
              </w:tc>
              <w:tc>
                <w:tcPr>
                  <w:tcW w:w="938" w:type="dxa"/>
                  <w:vAlign w:val="center"/>
                </w:tcPr>
                <w:p>
                  <w:pPr>
                    <w:jc w:val="center"/>
                    <w:rPr>
                      <w:b/>
                      <w:bCs/>
                    </w:rPr>
                  </w:pPr>
                  <w:r>
                    <w:rPr>
                      <w:rFonts w:hint="eastAsia"/>
                      <w:sz w:val="21"/>
                      <w:szCs w:val="21"/>
                    </w:rPr>
                    <w:t>相符</w:t>
                  </w:r>
                </w:p>
              </w:tc>
            </w:tr>
          </w:tbl>
          <w:p>
            <w:pPr>
              <w:ind w:firstLine="482" w:firstLineChars="200"/>
              <w:rPr>
                <w:rFonts w:ascii="微软雅黑" w:hAnsi="微软雅黑" w:eastAsia="微软雅黑" w:cs="微软雅黑"/>
                <w:b/>
                <w:bCs/>
                <w:color w:val="333333"/>
                <w:sz w:val="24"/>
                <w:szCs w:val="24"/>
              </w:rPr>
            </w:pPr>
            <w:r>
              <w:rPr>
                <w:rFonts w:hint="eastAsia"/>
                <w:b/>
                <w:bCs/>
                <w:sz w:val="24"/>
                <w:szCs w:val="24"/>
              </w:rPr>
              <w:t>5、与“宿州市全速推进挥发性有机物专项整治工作”的相符性分析</w:t>
            </w:r>
          </w:p>
          <w:p>
            <w:pPr>
              <w:pStyle w:val="2"/>
              <w:jc w:val="center"/>
              <w:rPr>
                <w:sz w:val="24"/>
                <w:szCs w:val="24"/>
              </w:rPr>
            </w:pPr>
            <w:r>
              <w:rPr>
                <w:rFonts w:ascii="宋体" w:hAnsi="宋体"/>
                <w:b/>
                <w:bCs/>
                <w:sz w:val="24"/>
                <w:szCs w:val="24"/>
              </w:rPr>
              <w:t>表</w:t>
            </w:r>
            <w:r>
              <w:rPr>
                <w:rFonts w:hint="eastAsia"/>
                <w:b/>
                <w:bCs/>
                <w:sz w:val="24"/>
                <w:szCs w:val="24"/>
              </w:rPr>
              <w:t>1-</w:t>
            </w:r>
            <w:r>
              <w:rPr>
                <w:rFonts w:hint="eastAsia"/>
                <w:b/>
                <w:bCs/>
                <w:sz w:val="24"/>
                <w:szCs w:val="24"/>
                <w:lang w:val="en-US" w:eastAsia="zh-CN"/>
              </w:rPr>
              <w:t>5</w:t>
            </w:r>
            <w:r>
              <w:rPr>
                <w:rFonts w:hint="eastAsia"/>
                <w:b/>
                <w:bCs/>
                <w:sz w:val="24"/>
                <w:szCs w:val="24"/>
              </w:rPr>
              <w:t xml:space="preserve">  </w:t>
            </w:r>
            <w:r>
              <w:rPr>
                <w:rFonts w:ascii="宋体" w:hAnsi="宋体"/>
                <w:b/>
                <w:bCs/>
                <w:sz w:val="24"/>
                <w:szCs w:val="24"/>
              </w:rPr>
              <w:t>与</w:t>
            </w:r>
            <w:r>
              <w:rPr>
                <w:rFonts w:hint="eastAsia"/>
                <w:b/>
                <w:bCs/>
                <w:sz w:val="24"/>
                <w:szCs w:val="24"/>
              </w:rPr>
              <w:t>“宿州市全速推进挥发性有机物专项整治工作”</w:t>
            </w:r>
            <w:r>
              <w:rPr>
                <w:rFonts w:ascii="宋体" w:hAnsi="宋体"/>
                <w:b/>
                <w:bCs/>
                <w:sz w:val="24"/>
                <w:szCs w:val="24"/>
              </w:rPr>
              <w:t>相符性分析一览表</w:t>
            </w:r>
          </w:p>
          <w:tbl>
            <w:tblPr>
              <w:tblStyle w:val="23"/>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495"/>
              <w:gridCol w:w="115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jc w:val="center"/>
                    <w:rPr>
                      <w:kern w:val="0"/>
                    </w:rPr>
                  </w:pPr>
                  <w:r>
                    <w:rPr>
                      <w:b/>
                      <w:bCs/>
                      <w:sz w:val="21"/>
                      <w:szCs w:val="21"/>
                    </w:rPr>
                    <w:t>序号</w:t>
                  </w:r>
                </w:p>
              </w:tc>
              <w:tc>
                <w:tcPr>
                  <w:tcW w:w="3495" w:type="dxa"/>
                  <w:vAlign w:val="center"/>
                </w:tcPr>
                <w:p>
                  <w:pPr>
                    <w:jc w:val="center"/>
                    <w:rPr>
                      <w:kern w:val="0"/>
                    </w:rPr>
                  </w:pPr>
                  <w:r>
                    <w:rPr>
                      <w:rFonts w:hint="eastAsia"/>
                      <w:b/>
                      <w:bCs/>
                      <w:sz w:val="21"/>
                      <w:szCs w:val="21"/>
                    </w:rPr>
                    <w:t>宿州市全速推进挥发性有机物专项整治工作</w:t>
                  </w:r>
                </w:p>
              </w:tc>
              <w:tc>
                <w:tcPr>
                  <w:tcW w:w="1155" w:type="dxa"/>
                  <w:vAlign w:val="center"/>
                </w:tcPr>
                <w:p>
                  <w:pPr>
                    <w:jc w:val="center"/>
                    <w:rPr>
                      <w:kern w:val="0"/>
                    </w:rPr>
                  </w:pPr>
                  <w:r>
                    <w:rPr>
                      <w:b/>
                      <w:bCs/>
                      <w:sz w:val="21"/>
                      <w:szCs w:val="21"/>
                    </w:rPr>
                    <w:t>项目情况</w:t>
                  </w:r>
                </w:p>
              </w:tc>
              <w:tc>
                <w:tcPr>
                  <w:tcW w:w="885" w:type="dxa"/>
                  <w:vAlign w:val="center"/>
                </w:tcPr>
                <w:p>
                  <w:pPr>
                    <w:jc w:val="center"/>
                    <w:rPr>
                      <w:kern w:val="0"/>
                    </w:rPr>
                  </w:pPr>
                  <w:r>
                    <w:rPr>
                      <w:b/>
                      <w:bCs/>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jc w:val="center"/>
                    <w:rPr>
                      <w:kern w:val="0"/>
                    </w:rPr>
                  </w:pPr>
                  <w:r>
                    <w:rPr>
                      <w:sz w:val="21"/>
                      <w:szCs w:val="21"/>
                    </w:rPr>
                    <w:t>1</w:t>
                  </w:r>
                </w:p>
              </w:tc>
              <w:tc>
                <w:tcPr>
                  <w:tcW w:w="3495" w:type="dxa"/>
                  <w:vAlign w:val="center"/>
                </w:tcPr>
                <w:p>
                  <w:pPr>
                    <w:jc w:val="center"/>
                    <w:rPr>
                      <w:kern w:val="0"/>
                    </w:rPr>
                  </w:pPr>
                  <w:r>
                    <w:rPr>
                      <w:rFonts w:hint="eastAsia"/>
                      <w:sz w:val="21"/>
                      <w:szCs w:val="21"/>
                    </w:rPr>
                    <w:t>认真梳理涉VOCs行业产业分布状况，采取一系列措施，突出抓好有机化工、包装印刷、工业涂装、塑料制造、橡胶制品、造革制鞋等共11类行业治理和企业管控，全速推进VOCs污染专项整治工作；</w:t>
                  </w:r>
                  <w:r>
                    <w:rPr>
                      <w:sz w:val="21"/>
                      <w:szCs w:val="21"/>
                    </w:rPr>
                    <w:t>针对产生VOCs排放的储存、运送、搅拌、清洗及涂装等处理工序，提出严格的无组织管控要求；针对末端治理设施，确认了是否选用高效的治理设施，并确保末端的治理设备有效运行</w:t>
                  </w:r>
                  <w:r>
                    <w:rPr>
                      <w:rFonts w:hint="eastAsia"/>
                      <w:sz w:val="21"/>
                      <w:szCs w:val="21"/>
                    </w:rPr>
                    <w:t>；</w:t>
                  </w:r>
                  <w:r>
                    <w:rPr>
                      <w:sz w:val="21"/>
                      <w:szCs w:val="21"/>
                    </w:rPr>
                    <w:t>结合实际，统一整治标准，统一整改时限，标杆建设一批、改造提升一批、优化整合一批、淘汰退出一批。进一步完善监测监控体系，提高精准治理水平。坚持帮扶执法结合，提高监管效能。依托科技支撑、执法检查等工作，向企业送政策、送技术、送服务，宣传VOCs治理相关法律法规、政策标准，引导企业自觉守法</w:t>
                  </w:r>
                </w:p>
              </w:tc>
              <w:tc>
                <w:tcPr>
                  <w:tcW w:w="1155" w:type="dxa"/>
                  <w:vAlign w:val="center"/>
                </w:tcPr>
                <w:p>
                  <w:pPr>
                    <w:jc w:val="center"/>
                    <w:rPr>
                      <w:kern w:val="0"/>
                    </w:rPr>
                  </w:pPr>
                  <w:r>
                    <w:rPr>
                      <w:rFonts w:hint="eastAsia"/>
                      <w:sz w:val="21"/>
                      <w:szCs w:val="21"/>
                      <w:lang w:bidi="ar"/>
                    </w:rPr>
                    <w:t>本项目设</w:t>
                  </w:r>
                  <w:r>
                    <w:rPr>
                      <w:szCs w:val="21"/>
                    </w:rPr>
                    <w:t>集气罩+</w:t>
                  </w:r>
                  <w:r>
                    <w:rPr>
                      <w:rFonts w:hint="eastAsia"/>
                      <w:szCs w:val="21"/>
                    </w:rPr>
                    <w:t>过滤棉</w:t>
                  </w:r>
                  <w:r>
                    <w:rPr>
                      <w:rFonts w:eastAsia="Times New Roman"/>
                      <w:szCs w:val="21"/>
                    </w:rPr>
                    <w:t>+</w:t>
                  </w:r>
                  <w:r>
                    <w:rPr>
                      <w:rFonts w:hint="eastAsia"/>
                      <w:szCs w:val="21"/>
                    </w:rPr>
                    <w:t>二</w:t>
                  </w:r>
                  <w:r>
                    <w:rPr>
                      <w:szCs w:val="21"/>
                    </w:rPr>
                    <w:t>活性炭吸附</w:t>
                  </w:r>
                  <w:r>
                    <w:rPr>
                      <w:rFonts w:hint="eastAsia"/>
                      <w:sz w:val="21"/>
                      <w:szCs w:val="21"/>
                    </w:rPr>
                    <w:t>装置</w:t>
                  </w:r>
                  <w:r>
                    <w:rPr>
                      <w:rFonts w:hint="eastAsia"/>
                      <w:sz w:val="21"/>
                      <w:szCs w:val="21"/>
                      <w:lang w:bidi="ar"/>
                    </w:rPr>
                    <w:t>，其中挥发性有机物的收集效率为90%以上，处理效率为9</w:t>
                  </w:r>
                  <w:r>
                    <w:rPr>
                      <w:rFonts w:hint="eastAsia"/>
                      <w:sz w:val="21"/>
                      <w:szCs w:val="21"/>
                      <w:lang w:val="en-US" w:eastAsia="zh-CN" w:bidi="ar"/>
                    </w:rPr>
                    <w:t>0</w:t>
                  </w:r>
                  <w:r>
                    <w:rPr>
                      <w:rFonts w:hint="eastAsia"/>
                      <w:sz w:val="21"/>
                      <w:szCs w:val="21"/>
                      <w:lang w:bidi="ar"/>
                    </w:rPr>
                    <w:t>%以上</w:t>
                  </w:r>
                </w:p>
              </w:tc>
              <w:tc>
                <w:tcPr>
                  <w:tcW w:w="885" w:type="dxa"/>
                  <w:vAlign w:val="center"/>
                </w:tcPr>
                <w:p>
                  <w:pPr>
                    <w:jc w:val="center"/>
                    <w:rPr>
                      <w:kern w:val="0"/>
                    </w:rPr>
                  </w:pPr>
                  <w:r>
                    <w:rPr>
                      <w:sz w:val="21"/>
                      <w:szCs w:val="21"/>
                    </w:rPr>
                    <w:t>相符</w:t>
                  </w:r>
                </w:p>
              </w:tc>
            </w:tr>
          </w:tbl>
          <w:p/>
          <w:p>
            <w:pPr>
              <w:pStyle w:val="2"/>
            </w:pPr>
          </w:p>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eastAsia="宋体"/>
                <w:lang w:val="en-US" w:eastAsia="zh-CN"/>
              </w:rPr>
            </w:pPr>
          </w:p>
          <w:p/>
          <w:p>
            <w:pPr>
              <w:pStyle w:val="42"/>
              <w:spacing w:line="360" w:lineRule="auto"/>
              <w:ind w:firstLine="0" w:firstLineChars="0"/>
              <w:rPr>
                <w:lang w:bidi="ar"/>
              </w:rPr>
            </w:pPr>
          </w:p>
          <w:p>
            <w:pPr>
              <w:pStyle w:val="42"/>
              <w:spacing w:line="360" w:lineRule="auto"/>
              <w:ind w:firstLine="0" w:firstLineChars="0"/>
              <w:rPr>
                <w:rFonts w:hint="eastAsia"/>
                <w:lang w:val="en-US" w:eastAsia="zh-CN" w:bidi="ar"/>
              </w:rPr>
            </w:pPr>
          </w:p>
          <w:p>
            <w:pPr>
              <w:pStyle w:val="42"/>
              <w:spacing w:line="360" w:lineRule="auto"/>
              <w:ind w:firstLine="0" w:firstLineChars="0"/>
              <w:rPr>
                <w:rFonts w:hint="eastAsia"/>
                <w:lang w:val="en-US" w:eastAsia="zh-CN" w:bidi="ar"/>
              </w:rPr>
            </w:pPr>
          </w:p>
          <w:p>
            <w:pPr>
              <w:pStyle w:val="42"/>
              <w:spacing w:line="360" w:lineRule="auto"/>
              <w:ind w:firstLine="0" w:firstLineChars="0"/>
              <w:rPr>
                <w:rFonts w:hint="eastAsia"/>
                <w:lang w:val="en-US" w:eastAsia="zh-CN" w:bidi="ar"/>
              </w:rPr>
            </w:pPr>
          </w:p>
          <w:p>
            <w:pPr>
              <w:pStyle w:val="42"/>
              <w:spacing w:line="360" w:lineRule="auto"/>
              <w:ind w:firstLine="0" w:firstLineChars="0"/>
              <w:rPr>
                <w:rFonts w:hint="eastAsia" w:eastAsia="宋体"/>
                <w:lang w:val="en-US" w:eastAsia="zh-CN" w:bidi="ar"/>
              </w:rPr>
            </w:pPr>
          </w:p>
          <w:p>
            <w:pPr>
              <w:pStyle w:val="42"/>
              <w:spacing w:line="360" w:lineRule="auto"/>
              <w:ind w:firstLine="0" w:firstLineChars="0"/>
              <w:rPr>
                <w:lang w:bidi="ar"/>
              </w:rPr>
            </w:pPr>
          </w:p>
          <w:p>
            <w:pPr>
              <w:autoSpaceDE w:val="0"/>
              <w:autoSpaceDN w:val="0"/>
              <w:adjustRightInd w:val="0"/>
              <w:snapToGrid w:val="0"/>
              <w:rPr>
                <w:kern w:val="0"/>
                <w:sz w:val="24"/>
              </w:rPr>
            </w:pPr>
          </w:p>
        </w:tc>
      </w:tr>
    </w:tbl>
    <w:p>
      <w:pPr>
        <w:spacing w:line="360" w:lineRule="auto"/>
        <w:outlineLvl w:val="0"/>
        <w:rPr>
          <w:sz w:val="30"/>
        </w:rPr>
        <w:sectPr>
          <w:footerReference r:id="rId5" w:type="default"/>
          <w:pgSz w:w="11906" w:h="16838"/>
          <w:pgMar w:top="1701" w:right="1531" w:bottom="1701" w:left="1531" w:header="851" w:footer="1077" w:gutter="0"/>
          <w:pgNumType w:start="1"/>
          <w:cols w:space="720" w:num="1"/>
          <w:docGrid w:linePitch="312" w:charSpace="0"/>
        </w:sectPr>
      </w:pPr>
    </w:p>
    <w:p>
      <w:pPr>
        <w:pStyle w:val="18"/>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2"/>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134" w:hRule="atLeast"/>
          <w:jc w:val="center"/>
        </w:trPr>
        <w:tc>
          <w:tcPr>
            <w:tcW w:w="823" w:type="dxa"/>
            <w:vAlign w:val="center"/>
          </w:tcPr>
          <w:p>
            <w:pPr>
              <w:pStyle w:val="18"/>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建设内容</w:t>
            </w:r>
          </w:p>
        </w:tc>
        <w:tc>
          <w:tcPr>
            <w:tcW w:w="8161" w:type="dxa"/>
          </w:tcPr>
          <w:p>
            <w:pPr>
              <w:adjustRightInd w:val="0"/>
              <w:spacing w:line="360" w:lineRule="auto"/>
              <w:ind w:firstLine="420" w:firstLineChars="200"/>
              <w:rPr>
                <w:b/>
                <w:kern w:val="0"/>
                <w:sz w:val="24"/>
              </w:rPr>
            </w:pPr>
            <w:r>
              <w:rPr>
                <w:rFonts w:ascii="宋体" w:hAnsi="宋体" w:cs="宋体"/>
              </w:rPr>
              <w:t>一</w:t>
            </w:r>
            <w:r>
              <w:rPr>
                <w:rFonts w:hint="eastAsia"/>
                <w:b/>
                <w:bCs/>
                <w:kern w:val="0"/>
              </w:rPr>
              <w:t>、</w:t>
            </w:r>
            <w:r>
              <w:rPr>
                <w:b/>
                <w:kern w:val="0"/>
                <w:sz w:val="24"/>
              </w:rPr>
              <w:t>工程内容及建设规模：</w:t>
            </w:r>
          </w:p>
          <w:p>
            <w:pPr>
              <w:pStyle w:val="8"/>
              <w:spacing w:line="360" w:lineRule="auto"/>
              <w:ind w:firstLine="480" w:firstLineChars="200"/>
              <w:rPr>
                <w:b/>
                <w:bCs/>
              </w:rPr>
            </w:pPr>
            <w:r>
              <w:rPr>
                <w:rFonts w:hint="eastAsia"/>
                <w:szCs w:val="24"/>
              </w:rPr>
              <w:t>宿州空艺景观工程有限公司在</w:t>
            </w:r>
            <w:r>
              <w:rPr>
                <w:sz w:val="24"/>
              </w:rPr>
              <w:t>宿州市泗县刘圩镇工业园区金光大道</w:t>
            </w:r>
            <w:r>
              <w:rPr>
                <w:rFonts w:ascii="宋体" w:hAnsi="宋体" w:eastAsia="宋体" w:cs="宋体"/>
                <w:sz w:val="24"/>
                <w:szCs w:val="24"/>
              </w:rPr>
              <w:t>西</w:t>
            </w:r>
            <w:r>
              <w:rPr>
                <w:rFonts w:hint="default" w:ascii="Times New Roman" w:hAnsi="Times New Roman" w:eastAsia="宋体" w:cs="Times New Roman"/>
                <w:sz w:val="24"/>
                <w:szCs w:val="24"/>
              </w:rPr>
              <w:t>侧变电所南50米</w:t>
            </w:r>
            <w:r>
              <w:rPr>
                <w:rFonts w:hint="eastAsia"/>
                <w:szCs w:val="24"/>
              </w:rPr>
              <w:t>投资</w:t>
            </w:r>
            <w:r>
              <w:rPr>
                <w:szCs w:val="24"/>
              </w:rPr>
              <w:t>建设</w:t>
            </w:r>
            <w:r>
              <w:rPr>
                <w:rFonts w:hint="eastAsia" w:ascii="Times New Roman" w:hAnsi="Times New Roman" w:cs="Times New Roman"/>
                <w:color w:val="000000"/>
                <w:sz w:val="24"/>
                <w:lang w:val="en-US" w:eastAsia="zh-CN"/>
              </w:rPr>
              <w:t>年产500套空艺切片家具座椅项目</w:t>
            </w:r>
            <w:r>
              <w:rPr>
                <w:rFonts w:hint="eastAsia" w:ascii="宋体" w:hAnsi="宋体" w:cs="宋体"/>
                <w:szCs w:val="24"/>
              </w:rPr>
              <w:t>。</w:t>
            </w:r>
            <w:r>
              <w:rPr>
                <w:rFonts w:hint="eastAsia"/>
              </w:rPr>
              <w:t>项目拟投资</w:t>
            </w:r>
            <w:r>
              <w:rPr>
                <w:rFonts w:hint="eastAsia"/>
                <w:lang w:val="en-US" w:eastAsia="zh-CN"/>
              </w:rPr>
              <w:t>8</w:t>
            </w:r>
            <w:r>
              <w:rPr>
                <w:rFonts w:hint="eastAsia"/>
              </w:rPr>
              <w:t>00万元，计划购置</w:t>
            </w:r>
            <w:r>
              <w:rPr>
                <w:rFonts w:ascii="宋体" w:hAnsi="宋体" w:cs="宋体"/>
                <w:szCs w:val="24"/>
              </w:rPr>
              <w:t>五轴雕刻机</w:t>
            </w:r>
            <w:r>
              <w:rPr>
                <w:rFonts w:hint="eastAsia" w:ascii="宋体" w:hAnsi="宋体" w:cs="宋体"/>
                <w:szCs w:val="24"/>
              </w:rPr>
              <w:t>、</w:t>
            </w:r>
            <w:r>
              <w:rPr>
                <w:rFonts w:ascii="宋体" w:hAnsi="宋体" w:cs="宋体"/>
                <w:szCs w:val="24"/>
              </w:rPr>
              <w:t>封边机、修边机、切割机</w:t>
            </w:r>
            <w:r>
              <w:rPr>
                <w:rFonts w:hint="eastAsia" w:ascii="宋体" w:hAnsi="宋体" w:cs="宋体"/>
                <w:szCs w:val="24"/>
              </w:rPr>
              <w:t>等</w:t>
            </w:r>
            <w:r>
              <w:rPr>
                <w:rFonts w:hint="eastAsia"/>
              </w:rPr>
              <w:t>主要生产设备，占地面积</w:t>
            </w:r>
            <w:r>
              <w:rPr>
                <w:rFonts w:hint="eastAsia"/>
                <w:lang w:val="en-US" w:eastAsia="zh-CN"/>
              </w:rPr>
              <w:t>260</w:t>
            </w:r>
            <w:r>
              <w:rPr>
                <w:szCs w:val="24"/>
              </w:rPr>
              <w:t>0m</w:t>
            </w:r>
            <w:r>
              <w:rPr>
                <w:szCs w:val="24"/>
                <w:vertAlign w:val="superscript"/>
              </w:rPr>
              <w:t>2</w:t>
            </w:r>
            <w:r>
              <w:rPr>
                <w:rFonts w:hint="eastAsia"/>
              </w:rPr>
              <w:t>，建成后可达到</w:t>
            </w:r>
            <w:r>
              <w:rPr>
                <w:rFonts w:hint="eastAsia" w:ascii="Times New Roman" w:hAnsi="Times New Roman" w:cs="Times New Roman"/>
                <w:color w:val="000000"/>
                <w:sz w:val="24"/>
                <w:lang w:val="en-US" w:eastAsia="zh-CN"/>
              </w:rPr>
              <w:t>年产500套空艺切片家具座椅</w:t>
            </w:r>
            <w:r>
              <w:rPr>
                <w:rFonts w:hint="eastAsia"/>
              </w:rPr>
              <w:t>生产能力</w:t>
            </w:r>
            <w:r>
              <w:t>。具体建设内容及规模见下表。</w:t>
            </w:r>
          </w:p>
          <w:p>
            <w:pPr>
              <w:spacing w:line="360" w:lineRule="auto"/>
              <w:jc w:val="center"/>
              <w:rPr>
                <w:b/>
                <w:bCs/>
                <w:sz w:val="24"/>
              </w:rPr>
            </w:pPr>
            <w:r>
              <w:rPr>
                <w:b/>
                <w:bCs/>
                <w:sz w:val="24"/>
              </w:rPr>
              <w:t>表2-1  项目建设内容一览表</w:t>
            </w:r>
          </w:p>
          <w:tbl>
            <w:tblPr>
              <w:tblStyle w:val="22"/>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417"/>
              <w:gridCol w:w="394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3" w:type="dxa"/>
                  <w:vAlign w:val="center"/>
                </w:tcPr>
                <w:p>
                  <w:pPr>
                    <w:jc w:val="center"/>
                    <w:rPr>
                      <w:b/>
                      <w:kern w:val="0"/>
                      <w:sz w:val="24"/>
                    </w:rPr>
                  </w:pPr>
                  <w:r>
                    <w:rPr>
                      <w:b/>
                      <w:bCs/>
                      <w:szCs w:val="21"/>
                    </w:rPr>
                    <w:t>类别</w:t>
                  </w:r>
                </w:p>
              </w:tc>
              <w:tc>
                <w:tcPr>
                  <w:tcW w:w="1417" w:type="dxa"/>
                  <w:vAlign w:val="center"/>
                </w:tcPr>
                <w:p>
                  <w:pPr>
                    <w:jc w:val="center"/>
                    <w:rPr>
                      <w:b/>
                      <w:kern w:val="0"/>
                      <w:sz w:val="24"/>
                    </w:rPr>
                  </w:pPr>
                  <w:r>
                    <w:rPr>
                      <w:b/>
                      <w:bCs/>
                      <w:szCs w:val="21"/>
                    </w:rPr>
                    <w:t>单项工程名称</w:t>
                  </w:r>
                </w:p>
              </w:tc>
              <w:tc>
                <w:tcPr>
                  <w:tcW w:w="3945" w:type="dxa"/>
                  <w:vAlign w:val="center"/>
                </w:tcPr>
                <w:p>
                  <w:pPr>
                    <w:jc w:val="center"/>
                    <w:rPr>
                      <w:b/>
                      <w:kern w:val="0"/>
                      <w:sz w:val="24"/>
                    </w:rPr>
                  </w:pPr>
                  <w:r>
                    <w:rPr>
                      <w:b/>
                      <w:bCs/>
                      <w:kern w:val="0"/>
                      <w:szCs w:val="21"/>
                    </w:rPr>
                    <w:t>工程内容</w:t>
                  </w:r>
                </w:p>
              </w:tc>
              <w:tc>
                <w:tcPr>
                  <w:tcW w:w="1230" w:type="dxa"/>
                  <w:vAlign w:val="center"/>
                </w:tcPr>
                <w:p>
                  <w:pPr>
                    <w:jc w:val="center"/>
                    <w:rPr>
                      <w:b/>
                      <w:bCs/>
                      <w:kern w:val="0"/>
                      <w:szCs w:val="21"/>
                    </w:rPr>
                  </w:pPr>
                  <w:r>
                    <w:rPr>
                      <w:rFonts w:hint="eastAsia"/>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353" w:type="dxa"/>
                  <w:vMerge w:val="restart"/>
                  <w:vAlign w:val="center"/>
                </w:tcPr>
                <w:p>
                  <w:pPr>
                    <w:jc w:val="center"/>
                    <w:rPr>
                      <w:b/>
                      <w:kern w:val="0"/>
                      <w:sz w:val="24"/>
                    </w:rPr>
                  </w:pPr>
                  <w:r>
                    <w:rPr>
                      <w:color w:val="000000"/>
                      <w:szCs w:val="21"/>
                    </w:rPr>
                    <w:t>主体工程</w:t>
                  </w:r>
                </w:p>
              </w:tc>
              <w:tc>
                <w:tcPr>
                  <w:tcW w:w="141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下料区</w:t>
                  </w:r>
                </w:p>
              </w:tc>
              <w:tc>
                <w:tcPr>
                  <w:tcW w:w="394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位于厂区</w:t>
                  </w:r>
                  <w:r>
                    <w:rPr>
                      <w:rFonts w:ascii="宋体" w:hAnsi="宋体" w:cs="宋体"/>
                      <w:color w:val="000000" w:themeColor="text1"/>
                      <w:szCs w:val="21"/>
                      <w14:textFill>
                        <w14:solidFill>
                          <w14:schemeClr w14:val="tx1"/>
                        </w14:solidFill>
                      </w14:textFill>
                    </w:rPr>
                    <w:t>正中央</w:t>
                  </w:r>
                  <w:r>
                    <w:rPr>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设置2台</w:t>
                  </w:r>
                  <w:r>
                    <w:rPr>
                      <w:rFonts w:hint="eastAsia" w:ascii="Times New Roman" w:hAnsi="Times New Roman" w:cs="Times New Roman"/>
                      <w:szCs w:val="21"/>
                      <w:lang w:val="en-US" w:eastAsia="zh-CN"/>
                    </w:rPr>
                    <w:t>大型台锯</w:t>
                  </w:r>
                  <w:r>
                    <w:rPr>
                      <w:color w:val="000000" w:themeColor="text1"/>
                      <w:szCs w:val="21"/>
                      <w14:textFill>
                        <w14:solidFill>
                          <w14:schemeClr w14:val="tx1"/>
                        </w14:solidFill>
                      </w14:textFill>
                    </w:rPr>
                    <w:t>，用于</w:t>
                  </w:r>
                  <w:r>
                    <w:rPr>
                      <w:rFonts w:ascii="宋体" w:hAnsi="宋体" w:cs="宋体"/>
                      <w:color w:val="000000" w:themeColor="text1"/>
                      <w:szCs w:val="21"/>
                      <w14:textFill>
                        <w14:solidFill>
                          <w14:schemeClr w14:val="tx1"/>
                        </w14:solidFill>
                      </w14:textFill>
                    </w:rPr>
                    <w:t>板材的切割</w:t>
                  </w:r>
                  <w:r>
                    <w:rPr>
                      <w:color w:val="000000" w:themeColor="text1"/>
                      <w:szCs w:val="21"/>
                      <w14:textFill>
                        <w14:solidFill>
                          <w14:schemeClr w14:val="tx1"/>
                        </w14:solidFill>
                      </w14:textFill>
                    </w:rPr>
                    <w:t>，建筑面积</w:t>
                  </w: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00m</w:t>
                  </w:r>
                  <w:r>
                    <w:rPr>
                      <w:color w:val="000000" w:themeColor="text1"/>
                      <w:szCs w:val="21"/>
                      <w:vertAlign w:val="superscript"/>
                      <w14:textFill>
                        <w14:solidFill>
                          <w14:schemeClr w14:val="tx1"/>
                        </w14:solidFill>
                      </w14:textFill>
                    </w:rPr>
                    <w:t>2</w:t>
                  </w:r>
                </w:p>
              </w:tc>
              <w:tc>
                <w:tcPr>
                  <w:tcW w:w="1230" w:type="dxa"/>
                  <w:vMerge w:val="restart"/>
                  <w:vAlign w:val="center"/>
                </w:tcPr>
                <w:p>
                  <w:pPr>
                    <w:jc w:val="center"/>
                    <w:rPr>
                      <w:szCs w:val="21"/>
                    </w:rPr>
                  </w:pPr>
                  <w:r>
                    <w:rPr>
                      <w:rFonts w:hint="eastAsia" w:ascii="Times New Roman" w:hAnsi="Times New Roman" w:cs="Times New Roman"/>
                      <w:szCs w:val="21"/>
                      <w:lang w:val="en-US" w:eastAsia="zh-CN"/>
                    </w:rPr>
                    <w:t>建设</w:t>
                  </w:r>
                  <w:r>
                    <w:rPr>
                      <w:rFonts w:hint="default" w:ascii="Times New Roman" w:hAnsi="Times New Roman" w:cs="Times New Roman"/>
                      <w:szCs w:val="21"/>
                      <w:lang w:val="en-US" w:eastAsia="zh-CN"/>
                    </w:rPr>
                    <w:t>年产500套空艺切片家具座椅项目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3" w:type="dxa"/>
                  <w:vMerge w:val="continue"/>
                  <w:vAlign w:val="center"/>
                </w:tcPr>
                <w:p>
                  <w:pPr>
                    <w:jc w:val="center"/>
                    <w:rPr>
                      <w:color w:val="000000"/>
                      <w:szCs w:val="21"/>
                    </w:rPr>
                  </w:pPr>
                </w:p>
              </w:tc>
              <w:tc>
                <w:tcPr>
                  <w:tcW w:w="141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雕刻区</w:t>
                  </w:r>
                </w:p>
              </w:tc>
              <w:tc>
                <w:tcPr>
                  <w:tcW w:w="394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位于厂区</w:t>
                  </w:r>
                  <w:r>
                    <w:rPr>
                      <w:rFonts w:ascii="宋体" w:hAnsi="宋体" w:cs="宋体"/>
                      <w:color w:val="000000" w:themeColor="text1"/>
                      <w:szCs w:val="21"/>
                      <w14:textFill>
                        <w14:solidFill>
                          <w14:schemeClr w14:val="tx1"/>
                        </w14:solidFill>
                      </w14:textFill>
                    </w:rPr>
                    <w:t>西北</w:t>
                  </w:r>
                  <w:r>
                    <w:rPr>
                      <w:color w:val="000000" w:themeColor="text1"/>
                      <w:szCs w:val="21"/>
                      <w14:textFill>
                        <w14:solidFill>
                          <w14:schemeClr w14:val="tx1"/>
                        </w14:solidFill>
                      </w14:textFill>
                    </w:rPr>
                    <w:t>侧，</w:t>
                  </w:r>
                  <w:r>
                    <w:rPr>
                      <w:rFonts w:hint="eastAsia"/>
                      <w:color w:val="000000" w:themeColor="text1"/>
                      <w:szCs w:val="21"/>
                      <w:lang w:val="en-US" w:eastAsia="zh-CN"/>
                      <w14:textFill>
                        <w14:solidFill>
                          <w14:schemeClr w14:val="tx1"/>
                        </w14:solidFill>
                      </w14:textFill>
                    </w:rPr>
                    <w:t>设置</w:t>
                  </w:r>
                  <w:r>
                    <w:rPr>
                      <w:rFonts w:ascii="宋体" w:hAnsi="宋体" w:cs="宋体"/>
                      <w:color w:val="000000" w:themeColor="text1"/>
                      <w:szCs w:val="21"/>
                      <w14:textFill>
                        <w14:solidFill>
                          <w14:schemeClr w14:val="tx1"/>
                        </w14:solidFill>
                      </w14:textFill>
                    </w:rPr>
                    <w:t>五轴雕刻机</w:t>
                  </w:r>
                  <w:r>
                    <w:rPr>
                      <w:color w:val="000000" w:themeColor="text1"/>
                      <w:szCs w:val="21"/>
                      <w14:textFill>
                        <w14:solidFill>
                          <w14:schemeClr w14:val="tx1"/>
                        </w14:solidFill>
                      </w14:textFill>
                    </w:rPr>
                    <w:t>，用于</w:t>
                  </w:r>
                  <w:r>
                    <w:rPr>
                      <w:rFonts w:ascii="宋体" w:hAnsi="宋体" w:cs="宋体"/>
                      <w:color w:val="000000" w:themeColor="text1"/>
                      <w:szCs w:val="21"/>
                      <w14:textFill>
                        <w14:solidFill>
                          <w14:schemeClr w14:val="tx1"/>
                        </w14:solidFill>
                      </w14:textFill>
                    </w:rPr>
                    <w:t>板材</w:t>
                  </w:r>
                  <w:r>
                    <w:rPr>
                      <w:color w:val="000000" w:themeColor="text1"/>
                      <w:szCs w:val="21"/>
                      <w14:textFill>
                        <w14:solidFill>
                          <w14:schemeClr w14:val="tx1"/>
                        </w14:solidFill>
                      </w14:textFill>
                    </w:rPr>
                    <w:t>雕刻，建筑面积</w:t>
                  </w:r>
                  <w:r>
                    <w:rPr>
                      <w:rFonts w:hint="eastAsia"/>
                      <w:color w:val="000000" w:themeColor="text1"/>
                      <w:szCs w:val="21"/>
                      <w:lang w:val="en-US" w:eastAsia="zh-CN"/>
                      <w14:textFill>
                        <w14:solidFill>
                          <w14:schemeClr w14:val="tx1"/>
                        </w14:solidFill>
                      </w14:textFill>
                    </w:rPr>
                    <w:t>2</w:t>
                  </w:r>
                  <w:r>
                    <w:rPr>
                      <w:color w:val="000000" w:themeColor="text1"/>
                      <w:szCs w:val="21"/>
                      <w14:textFill>
                        <w14:solidFill>
                          <w14:schemeClr w14:val="tx1"/>
                        </w14:solidFill>
                      </w14:textFill>
                    </w:rPr>
                    <w:t>00m</w:t>
                  </w:r>
                  <w:r>
                    <w:rPr>
                      <w:color w:val="000000" w:themeColor="text1"/>
                      <w:szCs w:val="21"/>
                      <w:vertAlign w:val="superscript"/>
                      <w14:textFill>
                        <w14:solidFill>
                          <w14:schemeClr w14:val="tx1"/>
                        </w14:solidFill>
                      </w14:textFill>
                    </w:rPr>
                    <w:t>2</w:t>
                  </w:r>
                </w:p>
              </w:tc>
              <w:tc>
                <w:tcPr>
                  <w:tcW w:w="123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353" w:type="dxa"/>
                  <w:vMerge w:val="continue"/>
                  <w:vAlign w:val="center"/>
                </w:tcPr>
                <w:p>
                  <w:pPr>
                    <w:jc w:val="center"/>
                    <w:rPr>
                      <w:color w:val="000000"/>
                      <w:szCs w:val="21"/>
                    </w:rPr>
                  </w:pPr>
                </w:p>
              </w:tc>
              <w:tc>
                <w:tcPr>
                  <w:tcW w:w="1417" w:type="dxa"/>
                  <w:vAlign w:val="center"/>
                </w:tcPr>
                <w:p>
                  <w:pPr>
                    <w:jc w:val="center"/>
                    <w:rPr>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封修边</w:t>
                  </w:r>
                  <w:r>
                    <w:rPr>
                      <w:color w:val="000000" w:themeColor="text1"/>
                      <w:szCs w:val="21"/>
                      <w14:textFill>
                        <w14:solidFill>
                          <w14:schemeClr w14:val="tx1"/>
                        </w14:solidFill>
                      </w14:textFill>
                    </w:rPr>
                    <w:t>区</w:t>
                  </w:r>
                </w:p>
              </w:tc>
              <w:tc>
                <w:tcPr>
                  <w:tcW w:w="394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位于厂区</w:t>
                  </w:r>
                  <w:r>
                    <w:rPr>
                      <w:rFonts w:hint="eastAsia"/>
                      <w:color w:val="000000" w:themeColor="text1"/>
                      <w:szCs w:val="21"/>
                      <w:lang w:val="en-US" w:eastAsia="zh-CN"/>
                      <w14:textFill>
                        <w14:solidFill>
                          <w14:schemeClr w14:val="tx1"/>
                        </w14:solidFill>
                      </w14:textFill>
                    </w:rPr>
                    <w:t>南</w:t>
                  </w:r>
                  <w:r>
                    <w:rPr>
                      <w:color w:val="000000" w:themeColor="text1"/>
                      <w:szCs w:val="21"/>
                      <w14:textFill>
                        <w14:solidFill>
                          <w14:schemeClr w14:val="tx1"/>
                        </w14:solidFill>
                      </w14:textFill>
                    </w:rPr>
                    <w:t>侧，</w:t>
                  </w:r>
                  <w:r>
                    <w:rPr>
                      <w:rFonts w:hint="eastAsia"/>
                      <w:color w:val="000000" w:themeColor="text1"/>
                      <w:szCs w:val="21"/>
                      <w:lang w:val="en-US" w:eastAsia="zh-CN"/>
                      <w14:textFill>
                        <w14:solidFill>
                          <w14:schemeClr w14:val="tx1"/>
                        </w14:solidFill>
                      </w14:textFill>
                    </w:rPr>
                    <w:t>设置1台</w:t>
                  </w:r>
                  <w:r>
                    <w:rPr>
                      <w:rFonts w:hint="eastAsia" w:ascii="宋体" w:hAnsi="宋体" w:cs="宋体"/>
                      <w:color w:val="000000" w:themeColor="text1"/>
                      <w:szCs w:val="21"/>
                      <w14:textFill>
                        <w14:solidFill>
                          <w14:schemeClr w14:val="tx1"/>
                        </w14:solidFill>
                      </w14:textFill>
                    </w:rPr>
                    <w:t>热熔</w:t>
                  </w:r>
                  <w:r>
                    <w:rPr>
                      <w:rFonts w:ascii="宋体" w:hAnsi="宋体" w:cs="宋体"/>
                      <w:color w:val="000000" w:themeColor="text1"/>
                      <w:szCs w:val="21"/>
                      <w14:textFill>
                        <w14:solidFill>
                          <w14:schemeClr w14:val="tx1"/>
                        </w14:solidFill>
                      </w14:textFill>
                    </w:rPr>
                    <w:t>封边机</w:t>
                  </w:r>
                  <w:r>
                    <w:rPr>
                      <w:rFonts w:hint="eastAsia" w:ascii="Times New Roman" w:hAnsi="Times New Roman" w:eastAsia="宋体" w:cs="Times New Roman"/>
                      <w:color w:val="000000" w:themeColor="text1"/>
                      <w:szCs w:val="21"/>
                      <w:lang w:val="en-US" w:eastAsia="zh-CN"/>
                      <w14:textFill>
                        <w14:solidFill>
                          <w14:schemeClr w14:val="tx1"/>
                        </w14:solidFill>
                      </w14:textFill>
                    </w:rPr>
                    <w:t>、2台双轴修边机，用于板材封边和板材</w:t>
                  </w:r>
                  <w:r>
                    <w:rPr>
                      <w:rFonts w:ascii="宋体" w:hAnsi="宋体" w:cs="宋体"/>
                      <w:color w:val="000000" w:themeColor="text1"/>
                      <w:szCs w:val="21"/>
                      <w14:textFill>
                        <w14:solidFill>
                          <w14:schemeClr w14:val="tx1"/>
                        </w14:solidFill>
                      </w14:textFill>
                    </w:rPr>
                    <w:t>修边</w:t>
                  </w:r>
                  <w:r>
                    <w:rPr>
                      <w:color w:val="000000" w:themeColor="text1"/>
                      <w:szCs w:val="21"/>
                      <w14:textFill>
                        <w14:solidFill>
                          <w14:schemeClr w14:val="tx1"/>
                        </w14:solidFill>
                      </w14:textFill>
                    </w:rPr>
                    <w:t>，建筑面积</w:t>
                  </w:r>
                  <w:r>
                    <w:rPr>
                      <w:rFonts w:hint="eastAsia"/>
                      <w:color w:val="000000" w:themeColor="text1"/>
                      <w:szCs w:val="21"/>
                      <w:lang w:val="en-US" w:eastAsia="zh-CN"/>
                      <w14:textFill>
                        <w14:solidFill>
                          <w14:schemeClr w14:val="tx1"/>
                        </w14:solidFill>
                      </w14:textFill>
                    </w:rPr>
                    <w:t>30</w:t>
                  </w:r>
                  <w:r>
                    <w:rPr>
                      <w:color w:val="000000" w:themeColor="text1"/>
                      <w:szCs w:val="21"/>
                      <w14:textFill>
                        <w14:solidFill>
                          <w14:schemeClr w14:val="tx1"/>
                        </w14:solidFill>
                      </w14:textFill>
                    </w:rPr>
                    <w:t>0m</w:t>
                  </w:r>
                  <w:r>
                    <w:rPr>
                      <w:color w:val="000000" w:themeColor="text1"/>
                      <w:szCs w:val="21"/>
                      <w:vertAlign w:val="superscript"/>
                      <w14:textFill>
                        <w14:solidFill>
                          <w14:schemeClr w14:val="tx1"/>
                        </w14:solidFill>
                      </w14:textFill>
                    </w:rPr>
                    <w:t>2</w:t>
                  </w:r>
                </w:p>
              </w:tc>
              <w:tc>
                <w:tcPr>
                  <w:tcW w:w="123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353" w:type="dxa"/>
                  <w:vMerge w:val="continue"/>
                  <w:vAlign w:val="center"/>
                </w:tcPr>
                <w:p>
                  <w:pPr>
                    <w:jc w:val="center"/>
                    <w:rPr>
                      <w:color w:val="000000"/>
                      <w:szCs w:val="21"/>
                    </w:rPr>
                  </w:pPr>
                </w:p>
              </w:tc>
              <w:tc>
                <w:tcPr>
                  <w:tcW w:w="141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组装区</w:t>
                  </w:r>
                </w:p>
              </w:tc>
              <w:tc>
                <w:tcPr>
                  <w:tcW w:w="3945" w:type="dxa"/>
                  <w:vAlign w:val="center"/>
                </w:tcPr>
                <w:p>
                  <w:pPr>
                    <w:jc w:val="center"/>
                    <w:rPr>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位于厂区</w:t>
                  </w:r>
                  <w:r>
                    <w:rPr>
                      <w:rFonts w:hint="eastAsia"/>
                      <w:color w:val="000000" w:themeColor="text1"/>
                      <w:szCs w:val="21"/>
                      <w:lang w:val="en-US" w:eastAsia="zh-CN"/>
                      <w14:textFill>
                        <w14:solidFill>
                          <w14:schemeClr w14:val="tx1"/>
                        </w14:solidFill>
                      </w14:textFill>
                    </w:rPr>
                    <w:t>南</w:t>
                  </w:r>
                  <w:r>
                    <w:rPr>
                      <w:rFonts w:ascii="宋体" w:hAnsi="宋体" w:cs="宋体"/>
                      <w:color w:val="000000" w:themeColor="text1"/>
                      <w:szCs w:val="21"/>
                      <w14:textFill>
                        <w14:solidFill>
                          <w14:schemeClr w14:val="tx1"/>
                        </w14:solidFill>
                      </w14:textFill>
                    </w:rPr>
                    <w:t>侧，用于艺术切片家居座椅组装</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建筑面积</w:t>
                  </w:r>
                  <w:r>
                    <w:rPr>
                      <w:rFonts w:hint="eastAsia"/>
                      <w:color w:val="000000" w:themeColor="text1"/>
                      <w:szCs w:val="21"/>
                      <w:lang w:val="en-US" w:eastAsia="zh-CN"/>
                      <w14:textFill>
                        <w14:solidFill>
                          <w14:schemeClr w14:val="tx1"/>
                        </w14:solidFill>
                      </w14:textFill>
                    </w:rPr>
                    <w:t>3</w:t>
                  </w:r>
                  <w:r>
                    <w:rPr>
                      <w:color w:val="000000" w:themeColor="text1"/>
                      <w:szCs w:val="21"/>
                      <w14:textFill>
                        <w14:solidFill>
                          <w14:schemeClr w14:val="tx1"/>
                        </w14:solidFill>
                      </w14:textFill>
                    </w:rPr>
                    <w:t>00m</w:t>
                  </w:r>
                  <w:r>
                    <w:rPr>
                      <w:color w:val="000000" w:themeColor="text1"/>
                      <w:szCs w:val="21"/>
                      <w:vertAlign w:val="superscript"/>
                      <w14:textFill>
                        <w14:solidFill>
                          <w14:schemeClr w14:val="tx1"/>
                        </w14:solidFill>
                      </w14:textFill>
                    </w:rPr>
                    <w:t>2</w:t>
                  </w:r>
                </w:p>
              </w:tc>
              <w:tc>
                <w:tcPr>
                  <w:tcW w:w="123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353" w:type="dxa"/>
                  <w:vMerge w:val="continue"/>
                  <w:vAlign w:val="center"/>
                </w:tcPr>
                <w:p>
                  <w:pPr>
                    <w:jc w:val="center"/>
                    <w:rPr>
                      <w:color w:val="000000"/>
                      <w:szCs w:val="21"/>
                    </w:rPr>
                  </w:pPr>
                </w:p>
              </w:tc>
              <w:tc>
                <w:tcPr>
                  <w:tcW w:w="1417" w:type="dxa"/>
                  <w:vAlign w:val="center"/>
                </w:tcPr>
                <w:p>
                  <w:pPr>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喷漆房</w:t>
                  </w:r>
                </w:p>
              </w:tc>
              <w:tc>
                <w:tcPr>
                  <w:tcW w:w="3945" w:type="dxa"/>
                  <w:vAlign w:val="center"/>
                </w:tcPr>
                <w:p>
                  <w:pPr>
                    <w:jc w:val="center"/>
                    <w:rPr>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位于厂区西南侧，用于产品喷漆</w:t>
                  </w:r>
                  <w:r>
                    <w:rPr>
                      <w:rFonts w:hint="eastAsia" w:ascii="宋体" w:hAnsi="宋体" w:cs="宋体"/>
                      <w:color w:val="000000" w:themeColor="text1"/>
                      <w:szCs w:val="21"/>
                      <w14:textFill>
                        <w14:solidFill>
                          <w14:schemeClr w14:val="tx1"/>
                        </w14:solidFill>
                      </w14:textFill>
                    </w:rPr>
                    <w:t>，</w:t>
                  </w:r>
                  <w:r>
                    <w:rPr>
                      <w:color w:val="000000" w:themeColor="text1"/>
                      <w:szCs w:val="21"/>
                      <w14:textFill>
                        <w14:solidFill>
                          <w14:schemeClr w14:val="tx1"/>
                        </w14:solidFill>
                      </w14:textFill>
                    </w:rPr>
                    <w:t>建筑面积2</w:t>
                  </w:r>
                  <w:r>
                    <w:rPr>
                      <w:rFonts w:hint="eastAsia"/>
                      <w:color w:val="000000" w:themeColor="text1"/>
                      <w:szCs w:val="21"/>
                      <w:lang w:val="en-US" w:eastAsia="zh-CN"/>
                      <w14:textFill>
                        <w14:solidFill>
                          <w14:schemeClr w14:val="tx1"/>
                        </w14:solidFill>
                      </w14:textFill>
                    </w:rPr>
                    <w:t>4</w:t>
                  </w:r>
                  <w:r>
                    <w:rPr>
                      <w:color w:val="000000" w:themeColor="text1"/>
                      <w:szCs w:val="21"/>
                      <w14:textFill>
                        <w14:solidFill>
                          <w14:schemeClr w14:val="tx1"/>
                        </w14:solidFill>
                      </w14:textFill>
                    </w:rPr>
                    <w:t>0m</w:t>
                  </w:r>
                  <w:r>
                    <w:rPr>
                      <w:color w:val="000000" w:themeColor="text1"/>
                      <w:szCs w:val="21"/>
                      <w:vertAlign w:val="superscript"/>
                      <w14:textFill>
                        <w14:solidFill>
                          <w14:schemeClr w14:val="tx1"/>
                        </w14:solidFill>
                      </w14:textFill>
                    </w:rPr>
                    <w:t>2</w:t>
                  </w:r>
                </w:p>
              </w:tc>
              <w:tc>
                <w:tcPr>
                  <w:tcW w:w="123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353" w:type="dxa"/>
                  <w:vAlign w:val="center"/>
                </w:tcPr>
                <w:p>
                  <w:pPr>
                    <w:jc w:val="center"/>
                    <w:rPr>
                      <w:b/>
                      <w:kern w:val="0"/>
                      <w:sz w:val="24"/>
                    </w:rPr>
                  </w:pPr>
                  <w:r>
                    <w:rPr>
                      <w:color w:val="000000"/>
                      <w:szCs w:val="21"/>
                    </w:rPr>
                    <w:t>辅助工程</w:t>
                  </w:r>
                </w:p>
              </w:tc>
              <w:tc>
                <w:tcPr>
                  <w:tcW w:w="1417" w:type="dxa"/>
                  <w:vAlign w:val="center"/>
                </w:tcPr>
                <w:p>
                  <w:pPr>
                    <w:jc w:val="center"/>
                    <w:rPr>
                      <w:b/>
                      <w:kern w:val="0"/>
                      <w:sz w:val="24"/>
                    </w:rPr>
                  </w:pPr>
                  <w:r>
                    <w:rPr>
                      <w:szCs w:val="21"/>
                    </w:rPr>
                    <w:t>办公区</w:t>
                  </w:r>
                </w:p>
              </w:tc>
              <w:tc>
                <w:tcPr>
                  <w:tcW w:w="3945" w:type="dxa"/>
                  <w:vAlign w:val="center"/>
                </w:tcPr>
                <w:p>
                  <w:pPr>
                    <w:jc w:val="center"/>
                    <w:rPr>
                      <w:b/>
                      <w:kern w:val="0"/>
                      <w:szCs w:val="21"/>
                    </w:rPr>
                  </w:pPr>
                  <w:r>
                    <w:rPr>
                      <w:rFonts w:ascii="宋体" w:hAnsi="宋体" w:eastAsia="宋体" w:cs="宋体"/>
                      <w:color w:val="000000" w:themeColor="text1"/>
                      <w:szCs w:val="21"/>
                      <w14:textFill>
                        <w14:solidFill>
                          <w14:schemeClr w14:val="tx1"/>
                        </w14:solidFill>
                      </w14:textFill>
                    </w:rPr>
                    <w:t>本项目厂区不设置办公室</w:t>
                  </w:r>
                </w:p>
              </w:tc>
              <w:tc>
                <w:tcPr>
                  <w:tcW w:w="1230" w:type="dxa"/>
                  <w:vAlign w:val="center"/>
                </w:tcPr>
                <w:p>
                  <w:pPr>
                    <w:jc w:val="center"/>
                    <w:rPr>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3" w:type="dxa"/>
                  <w:vMerge w:val="restart"/>
                  <w:vAlign w:val="center"/>
                </w:tcPr>
                <w:p>
                  <w:pPr>
                    <w:jc w:val="center"/>
                    <w:rPr>
                      <w:b/>
                      <w:kern w:val="0"/>
                      <w:sz w:val="24"/>
                    </w:rPr>
                  </w:pPr>
                  <w:r>
                    <w:rPr>
                      <w:color w:val="000000"/>
                      <w:szCs w:val="21"/>
                    </w:rPr>
                    <w:t>储运工程</w:t>
                  </w:r>
                </w:p>
              </w:tc>
              <w:tc>
                <w:tcPr>
                  <w:tcW w:w="1417"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原料仓库</w:t>
                  </w:r>
                </w:p>
              </w:tc>
              <w:tc>
                <w:tcPr>
                  <w:tcW w:w="3945" w:type="dxa"/>
                  <w:vAlign w:val="center"/>
                </w:tcPr>
                <w:p>
                  <w:pPr>
                    <w:jc w:val="center"/>
                    <w:rPr>
                      <w:b/>
                      <w:kern w:val="0"/>
                      <w:sz w:val="24"/>
                    </w:rPr>
                  </w:pPr>
                  <w:r>
                    <w:rPr>
                      <w:szCs w:val="21"/>
                    </w:rPr>
                    <w:t>位于厂区</w:t>
                  </w:r>
                  <w:r>
                    <w:rPr>
                      <w:rFonts w:hint="eastAsia"/>
                      <w:szCs w:val="21"/>
                      <w:lang w:val="en-US" w:eastAsia="zh-CN"/>
                    </w:rPr>
                    <w:t>西南</w:t>
                  </w:r>
                  <w:r>
                    <w:rPr>
                      <w:szCs w:val="21"/>
                    </w:rPr>
                    <w:t>侧，用于存放</w:t>
                  </w:r>
                  <w:r>
                    <w:rPr>
                      <w:rFonts w:hint="eastAsia"/>
                      <w:szCs w:val="21"/>
                      <w:lang w:val="en-US" w:eastAsia="zh-CN"/>
                    </w:rPr>
                    <w:t>包装</w:t>
                  </w:r>
                  <w:r>
                    <w:rPr>
                      <w:szCs w:val="21"/>
                    </w:rPr>
                    <w:t>材料</w:t>
                  </w:r>
                  <w:r>
                    <w:rPr>
                      <w:rFonts w:ascii="宋体" w:hAnsi="宋体" w:eastAsia="宋体" w:cs="宋体"/>
                      <w:color w:val="000000" w:themeColor="text1"/>
                      <w:szCs w:val="21"/>
                      <w14:textFill>
                        <w14:solidFill>
                          <w14:schemeClr w14:val="tx1"/>
                        </w14:solidFill>
                      </w14:textFill>
                    </w:rPr>
                    <w:t>及其他原材料</w:t>
                  </w:r>
                  <w:r>
                    <w:rPr>
                      <w:szCs w:val="21"/>
                    </w:rPr>
                    <w:t>，建筑面积</w:t>
                  </w:r>
                  <w:r>
                    <w:rPr>
                      <w:rFonts w:hint="eastAsia"/>
                      <w:szCs w:val="21"/>
                      <w:lang w:val="en-US" w:eastAsia="zh-CN"/>
                    </w:rPr>
                    <w:t>2</w:t>
                  </w:r>
                  <w:r>
                    <w:rPr>
                      <w:rFonts w:hint="eastAsia"/>
                      <w:szCs w:val="21"/>
                    </w:rPr>
                    <w:t>0</w:t>
                  </w:r>
                  <w:r>
                    <w:rPr>
                      <w:szCs w:val="21"/>
                    </w:rPr>
                    <w:t>0m</w:t>
                  </w:r>
                  <w:r>
                    <w:rPr>
                      <w:szCs w:val="21"/>
                      <w:vertAlign w:val="superscript"/>
                    </w:rPr>
                    <w:t>2</w:t>
                  </w:r>
                </w:p>
              </w:tc>
              <w:tc>
                <w:tcPr>
                  <w:tcW w:w="1230" w:type="dxa"/>
                  <w:vAlign w:val="center"/>
                </w:tcPr>
                <w:p>
                  <w:pPr>
                    <w:jc w:val="center"/>
                    <w:rPr>
                      <w:rFonts w:hint="eastAsia" w:eastAsia="宋体"/>
                      <w:szCs w:val="21"/>
                      <w:lang w:eastAsia="zh-CN"/>
                    </w:rPr>
                  </w:pPr>
                  <w:r>
                    <w:rPr>
                      <w:rFonts w:hint="eastAsia" w:ascii="宋体" w:hAnsi="宋体" w:cs="宋体"/>
                      <w:sz w:val="21"/>
                      <w:szCs w:val="21"/>
                    </w:rPr>
                    <w:t>依托现有</w:t>
                  </w:r>
                  <w:r>
                    <w:rPr>
                      <w:rFonts w:hint="eastAsia" w:ascii="宋体" w:hAnsi="宋体" w:eastAsia="宋体" w:cs="宋体"/>
                      <w:sz w:val="21"/>
                      <w:szCs w:val="21"/>
                    </w:rPr>
                    <w:t>空置厂</w:t>
                  </w:r>
                  <w:r>
                    <w:rPr>
                      <w:rFonts w:hint="eastAsia" w:ascii="宋体" w:hAnsi="宋体" w:cs="宋体"/>
                      <w:sz w:val="21"/>
                      <w:szCs w:val="21"/>
                    </w:rPr>
                    <w:t>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3" w:type="dxa"/>
                  <w:vMerge w:val="continue"/>
                  <w:vAlign w:val="center"/>
                </w:tcPr>
                <w:p>
                  <w:pPr>
                    <w:jc w:val="center"/>
                    <w:rPr>
                      <w:color w:val="000000"/>
                      <w:szCs w:val="21"/>
                    </w:rPr>
                  </w:pPr>
                </w:p>
              </w:tc>
              <w:tc>
                <w:tcPr>
                  <w:tcW w:w="1417" w:type="dxa"/>
                  <w:vAlign w:val="center"/>
                </w:tcPr>
                <w:p>
                  <w:pPr>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板材存放区</w:t>
                  </w:r>
                </w:p>
              </w:tc>
              <w:tc>
                <w:tcPr>
                  <w:tcW w:w="3945" w:type="dxa"/>
                  <w:vAlign w:val="center"/>
                </w:tcPr>
                <w:p>
                  <w:pPr>
                    <w:jc w:val="center"/>
                    <w:rPr>
                      <w:rFonts w:ascii="Times New Roman" w:hAnsi="Times New Roman" w:eastAsia="宋体" w:cs="Times New Roman"/>
                      <w:szCs w:val="21"/>
                    </w:rPr>
                  </w:pPr>
                  <w:r>
                    <w:rPr>
                      <w:szCs w:val="21"/>
                    </w:rPr>
                    <w:t>位于厂区北侧，用于存放</w:t>
                  </w:r>
                  <w:r>
                    <w:rPr>
                      <w:rFonts w:ascii="宋体" w:hAnsi="宋体" w:eastAsia="宋体" w:cs="宋体"/>
                      <w:color w:val="000000" w:themeColor="text1"/>
                      <w:szCs w:val="21"/>
                      <w14:textFill>
                        <w14:solidFill>
                          <w14:schemeClr w14:val="tx1"/>
                        </w14:solidFill>
                      </w14:textFill>
                    </w:rPr>
                    <w:t>原材料</w:t>
                  </w:r>
                  <w:r>
                    <w:rPr>
                      <w:rFonts w:hint="eastAsia" w:ascii="Times New Roman" w:hAnsi="Times New Roman" w:eastAsia="宋体" w:cs="Times New Roman"/>
                      <w:szCs w:val="21"/>
                      <w:lang w:val="en-US" w:eastAsia="zh-CN"/>
                    </w:rPr>
                    <w:t>板材</w:t>
                  </w:r>
                  <w:r>
                    <w:rPr>
                      <w:szCs w:val="21"/>
                    </w:rPr>
                    <w:t>，建筑面积</w:t>
                  </w:r>
                  <w:r>
                    <w:rPr>
                      <w:rFonts w:hint="eastAsia"/>
                      <w:szCs w:val="21"/>
                      <w:lang w:val="en-US" w:eastAsia="zh-CN"/>
                    </w:rPr>
                    <w:t>2</w:t>
                  </w:r>
                  <w:r>
                    <w:rPr>
                      <w:rFonts w:hint="eastAsia"/>
                      <w:szCs w:val="21"/>
                    </w:rPr>
                    <w:t>0</w:t>
                  </w:r>
                  <w:r>
                    <w:rPr>
                      <w:szCs w:val="21"/>
                    </w:rPr>
                    <w:t>0m</w:t>
                  </w:r>
                  <w:r>
                    <w:rPr>
                      <w:szCs w:val="21"/>
                      <w:vertAlign w:val="superscript"/>
                    </w:rPr>
                    <w:t>2</w:t>
                  </w:r>
                </w:p>
              </w:tc>
              <w:tc>
                <w:tcPr>
                  <w:tcW w:w="1230" w:type="dxa"/>
                  <w:vAlign w:val="center"/>
                </w:tcPr>
                <w:p>
                  <w:pPr>
                    <w:jc w:val="center"/>
                    <w:rPr>
                      <w:rFonts w:hint="eastAsia" w:ascii="宋体" w:hAnsi="宋体" w:cs="宋体"/>
                      <w:sz w:val="21"/>
                      <w:szCs w:val="21"/>
                    </w:rPr>
                  </w:pPr>
                  <w:r>
                    <w:rPr>
                      <w:rFonts w:hint="eastAsia" w:ascii="宋体" w:hAnsi="宋体" w:cs="宋体"/>
                      <w:sz w:val="21"/>
                      <w:szCs w:val="21"/>
                    </w:rPr>
                    <w:t>依托现有</w:t>
                  </w:r>
                  <w:r>
                    <w:rPr>
                      <w:rFonts w:hint="eastAsia" w:ascii="宋体" w:hAnsi="宋体" w:eastAsia="宋体" w:cs="宋体"/>
                      <w:sz w:val="21"/>
                      <w:szCs w:val="21"/>
                    </w:rPr>
                    <w:t>空置厂</w:t>
                  </w:r>
                  <w:r>
                    <w:rPr>
                      <w:rFonts w:hint="eastAsia" w:ascii="宋体" w:hAnsi="宋体" w:cs="宋体"/>
                      <w:sz w:val="21"/>
                      <w:szCs w:val="21"/>
                    </w:rPr>
                    <w:t>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3" w:type="dxa"/>
                  <w:vMerge w:val="continue"/>
                  <w:vAlign w:val="center"/>
                </w:tcPr>
                <w:p>
                  <w:pPr>
                    <w:jc w:val="center"/>
                    <w:rPr>
                      <w:b/>
                      <w:kern w:val="0"/>
                      <w:sz w:val="24"/>
                    </w:rPr>
                  </w:pPr>
                </w:p>
              </w:tc>
              <w:tc>
                <w:tcPr>
                  <w:tcW w:w="1417" w:type="dxa"/>
                  <w:vAlign w:val="center"/>
                </w:tcPr>
                <w:p>
                  <w:pPr>
                    <w:jc w:val="center"/>
                    <w:rPr>
                      <w:b/>
                      <w:kern w:val="0"/>
                      <w:sz w:val="24"/>
                    </w:rPr>
                  </w:pPr>
                  <w:r>
                    <w:rPr>
                      <w:szCs w:val="21"/>
                    </w:rPr>
                    <w:t>成品仓库</w:t>
                  </w:r>
                </w:p>
              </w:tc>
              <w:tc>
                <w:tcPr>
                  <w:tcW w:w="3945" w:type="dxa"/>
                  <w:vAlign w:val="center"/>
                </w:tcPr>
                <w:p>
                  <w:pPr>
                    <w:jc w:val="center"/>
                    <w:rPr>
                      <w:b/>
                      <w:kern w:val="0"/>
                      <w:sz w:val="24"/>
                    </w:rPr>
                  </w:pPr>
                  <w:r>
                    <w:rPr>
                      <w:szCs w:val="21"/>
                    </w:rPr>
                    <w:t>位于厂区</w:t>
                  </w:r>
                  <w:r>
                    <w:rPr>
                      <w:rFonts w:hint="eastAsia"/>
                      <w:szCs w:val="21"/>
                    </w:rPr>
                    <w:t>东</w:t>
                  </w:r>
                  <w:r>
                    <w:rPr>
                      <w:szCs w:val="21"/>
                    </w:rPr>
                    <w:t>北侧，用于存放成品</w:t>
                  </w:r>
                  <w:r>
                    <w:rPr>
                      <w:rFonts w:ascii="Times New Roman" w:hAnsi="Times New Roman" w:eastAsia="宋体" w:cs="Times New Roman"/>
                      <w:szCs w:val="21"/>
                    </w:rPr>
                    <w:t>及半成品</w:t>
                  </w:r>
                  <w:r>
                    <w:rPr>
                      <w:szCs w:val="21"/>
                    </w:rPr>
                    <w:t>，建筑面积</w:t>
                  </w:r>
                  <w:r>
                    <w:rPr>
                      <w:rFonts w:hint="eastAsia"/>
                      <w:szCs w:val="21"/>
                      <w:lang w:val="en-US" w:eastAsia="zh-CN"/>
                    </w:rPr>
                    <w:t>2</w:t>
                  </w:r>
                  <w:r>
                    <w:rPr>
                      <w:rFonts w:hint="eastAsia"/>
                      <w:szCs w:val="21"/>
                    </w:rPr>
                    <w:t>0</w:t>
                  </w:r>
                  <w:r>
                    <w:rPr>
                      <w:szCs w:val="21"/>
                    </w:rPr>
                    <w:t>0m</w:t>
                  </w:r>
                  <w:r>
                    <w:rPr>
                      <w:szCs w:val="21"/>
                      <w:vertAlign w:val="superscript"/>
                    </w:rPr>
                    <w:t>2</w:t>
                  </w:r>
                </w:p>
              </w:tc>
              <w:tc>
                <w:tcPr>
                  <w:tcW w:w="1230" w:type="dxa"/>
                  <w:vAlign w:val="center"/>
                </w:tcPr>
                <w:p>
                  <w:pPr>
                    <w:jc w:val="center"/>
                    <w:rPr>
                      <w:szCs w:val="21"/>
                    </w:rPr>
                  </w:pPr>
                  <w:r>
                    <w:rPr>
                      <w:rFonts w:hint="eastAsia" w:ascii="宋体" w:hAnsi="宋体" w:cs="宋体"/>
                      <w:sz w:val="21"/>
                      <w:szCs w:val="21"/>
                    </w:rPr>
                    <w:t>依托现有</w:t>
                  </w:r>
                  <w:r>
                    <w:rPr>
                      <w:rFonts w:hint="eastAsia" w:ascii="宋体" w:hAnsi="宋体" w:eastAsia="宋体" w:cs="宋体"/>
                      <w:sz w:val="21"/>
                      <w:szCs w:val="21"/>
                    </w:rPr>
                    <w:t>空置厂</w:t>
                  </w:r>
                  <w:r>
                    <w:rPr>
                      <w:rFonts w:hint="eastAsia" w:ascii="宋体" w:hAnsi="宋体" w:cs="宋体"/>
                      <w:sz w:val="21"/>
                      <w:szCs w:val="21"/>
                    </w:rPr>
                    <w:t>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3" w:type="dxa"/>
                  <w:vMerge w:val="continue"/>
                  <w:vAlign w:val="center"/>
                </w:tcPr>
                <w:p>
                  <w:pPr>
                    <w:jc w:val="center"/>
                    <w:rPr>
                      <w:b/>
                      <w:kern w:val="0"/>
                      <w:sz w:val="24"/>
                    </w:rPr>
                  </w:pPr>
                </w:p>
              </w:tc>
              <w:tc>
                <w:tcPr>
                  <w:tcW w:w="1417" w:type="dxa"/>
                  <w:vAlign w:val="center"/>
                </w:tcPr>
                <w:p>
                  <w:pPr>
                    <w:jc w:val="center"/>
                    <w:rPr>
                      <w:szCs w:val="21"/>
                    </w:rPr>
                  </w:pPr>
                  <w:r>
                    <w:rPr>
                      <w:rFonts w:hint="eastAsia"/>
                      <w:szCs w:val="21"/>
                    </w:rPr>
                    <w:t>油漆储存区</w:t>
                  </w:r>
                </w:p>
              </w:tc>
              <w:tc>
                <w:tcPr>
                  <w:tcW w:w="3945" w:type="dxa"/>
                  <w:vAlign w:val="center"/>
                </w:tcPr>
                <w:p>
                  <w:pPr>
                    <w:jc w:val="center"/>
                    <w:rPr>
                      <w:szCs w:val="21"/>
                    </w:rPr>
                  </w:pPr>
                  <w:r>
                    <w:rPr>
                      <w:rFonts w:hint="eastAsia"/>
                      <w:szCs w:val="21"/>
                    </w:rPr>
                    <w:t>油漆储存区</w:t>
                  </w:r>
                  <w:r>
                    <w:rPr>
                      <w:szCs w:val="21"/>
                    </w:rPr>
                    <w:t>位于喷漆房南侧，用于存放油漆，建筑面积</w:t>
                  </w:r>
                  <w:r>
                    <w:rPr>
                      <w:rFonts w:hint="eastAsia"/>
                      <w:szCs w:val="21"/>
                    </w:rPr>
                    <w:t>3</w:t>
                  </w:r>
                  <w:r>
                    <w:rPr>
                      <w:szCs w:val="21"/>
                    </w:rPr>
                    <w:t>0m</w:t>
                  </w:r>
                  <w:r>
                    <w:rPr>
                      <w:szCs w:val="21"/>
                      <w:vertAlign w:val="superscript"/>
                    </w:rPr>
                    <w:t>2</w:t>
                  </w:r>
                </w:p>
              </w:tc>
              <w:tc>
                <w:tcPr>
                  <w:tcW w:w="1230" w:type="dxa"/>
                  <w:vAlign w:val="center"/>
                </w:tcPr>
                <w:p>
                  <w:pPr>
                    <w:jc w:val="center"/>
                    <w:rPr>
                      <w:szCs w:val="21"/>
                    </w:rPr>
                  </w:pPr>
                  <w:r>
                    <w:rPr>
                      <w:rFonts w:hint="eastAsia" w:ascii="宋体" w:hAnsi="宋体" w:cs="宋体"/>
                      <w:sz w:val="21"/>
                      <w:szCs w:val="21"/>
                    </w:rPr>
                    <w:t>依托现有</w:t>
                  </w:r>
                  <w:r>
                    <w:rPr>
                      <w:rFonts w:hint="eastAsia" w:ascii="宋体" w:hAnsi="宋体" w:eastAsia="宋体" w:cs="宋体"/>
                      <w:sz w:val="21"/>
                      <w:szCs w:val="21"/>
                    </w:rPr>
                    <w:t>空置厂</w:t>
                  </w:r>
                  <w:r>
                    <w:rPr>
                      <w:rFonts w:hint="eastAsia" w:ascii="宋体" w:hAnsi="宋体" w:cs="宋体"/>
                      <w:sz w:val="21"/>
                      <w:szCs w:val="21"/>
                    </w:rPr>
                    <w:t>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3" w:type="dxa"/>
                  <w:vMerge w:val="restart"/>
                  <w:vAlign w:val="center"/>
                </w:tcPr>
                <w:p>
                  <w:pPr>
                    <w:jc w:val="center"/>
                    <w:rPr>
                      <w:b/>
                      <w:kern w:val="0"/>
                      <w:sz w:val="24"/>
                    </w:rPr>
                  </w:pPr>
                  <w:r>
                    <w:rPr>
                      <w:color w:val="000000"/>
                      <w:szCs w:val="21"/>
                    </w:rPr>
                    <w:t>公用工程</w:t>
                  </w:r>
                </w:p>
              </w:tc>
              <w:tc>
                <w:tcPr>
                  <w:tcW w:w="1417" w:type="dxa"/>
                  <w:vAlign w:val="center"/>
                </w:tcPr>
                <w:p>
                  <w:pPr>
                    <w:jc w:val="center"/>
                    <w:rPr>
                      <w:b/>
                      <w:kern w:val="0"/>
                      <w:sz w:val="24"/>
                    </w:rPr>
                  </w:pPr>
                  <w:r>
                    <w:rPr>
                      <w:szCs w:val="21"/>
                    </w:rPr>
                    <w:t>供电</w:t>
                  </w:r>
                </w:p>
              </w:tc>
              <w:tc>
                <w:tcPr>
                  <w:tcW w:w="3945" w:type="dxa"/>
                  <w:vAlign w:val="center"/>
                </w:tcPr>
                <w:p>
                  <w:pPr>
                    <w:jc w:val="center"/>
                    <w:rPr>
                      <w:szCs w:val="21"/>
                    </w:rPr>
                  </w:pPr>
                  <w:r>
                    <w:rPr>
                      <w:szCs w:val="21"/>
                    </w:rPr>
                    <w:t>当地供电电网供电</w:t>
                  </w:r>
                </w:p>
              </w:tc>
              <w:tc>
                <w:tcPr>
                  <w:tcW w:w="1230" w:type="dxa"/>
                  <w:vAlign w:val="center"/>
                </w:tcPr>
                <w:p>
                  <w:pPr>
                    <w:jc w:val="center"/>
                    <w:rPr>
                      <w:szCs w:val="21"/>
                    </w:rPr>
                  </w:pPr>
                  <w:r>
                    <w:rPr>
                      <w:rFonts w:hint="eastAsia"/>
                      <w:kern w:val="0"/>
                      <w:szCs w:val="21"/>
                    </w:rPr>
                    <w:t>依托</w:t>
                  </w:r>
                  <w:r>
                    <w:rPr>
                      <w:szCs w:val="21"/>
                    </w:rPr>
                    <w:t>当地</w:t>
                  </w:r>
                  <w:r>
                    <w:rPr>
                      <w:rFonts w:hint="eastAsia"/>
                      <w:kern w:val="0"/>
                      <w:szCs w:val="21"/>
                    </w:rPr>
                    <w:t>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3" w:type="dxa"/>
                  <w:vMerge w:val="continue"/>
                  <w:vAlign w:val="center"/>
                </w:tcPr>
                <w:p>
                  <w:pPr>
                    <w:jc w:val="center"/>
                    <w:rPr>
                      <w:b/>
                      <w:kern w:val="0"/>
                      <w:sz w:val="24"/>
                    </w:rPr>
                  </w:pPr>
                </w:p>
              </w:tc>
              <w:tc>
                <w:tcPr>
                  <w:tcW w:w="1417" w:type="dxa"/>
                  <w:vAlign w:val="center"/>
                </w:tcPr>
                <w:p>
                  <w:pPr>
                    <w:jc w:val="center"/>
                    <w:rPr>
                      <w:b/>
                      <w:kern w:val="0"/>
                      <w:sz w:val="24"/>
                    </w:rPr>
                  </w:pPr>
                  <w:r>
                    <w:rPr>
                      <w:szCs w:val="21"/>
                    </w:rPr>
                    <w:t>供水</w:t>
                  </w:r>
                </w:p>
              </w:tc>
              <w:tc>
                <w:tcPr>
                  <w:tcW w:w="3945" w:type="dxa"/>
                  <w:vAlign w:val="center"/>
                </w:tcPr>
                <w:p>
                  <w:pPr>
                    <w:jc w:val="center"/>
                    <w:rPr>
                      <w:bCs/>
                      <w:kern w:val="0"/>
                      <w:szCs w:val="21"/>
                    </w:rPr>
                  </w:pPr>
                  <w:r>
                    <w:rPr>
                      <w:szCs w:val="21"/>
                    </w:rPr>
                    <w:t>当地自来水管网供水</w:t>
                  </w:r>
                </w:p>
              </w:tc>
              <w:tc>
                <w:tcPr>
                  <w:tcW w:w="1230" w:type="dxa"/>
                  <w:vAlign w:val="center"/>
                </w:tcPr>
                <w:p>
                  <w:pPr>
                    <w:jc w:val="center"/>
                    <w:rPr>
                      <w:bCs/>
                      <w:kern w:val="0"/>
                      <w:szCs w:val="21"/>
                    </w:rPr>
                  </w:pPr>
                  <w:r>
                    <w:rPr>
                      <w:rFonts w:hint="eastAsia"/>
                      <w:kern w:val="0"/>
                      <w:szCs w:val="21"/>
                    </w:rPr>
                    <w:t>依托</w:t>
                  </w:r>
                  <w:r>
                    <w:rPr>
                      <w:szCs w:val="21"/>
                    </w:rPr>
                    <w:t>当地供水</w:t>
                  </w:r>
                  <w:r>
                    <w:rPr>
                      <w:rFonts w:hint="eastAsia"/>
                      <w:kern w:val="0"/>
                      <w:szCs w:val="21"/>
                    </w:rPr>
                    <w:t>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3" w:type="dxa"/>
                  <w:vMerge w:val="continue"/>
                  <w:vAlign w:val="center"/>
                </w:tcPr>
                <w:p>
                  <w:pPr>
                    <w:jc w:val="center"/>
                    <w:rPr>
                      <w:b/>
                      <w:kern w:val="0"/>
                      <w:sz w:val="24"/>
                    </w:rPr>
                  </w:pPr>
                </w:p>
              </w:tc>
              <w:tc>
                <w:tcPr>
                  <w:tcW w:w="1417" w:type="dxa"/>
                  <w:vAlign w:val="center"/>
                </w:tcPr>
                <w:p>
                  <w:pPr>
                    <w:jc w:val="center"/>
                    <w:rPr>
                      <w:b/>
                      <w:kern w:val="0"/>
                      <w:sz w:val="24"/>
                    </w:rPr>
                  </w:pPr>
                  <w:r>
                    <w:rPr>
                      <w:szCs w:val="21"/>
                    </w:rPr>
                    <w:t>排水</w:t>
                  </w:r>
                </w:p>
              </w:tc>
              <w:tc>
                <w:tcPr>
                  <w:tcW w:w="3945" w:type="dxa"/>
                  <w:vAlign w:val="center"/>
                </w:tcPr>
                <w:p>
                  <w:pPr>
                    <w:jc w:val="center"/>
                    <w:rPr>
                      <w:szCs w:val="21"/>
                    </w:rPr>
                  </w:pPr>
                  <w:r>
                    <w:rPr>
                      <w:szCs w:val="21"/>
                    </w:rPr>
                    <w:t>项目采用雨污分流。雨水进入当地雨水收集管网后进入市政雨水管网；生活污水依托化粪池处理后定期</w:t>
                  </w:r>
                  <w:r>
                    <w:rPr>
                      <w:rFonts w:hint="eastAsia"/>
                      <w:szCs w:val="21"/>
                    </w:rPr>
                    <w:t>清掏外运，不外排。</w:t>
                  </w:r>
                </w:p>
              </w:tc>
              <w:tc>
                <w:tcPr>
                  <w:tcW w:w="1230" w:type="dxa"/>
                  <w:vAlign w:val="center"/>
                </w:tcPr>
                <w:p>
                  <w:pPr>
                    <w:jc w:val="center"/>
                    <w:rPr>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3" w:type="dxa"/>
                  <w:vMerge w:val="restart"/>
                  <w:vAlign w:val="center"/>
                </w:tcPr>
                <w:p>
                  <w:pPr>
                    <w:jc w:val="center"/>
                    <w:rPr>
                      <w:b/>
                      <w:kern w:val="0"/>
                      <w:sz w:val="24"/>
                    </w:rPr>
                  </w:pPr>
                  <w:r>
                    <w:rPr>
                      <w:color w:val="000000"/>
                      <w:szCs w:val="21"/>
                    </w:rPr>
                    <w:t>环保工程</w:t>
                  </w:r>
                </w:p>
              </w:tc>
              <w:tc>
                <w:tcPr>
                  <w:tcW w:w="1417" w:type="dxa"/>
                  <w:vAlign w:val="center"/>
                </w:tcPr>
                <w:p>
                  <w:pPr>
                    <w:jc w:val="center"/>
                    <w:rPr>
                      <w:b/>
                      <w:kern w:val="0"/>
                      <w:sz w:val="24"/>
                    </w:rPr>
                  </w:pPr>
                  <w:r>
                    <w:rPr>
                      <w:szCs w:val="21"/>
                    </w:rPr>
                    <w:t>废水</w:t>
                  </w:r>
                </w:p>
              </w:tc>
              <w:tc>
                <w:tcPr>
                  <w:tcW w:w="3945" w:type="dxa"/>
                  <w:vAlign w:val="center"/>
                </w:tcPr>
                <w:p>
                  <w:pPr>
                    <w:jc w:val="center"/>
                    <w:rPr>
                      <w:szCs w:val="21"/>
                    </w:rPr>
                  </w:pPr>
                  <w:r>
                    <w:rPr>
                      <w:szCs w:val="21"/>
                    </w:rPr>
                    <w:t>项目生活污水依托化粪池处理后定期</w:t>
                  </w:r>
                  <w:r>
                    <w:rPr>
                      <w:rFonts w:hint="eastAsia"/>
                      <w:szCs w:val="21"/>
                    </w:rPr>
                    <w:t>清掏外运，不外排。</w:t>
                  </w:r>
                </w:p>
              </w:tc>
              <w:tc>
                <w:tcPr>
                  <w:tcW w:w="1230" w:type="dxa"/>
                  <w:vAlign w:val="center"/>
                </w:tcPr>
                <w:p>
                  <w:pPr>
                    <w:jc w:val="center"/>
                    <w:rPr>
                      <w:szCs w:val="21"/>
                    </w:rPr>
                  </w:pPr>
                  <w:r>
                    <w:rPr>
                      <w:szCs w:val="21"/>
                    </w:rPr>
                    <w:t>依托已建化粪池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353" w:type="dxa"/>
                  <w:vMerge w:val="continue"/>
                  <w:vAlign w:val="center"/>
                </w:tcPr>
                <w:p>
                  <w:pPr>
                    <w:jc w:val="center"/>
                    <w:rPr>
                      <w:color w:val="000000"/>
                      <w:szCs w:val="21"/>
                    </w:rPr>
                  </w:pPr>
                </w:p>
              </w:tc>
              <w:tc>
                <w:tcPr>
                  <w:tcW w:w="1417" w:type="dxa"/>
                  <w:vAlign w:val="center"/>
                </w:tcPr>
                <w:p>
                  <w:pPr>
                    <w:jc w:val="center"/>
                    <w:rPr>
                      <w:szCs w:val="21"/>
                    </w:rPr>
                  </w:pPr>
                  <w:r>
                    <w:rPr>
                      <w:szCs w:val="21"/>
                    </w:rPr>
                    <w:t>废气</w:t>
                  </w:r>
                </w:p>
              </w:tc>
              <w:tc>
                <w:tcPr>
                  <w:tcW w:w="3945" w:type="dxa"/>
                  <w:vAlign w:val="center"/>
                </w:tcPr>
                <w:p>
                  <w:pPr>
                    <w:jc w:val="center"/>
                    <w:rPr>
                      <w:szCs w:val="21"/>
                    </w:rPr>
                  </w:pPr>
                  <w:r>
                    <w:rPr>
                      <w:szCs w:val="21"/>
                    </w:rPr>
                    <w:t>项目</w:t>
                  </w:r>
                  <w:r>
                    <w:rPr>
                      <w:rFonts w:ascii="宋体" w:hAnsi="宋体" w:cs="宋体"/>
                      <w:szCs w:val="21"/>
                    </w:rPr>
                    <w:t>喷漆</w:t>
                  </w:r>
                  <w:r>
                    <w:rPr>
                      <w:rFonts w:hint="eastAsia"/>
                      <w:szCs w:val="21"/>
                    </w:rPr>
                    <w:t>、</w:t>
                  </w:r>
                  <w:r>
                    <w:rPr>
                      <w:szCs w:val="21"/>
                    </w:rPr>
                    <w:t>调漆</w:t>
                  </w:r>
                  <w:r>
                    <w:rPr>
                      <w:rFonts w:hint="eastAsia"/>
                      <w:szCs w:val="21"/>
                    </w:rPr>
                    <w:t>、</w:t>
                  </w:r>
                  <w:r>
                    <w:rPr>
                      <w:rFonts w:hint="eastAsia"/>
                    </w:rPr>
                    <w:t>自然晾干</w:t>
                  </w:r>
                  <w:r>
                    <w:rPr>
                      <w:rFonts w:ascii="宋体" w:hAnsi="宋体" w:cs="宋体"/>
                      <w:szCs w:val="21"/>
                    </w:rPr>
                    <w:t>产生的颗粒物和非甲烷总烃以及</w:t>
                  </w:r>
                  <w:r>
                    <w:rPr>
                      <w:rFonts w:hint="eastAsia"/>
                      <w:szCs w:val="21"/>
                    </w:rPr>
                    <w:t>二甲苯经过滤棉+二级活性炭吸附处理后，由一</w:t>
                  </w:r>
                  <w:r>
                    <w:rPr>
                      <w:szCs w:val="21"/>
                    </w:rPr>
                    <w:t>根15米高排气筒</w:t>
                  </w:r>
                  <w:r>
                    <w:rPr>
                      <w:rFonts w:hint="eastAsia"/>
                      <w:szCs w:val="21"/>
                      <w:lang w:eastAsia="zh-CN"/>
                    </w:rPr>
                    <w:t>（</w:t>
                  </w:r>
                  <w:r>
                    <w:rPr>
                      <w:rFonts w:hint="eastAsia"/>
                      <w:szCs w:val="21"/>
                      <w:lang w:val="en-US" w:eastAsia="zh-CN"/>
                    </w:rPr>
                    <w:t>DA001</w:t>
                  </w:r>
                  <w:r>
                    <w:rPr>
                      <w:rFonts w:hint="eastAsia"/>
                      <w:szCs w:val="21"/>
                      <w:lang w:eastAsia="zh-CN"/>
                    </w:rPr>
                    <w:t>）</w:t>
                  </w:r>
                  <w:r>
                    <w:rPr>
                      <w:szCs w:val="21"/>
                    </w:rPr>
                    <w:t>排放；下料、雕刻、</w:t>
                  </w:r>
                  <w:r>
                    <w:rPr>
                      <w:rFonts w:hint="eastAsia"/>
                      <w:szCs w:val="21"/>
                    </w:rPr>
                    <w:t>修边</w:t>
                  </w:r>
                  <w:r>
                    <w:rPr>
                      <w:szCs w:val="21"/>
                    </w:rPr>
                    <w:t>、</w:t>
                  </w:r>
                  <w:r>
                    <w:rPr>
                      <w:rFonts w:hint="eastAsia"/>
                      <w:szCs w:val="21"/>
                    </w:rPr>
                    <w:t>打磨</w:t>
                  </w:r>
                  <w:r>
                    <w:rPr>
                      <w:szCs w:val="21"/>
                    </w:rPr>
                    <w:t>产生</w:t>
                  </w:r>
                  <w:r>
                    <w:rPr>
                      <w:rFonts w:hint="eastAsia"/>
                      <w:szCs w:val="21"/>
                    </w:rPr>
                    <w:t>的</w:t>
                  </w:r>
                  <w:r>
                    <w:rPr>
                      <w:szCs w:val="21"/>
                    </w:rPr>
                    <w:t>粉</w:t>
                  </w:r>
                  <w:r>
                    <w:rPr>
                      <w:rFonts w:hint="eastAsia"/>
                      <w:szCs w:val="21"/>
                    </w:rPr>
                    <w:t>尘由一套布袋除尘器处理处理后</w:t>
                  </w:r>
                  <w:r>
                    <w:rPr>
                      <w:rFonts w:hint="eastAsia" w:ascii="宋体" w:hAnsi="宋体" w:cs="宋体"/>
                      <w:szCs w:val="21"/>
                    </w:rPr>
                    <w:t>，</w:t>
                  </w:r>
                  <w:r>
                    <w:rPr>
                      <w:rFonts w:ascii="宋体" w:hAnsi="宋体" w:cs="宋体"/>
                      <w:szCs w:val="21"/>
                    </w:rPr>
                    <w:t>经一</w:t>
                  </w:r>
                  <w:r>
                    <w:rPr>
                      <w:szCs w:val="21"/>
                    </w:rPr>
                    <w:t>根15米高排</w:t>
                  </w:r>
                  <w:r>
                    <w:rPr>
                      <w:rFonts w:ascii="宋体" w:hAnsi="宋体" w:cs="宋体"/>
                      <w:szCs w:val="21"/>
                    </w:rPr>
                    <w:t>气</w:t>
                  </w:r>
                  <w:r>
                    <w:rPr>
                      <w:rFonts w:hint="eastAsia" w:ascii="宋体" w:hAnsi="宋体" w:cs="宋体"/>
                      <w:szCs w:val="21"/>
                    </w:rPr>
                    <w:t>筒</w:t>
                  </w:r>
                  <w:r>
                    <w:rPr>
                      <w:rFonts w:hint="eastAsia"/>
                      <w:szCs w:val="21"/>
                      <w:lang w:eastAsia="zh-CN"/>
                    </w:rPr>
                    <w:t>（</w:t>
                  </w:r>
                  <w:r>
                    <w:rPr>
                      <w:rFonts w:hint="eastAsia"/>
                      <w:szCs w:val="21"/>
                      <w:lang w:val="en-US" w:eastAsia="zh-CN"/>
                    </w:rPr>
                    <w:t>DA002</w:t>
                  </w:r>
                  <w:r>
                    <w:rPr>
                      <w:rFonts w:hint="eastAsia"/>
                      <w:szCs w:val="21"/>
                      <w:lang w:eastAsia="zh-CN"/>
                    </w:rPr>
                    <w:t>）</w:t>
                  </w:r>
                  <w:r>
                    <w:rPr>
                      <w:rFonts w:ascii="宋体" w:hAnsi="宋体" w:cs="宋体"/>
                      <w:szCs w:val="21"/>
                    </w:rPr>
                    <w:t>排放</w:t>
                  </w:r>
                  <w:r>
                    <w:rPr>
                      <w:bCs/>
                      <w:color w:val="000000"/>
                      <w:szCs w:val="21"/>
                    </w:rPr>
                    <w:t>。</w:t>
                  </w:r>
                </w:p>
              </w:tc>
              <w:tc>
                <w:tcPr>
                  <w:tcW w:w="1230" w:type="dxa"/>
                  <w:vAlign w:val="center"/>
                </w:tcPr>
                <w:p>
                  <w:pPr>
                    <w:jc w:val="center"/>
                    <w:rPr>
                      <w:szCs w:val="21"/>
                    </w:rPr>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3" w:type="dxa"/>
                  <w:vMerge w:val="continue"/>
                  <w:vAlign w:val="center"/>
                </w:tcPr>
                <w:p>
                  <w:pPr>
                    <w:jc w:val="center"/>
                    <w:rPr>
                      <w:b/>
                      <w:kern w:val="0"/>
                      <w:sz w:val="24"/>
                    </w:rPr>
                  </w:pPr>
                </w:p>
              </w:tc>
              <w:tc>
                <w:tcPr>
                  <w:tcW w:w="1417" w:type="dxa"/>
                  <w:vMerge w:val="restart"/>
                  <w:vAlign w:val="center"/>
                </w:tcPr>
                <w:p>
                  <w:pPr>
                    <w:jc w:val="center"/>
                    <w:rPr>
                      <w:b/>
                      <w:kern w:val="0"/>
                      <w:sz w:val="24"/>
                    </w:rPr>
                  </w:pPr>
                  <w:r>
                    <w:rPr>
                      <w:bCs/>
                      <w:kern w:val="0"/>
                      <w:szCs w:val="21"/>
                    </w:rPr>
                    <w:t>固废</w:t>
                  </w:r>
                </w:p>
              </w:tc>
              <w:tc>
                <w:tcPr>
                  <w:tcW w:w="394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生活垃圾用垃圾桶进行收集，由环卫部门统一处理</w:t>
                  </w:r>
                  <w:r>
                    <w:rPr>
                      <w:bCs/>
                      <w:color w:val="000000" w:themeColor="text1"/>
                      <w:szCs w:val="21"/>
                      <w14:textFill>
                        <w14:solidFill>
                          <w14:schemeClr w14:val="tx1"/>
                        </w14:solidFill>
                      </w14:textFill>
                    </w:rPr>
                    <w:t>。</w:t>
                  </w:r>
                </w:p>
              </w:tc>
              <w:tc>
                <w:tcPr>
                  <w:tcW w:w="1230" w:type="dxa"/>
                  <w:vMerge w:val="restart"/>
                  <w:vAlign w:val="center"/>
                </w:tcPr>
                <w:p>
                  <w:pPr>
                    <w:jc w:val="center"/>
                    <w:rPr>
                      <w:szCs w:val="21"/>
                    </w:rPr>
                  </w:pPr>
                  <w:r>
                    <w:rPr>
                      <w:rFonts w:hint="eastAsia"/>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353" w:type="dxa"/>
                  <w:vMerge w:val="continue"/>
                  <w:vAlign w:val="center"/>
                </w:tcPr>
                <w:p>
                  <w:pPr>
                    <w:jc w:val="center"/>
                    <w:rPr>
                      <w:b/>
                      <w:kern w:val="0"/>
                      <w:sz w:val="24"/>
                    </w:rPr>
                  </w:pPr>
                </w:p>
              </w:tc>
              <w:tc>
                <w:tcPr>
                  <w:tcW w:w="1417" w:type="dxa"/>
                  <w:vMerge w:val="continue"/>
                  <w:vAlign w:val="center"/>
                </w:tcPr>
                <w:p>
                  <w:pPr>
                    <w:jc w:val="center"/>
                    <w:rPr>
                      <w:bCs/>
                      <w:kern w:val="0"/>
                      <w:szCs w:val="21"/>
                    </w:rPr>
                  </w:pPr>
                </w:p>
              </w:tc>
              <w:tc>
                <w:tcPr>
                  <w:tcW w:w="3945" w:type="dxa"/>
                  <w:vAlign w:val="center"/>
                </w:tcPr>
                <w:p>
                  <w:pPr>
                    <w:ind w:firstLine="420" w:firstLineChars="20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一般</w:t>
                  </w:r>
                  <w:r>
                    <w:rPr>
                      <w:bCs/>
                      <w:color w:val="000000" w:themeColor="text1"/>
                      <w:szCs w:val="21"/>
                      <w14:textFill>
                        <w14:solidFill>
                          <w14:schemeClr w14:val="tx1"/>
                        </w14:solidFill>
                      </w14:textFill>
                    </w:rPr>
                    <w:t>固废</w:t>
                  </w:r>
                  <w:r>
                    <w:rPr>
                      <w:color w:val="000000" w:themeColor="text1"/>
                      <w:szCs w:val="21"/>
                      <w14:textFill>
                        <w14:solidFill>
                          <w14:schemeClr w14:val="tx1"/>
                        </w14:solidFill>
                      </w14:textFill>
                    </w:rPr>
                    <w:t>间位于厂房</w:t>
                  </w:r>
                  <w:r>
                    <w:rPr>
                      <w:rFonts w:hint="eastAsia"/>
                      <w:bCs/>
                      <w:color w:val="000000" w:themeColor="text1"/>
                      <w:szCs w:val="21"/>
                      <w14:textFill>
                        <w14:solidFill>
                          <w14:schemeClr w14:val="tx1"/>
                        </w14:solidFill>
                      </w14:textFill>
                    </w:rPr>
                    <w:t>的</w:t>
                  </w:r>
                  <w:r>
                    <w:rPr>
                      <w:rFonts w:hint="eastAsia"/>
                      <w:bCs/>
                      <w:color w:val="000000" w:themeColor="text1"/>
                      <w:szCs w:val="21"/>
                      <w:lang w:val="en-US" w:eastAsia="zh-CN"/>
                      <w14:textFill>
                        <w14:solidFill>
                          <w14:schemeClr w14:val="tx1"/>
                        </w14:solidFill>
                      </w14:textFill>
                    </w:rPr>
                    <w:t>西</w:t>
                  </w:r>
                  <w:r>
                    <w:rPr>
                      <w:rFonts w:hint="eastAsia"/>
                      <w:bCs/>
                      <w:color w:val="000000" w:themeColor="text1"/>
                      <w:szCs w:val="21"/>
                      <w14:textFill>
                        <w14:solidFill>
                          <w14:schemeClr w14:val="tx1"/>
                        </w14:solidFill>
                      </w14:textFill>
                    </w:rPr>
                    <w:t>南</w:t>
                  </w:r>
                  <w:r>
                    <w:rPr>
                      <w:rFonts w:ascii="宋体" w:hAnsi="宋体" w:cs="宋体"/>
                      <w:color w:val="000000" w:themeColor="text1"/>
                      <w:szCs w:val="21"/>
                      <w14:textFill>
                        <w14:solidFill>
                          <w14:schemeClr w14:val="tx1"/>
                        </w14:solidFill>
                      </w14:textFill>
                    </w:rPr>
                    <w:t>侧</w:t>
                  </w:r>
                  <w:r>
                    <w:rPr>
                      <w:color w:val="000000" w:themeColor="text1"/>
                      <w:szCs w:val="21"/>
                      <w14:textFill>
                        <w14:solidFill>
                          <w14:schemeClr w14:val="tx1"/>
                        </w14:solidFill>
                      </w14:textFill>
                    </w:rPr>
                    <w:t>，建筑面积约</w:t>
                  </w:r>
                  <w:r>
                    <w:rPr>
                      <w:rFonts w:hint="eastAsia"/>
                      <w:color w:val="000000" w:themeColor="text1"/>
                      <w:szCs w:val="21"/>
                      <w:lang w:val="en-US" w:eastAsia="zh-CN"/>
                      <w14:textFill>
                        <w14:solidFill>
                          <w14:schemeClr w14:val="tx1"/>
                        </w14:solidFill>
                      </w14:textFill>
                    </w:rPr>
                    <w:t>5</w:t>
                  </w:r>
                  <w:r>
                    <w:rPr>
                      <w:color w:val="000000" w:themeColor="text1"/>
                      <w:szCs w:val="21"/>
                      <w14:textFill>
                        <w14:solidFill>
                          <w14:schemeClr w14:val="tx1"/>
                        </w14:solidFill>
                      </w14:textFill>
                    </w:rPr>
                    <w:t>0m</w:t>
                  </w:r>
                  <w:r>
                    <w:rPr>
                      <w:color w:val="000000" w:themeColor="text1"/>
                      <w:szCs w:val="21"/>
                      <w:vertAlign w:val="superscript"/>
                      <w14:textFill>
                        <w14:solidFill>
                          <w14:schemeClr w14:val="tx1"/>
                        </w14:solidFill>
                      </w14:textFill>
                    </w:rPr>
                    <w:t>2</w:t>
                  </w:r>
                  <w:r>
                    <w:rPr>
                      <w:color w:val="000000" w:themeColor="text1"/>
                      <w:szCs w:val="21"/>
                      <w14:textFill>
                        <w14:solidFill>
                          <w14:schemeClr w14:val="tx1"/>
                        </w14:solidFill>
                      </w14:textFill>
                    </w:rPr>
                    <w:t>，外售处理</w:t>
                  </w:r>
                </w:p>
              </w:tc>
              <w:tc>
                <w:tcPr>
                  <w:tcW w:w="123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3" w:type="dxa"/>
                  <w:vMerge w:val="continue"/>
                  <w:vAlign w:val="center"/>
                </w:tcPr>
                <w:p>
                  <w:pPr>
                    <w:jc w:val="center"/>
                    <w:rPr>
                      <w:b/>
                      <w:kern w:val="0"/>
                      <w:sz w:val="24"/>
                    </w:rPr>
                  </w:pPr>
                </w:p>
              </w:tc>
              <w:tc>
                <w:tcPr>
                  <w:tcW w:w="1417" w:type="dxa"/>
                  <w:vMerge w:val="continue"/>
                  <w:vAlign w:val="center"/>
                </w:tcPr>
                <w:p>
                  <w:pPr>
                    <w:jc w:val="center"/>
                    <w:rPr>
                      <w:bCs/>
                      <w:kern w:val="0"/>
                      <w:szCs w:val="21"/>
                    </w:rPr>
                  </w:pPr>
                </w:p>
              </w:tc>
              <w:tc>
                <w:tcPr>
                  <w:tcW w:w="3945" w:type="dxa"/>
                  <w:vAlign w:val="center"/>
                </w:tcPr>
                <w:p>
                  <w:pPr>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危险废物暂存</w:t>
                  </w:r>
                  <w:r>
                    <w:rPr>
                      <w:rFonts w:hint="eastAsia"/>
                      <w:color w:val="000000" w:themeColor="text1"/>
                      <w:kern w:val="0"/>
                      <w:szCs w:val="21"/>
                      <w:lang w:bidi="ar"/>
                      <w14:textFill>
                        <w14:solidFill>
                          <w14:schemeClr w14:val="tx1"/>
                        </w14:solidFill>
                      </w14:textFill>
                    </w:rPr>
                    <w:t>间</w:t>
                  </w:r>
                  <w:r>
                    <w:rPr>
                      <w:bCs/>
                      <w:color w:val="000000" w:themeColor="text1"/>
                      <w:szCs w:val="21"/>
                      <w14:textFill>
                        <w14:solidFill>
                          <w14:schemeClr w14:val="tx1"/>
                        </w14:solidFill>
                      </w14:textFill>
                    </w:rPr>
                    <w:t>位于</w:t>
                  </w:r>
                  <w:r>
                    <w:rPr>
                      <w:color w:val="000000" w:themeColor="text1"/>
                      <w:szCs w:val="21"/>
                      <w14:textFill>
                        <w14:solidFill>
                          <w14:schemeClr w14:val="tx1"/>
                        </w14:solidFill>
                      </w14:textFill>
                    </w:rPr>
                    <w:t>厂房</w:t>
                  </w:r>
                  <w:r>
                    <w:rPr>
                      <w:rFonts w:hint="eastAsia"/>
                      <w:color w:val="000000" w:themeColor="text1"/>
                      <w:szCs w:val="21"/>
                      <w14:textFill>
                        <w14:solidFill>
                          <w14:schemeClr w14:val="tx1"/>
                        </w14:solidFill>
                      </w14:textFill>
                    </w:rPr>
                    <w:t>内的</w:t>
                  </w:r>
                  <w:r>
                    <w:rPr>
                      <w:rFonts w:hint="eastAsia"/>
                      <w:color w:val="000000" w:themeColor="text1"/>
                      <w:szCs w:val="21"/>
                      <w:lang w:val="en-US" w:eastAsia="zh-CN"/>
                      <w14:textFill>
                        <w14:solidFill>
                          <w14:schemeClr w14:val="tx1"/>
                        </w14:solidFill>
                      </w14:textFill>
                    </w:rPr>
                    <w:t>西北</w:t>
                  </w:r>
                  <w:r>
                    <w:rPr>
                      <w:color w:val="000000" w:themeColor="text1"/>
                      <w:szCs w:val="21"/>
                      <w14:textFill>
                        <w14:solidFill>
                          <w14:schemeClr w14:val="tx1"/>
                        </w14:solidFill>
                      </w14:textFill>
                    </w:rPr>
                    <w:t>侧</w:t>
                  </w:r>
                  <w:r>
                    <w:rPr>
                      <w:rFonts w:hint="eastAsia"/>
                      <w:color w:val="000000" w:themeColor="text1"/>
                      <w:kern w:val="0"/>
                      <w:szCs w:val="21"/>
                      <w:lang w:bidi="ar"/>
                      <w14:textFill>
                        <w14:solidFill>
                          <w14:schemeClr w14:val="tx1"/>
                        </w14:solidFill>
                      </w14:textFill>
                    </w:rPr>
                    <w:t>，</w:t>
                  </w:r>
                  <w:r>
                    <w:rPr>
                      <w:color w:val="000000" w:themeColor="text1"/>
                      <w:szCs w:val="21"/>
                      <w14:textFill>
                        <w14:solidFill>
                          <w14:schemeClr w14:val="tx1"/>
                        </w14:solidFill>
                      </w14:textFill>
                    </w:rPr>
                    <w:t>建筑面积约</w:t>
                  </w: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bCs/>
                      <w:color w:val="000000" w:themeColor="text1"/>
                      <w:szCs w:val="21"/>
                      <w14:textFill>
                        <w14:solidFill>
                          <w14:schemeClr w14:val="tx1"/>
                        </w14:solidFill>
                      </w14:textFill>
                    </w:rPr>
                    <w:t>，危废暂存间进行防渗、防晒、防风、防雨处理</w:t>
                  </w:r>
                  <w:r>
                    <w:rPr>
                      <w:rFonts w:hint="eastAsia"/>
                      <w:bCs/>
                      <w:color w:val="000000" w:themeColor="text1"/>
                      <w:szCs w:val="21"/>
                      <w14:textFill>
                        <w14:solidFill>
                          <w14:schemeClr w14:val="tx1"/>
                        </w14:solidFill>
                      </w14:textFill>
                    </w:rPr>
                    <w:t>；并根据危废储存管理规范设置标识标牌，管理制度，并做相应记录。</w:t>
                  </w:r>
                  <w:r>
                    <w:rPr>
                      <w:bCs/>
                      <w:color w:val="000000" w:themeColor="text1"/>
                      <w:szCs w:val="21"/>
                      <w14:textFill>
                        <w14:solidFill>
                          <w14:schemeClr w14:val="tx1"/>
                        </w14:solidFill>
                      </w14:textFill>
                    </w:rPr>
                    <w:t>危险废物委托有资质的单位定期处置。</w:t>
                  </w:r>
                </w:p>
              </w:tc>
              <w:tc>
                <w:tcPr>
                  <w:tcW w:w="123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3" w:type="dxa"/>
                  <w:vMerge w:val="continue"/>
                  <w:vAlign w:val="center"/>
                </w:tcPr>
                <w:p>
                  <w:pPr>
                    <w:jc w:val="center"/>
                    <w:rPr>
                      <w:b/>
                      <w:kern w:val="0"/>
                      <w:sz w:val="24"/>
                    </w:rPr>
                  </w:pPr>
                </w:p>
              </w:tc>
              <w:tc>
                <w:tcPr>
                  <w:tcW w:w="1417" w:type="dxa"/>
                  <w:vAlign w:val="center"/>
                </w:tcPr>
                <w:p>
                  <w:pPr>
                    <w:jc w:val="center"/>
                    <w:rPr>
                      <w:b/>
                      <w:kern w:val="0"/>
                      <w:sz w:val="24"/>
                    </w:rPr>
                  </w:pPr>
                  <w:r>
                    <w:rPr>
                      <w:bCs/>
                      <w:kern w:val="0"/>
                      <w:szCs w:val="21"/>
                    </w:rPr>
                    <w:t>噪声</w:t>
                  </w:r>
                </w:p>
              </w:tc>
              <w:tc>
                <w:tcPr>
                  <w:tcW w:w="3945" w:type="dxa"/>
                  <w:vAlign w:val="center"/>
                </w:tcPr>
                <w:p>
                  <w:pPr>
                    <w:jc w:val="center"/>
                    <w:rPr>
                      <w:bCs/>
                      <w:szCs w:val="21"/>
                      <w:highlight w:val="yellow"/>
                    </w:rPr>
                  </w:pPr>
                  <w:r>
                    <w:rPr>
                      <w:bCs/>
                      <w:szCs w:val="21"/>
                    </w:rPr>
                    <w:t>优先选用低噪设备、设置减振基座和减振垫、距离衰减等</w:t>
                  </w:r>
                  <w:r>
                    <w:rPr>
                      <w:szCs w:val="21"/>
                    </w:rPr>
                    <w:t>。</w:t>
                  </w:r>
                </w:p>
              </w:tc>
              <w:tc>
                <w:tcPr>
                  <w:tcW w:w="1230" w:type="dxa"/>
                  <w:vAlign w:val="center"/>
                </w:tcPr>
                <w:p>
                  <w:pPr>
                    <w:jc w:val="center"/>
                    <w:rPr>
                      <w:bCs/>
                      <w:szCs w:val="21"/>
                      <w:highlight w:val="yellow"/>
                    </w:rPr>
                  </w:pPr>
                  <w:r>
                    <w:rPr>
                      <w:rFonts w:hint="eastAsia"/>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3" w:type="dxa"/>
                  <w:vMerge w:val="continue"/>
                  <w:vAlign w:val="center"/>
                </w:tcPr>
                <w:p>
                  <w:pPr>
                    <w:jc w:val="center"/>
                    <w:rPr>
                      <w:b/>
                      <w:kern w:val="0"/>
                      <w:sz w:val="24"/>
                    </w:rPr>
                  </w:pPr>
                </w:p>
              </w:tc>
              <w:tc>
                <w:tcPr>
                  <w:tcW w:w="1417" w:type="dxa"/>
                  <w:vAlign w:val="center"/>
                </w:tcPr>
                <w:p>
                  <w:pPr>
                    <w:jc w:val="center"/>
                    <w:rPr>
                      <w:bCs/>
                      <w:kern w:val="0"/>
                      <w:szCs w:val="21"/>
                    </w:rPr>
                  </w:pPr>
                  <w:r>
                    <w:rPr>
                      <w:rFonts w:hint="eastAsia"/>
                      <w:bCs/>
                      <w:szCs w:val="21"/>
                    </w:rPr>
                    <w:t>地下水、土壤</w:t>
                  </w:r>
                  <w:r>
                    <w:rPr>
                      <w:bCs/>
                      <w:szCs w:val="21"/>
                    </w:rPr>
                    <w:t>污染防治措施</w:t>
                  </w:r>
                </w:p>
              </w:tc>
              <w:tc>
                <w:tcPr>
                  <w:tcW w:w="3945" w:type="dxa"/>
                  <w:vAlign w:val="center"/>
                </w:tcPr>
                <w:p>
                  <w:pPr>
                    <w:jc w:val="center"/>
                    <w:rPr>
                      <w:bCs/>
                      <w:szCs w:val="21"/>
                    </w:rPr>
                  </w:pPr>
                  <w:r>
                    <w:rPr>
                      <w:rFonts w:hint="eastAsia"/>
                    </w:rPr>
                    <w:t>危险废物暂存间</w:t>
                  </w:r>
                  <w:r>
                    <w:t>、喷漆房</w:t>
                  </w:r>
                  <w:r>
                    <w:rPr>
                      <w:rFonts w:hint="eastAsia"/>
                    </w:rPr>
                    <w:t>、</w:t>
                  </w:r>
                  <w:r>
                    <w:t>油漆仓库</w:t>
                  </w:r>
                  <w:r>
                    <w:rPr>
                      <w:rFonts w:hint="eastAsia"/>
                    </w:rPr>
                    <w:t>等</w:t>
                  </w:r>
                  <w:r>
                    <w:rPr>
                      <w:rFonts w:hint="eastAsia"/>
                      <w:kern w:val="0"/>
                    </w:rPr>
                    <w:t>进行重点防渗；生产车间等设一般防渗；办公区域设简单防渗区</w:t>
                  </w:r>
                </w:p>
              </w:tc>
              <w:tc>
                <w:tcPr>
                  <w:tcW w:w="1230" w:type="dxa"/>
                  <w:vAlign w:val="center"/>
                </w:tcPr>
                <w:p>
                  <w:pPr>
                    <w:jc w:val="center"/>
                    <w:rPr>
                      <w:kern w:val="0"/>
                      <w:szCs w:val="21"/>
                    </w:rPr>
                  </w:pPr>
                  <w:r>
                    <w:rPr>
                      <w:rFonts w:hint="eastAsia"/>
                      <w:kern w:val="0"/>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3" w:type="dxa"/>
                  <w:vMerge w:val="continue"/>
                  <w:vAlign w:val="center"/>
                </w:tcPr>
                <w:p>
                  <w:pPr>
                    <w:jc w:val="center"/>
                    <w:rPr>
                      <w:b/>
                      <w:kern w:val="0"/>
                      <w:sz w:val="24"/>
                    </w:rPr>
                  </w:pPr>
                </w:p>
              </w:tc>
              <w:tc>
                <w:tcPr>
                  <w:tcW w:w="1417" w:type="dxa"/>
                  <w:vAlign w:val="center"/>
                </w:tcPr>
                <w:p>
                  <w:pPr>
                    <w:adjustRightInd w:val="0"/>
                    <w:snapToGrid w:val="0"/>
                    <w:jc w:val="center"/>
                    <w:rPr>
                      <w:bCs/>
                      <w:kern w:val="0"/>
                      <w:szCs w:val="21"/>
                    </w:rPr>
                  </w:pPr>
                  <w:r>
                    <w:rPr>
                      <w:szCs w:val="21"/>
                    </w:rPr>
                    <w:t>环境风险防范措施</w:t>
                  </w:r>
                </w:p>
              </w:tc>
              <w:tc>
                <w:tcPr>
                  <w:tcW w:w="3945" w:type="dxa"/>
                  <w:vAlign w:val="center"/>
                </w:tcPr>
                <w:p>
                  <w:pPr>
                    <w:rPr>
                      <w:szCs w:val="21"/>
                      <w:lang w:bidi="ar"/>
                    </w:rPr>
                  </w:pPr>
                  <w:r>
                    <w:rPr>
                      <w:szCs w:val="21"/>
                      <w:lang w:bidi="ar"/>
                    </w:rPr>
                    <w:t>①</w:t>
                  </w:r>
                  <w:r>
                    <w:rPr>
                      <w:rFonts w:hint="eastAsia"/>
                      <w:szCs w:val="21"/>
                      <w:lang w:bidi="ar"/>
                    </w:rPr>
                    <w:t>本项目使用油漆、固化剂、稀释剂泄漏会对大气、地下水和土壤造成影响，建设单位须放置托盘上储存，并贴注标识标牌，同时做好地面防渗，并进行管理记录。</w:t>
                  </w:r>
                </w:p>
                <w:p>
                  <w:pPr>
                    <w:rPr>
                      <w:szCs w:val="21"/>
                      <w:lang w:bidi="ar"/>
                    </w:rPr>
                  </w:pPr>
                  <w:r>
                    <w:rPr>
                      <w:szCs w:val="21"/>
                      <w:lang w:bidi="ar"/>
                    </w:rPr>
                    <w:t>②</w:t>
                  </w:r>
                  <w:r>
                    <w:rPr>
                      <w:rFonts w:hint="eastAsia"/>
                      <w:szCs w:val="21"/>
                      <w:lang w:bidi="ar"/>
                    </w:rPr>
                    <w:t>使用的原料板材以及成品座椅属于可燃物，因此厂区需设置灭火器，禁止明火，注意防止火灾的发生。</w:t>
                  </w:r>
                </w:p>
                <w:p>
                  <w:pPr>
                    <w:rPr>
                      <w:szCs w:val="21"/>
                      <w:lang w:bidi="ar"/>
                    </w:rPr>
                  </w:pPr>
                  <w:r>
                    <w:rPr>
                      <w:szCs w:val="21"/>
                      <w:lang w:bidi="ar"/>
                    </w:rPr>
                    <w:t>③建设单位须制订环境突发事故应急预案，一旦突发环境风险事故，必须立即按应急预案提到的紧急处理、救援、监测方案等进行紧急救援，救援人员采取相应的防护措施，以避免造成人员伤亡事故。</w:t>
                  </w:r>
                </w:p>
                <w:p>
                  <w:pPr>
                    <w:jc w:val="center"/>
                    <w:rPr>
                      <w:szCs w:val="21"/>
                      <w:lang w:bidi="ar"/>
                    </w:rPr>
                  </w:pPr>
                  <w:r>
                    <w:rPr>
                      <w:szCs w:val="21"/>
                      <w:lang w:bidi="ar"/>
                    </w:rPr>
                    <w:t>④定期对存储场所的用电设备、通风设备、防火和防毒器具进行检查，发现问题及时处理。</w:t>
                  </w:r>
                </w:p>
              </w:tc>
              <w:tc>
                <w:tcPr>
                  <w:tcW w:w="1230" w:type="dxa"/>
                  <w:vAlign w:val="center"/>
                </w:tcPr>
                <w:p>
                  <w:pPr>
                    <w:jc w:val="center"/>
                    <w:rPr>
                      <w:kern w:val="0"/>
                      <w:szCs w:val="21"/>
                    </w:rPr>
                  </w:pPr>
                  <w:r>
                    <w:rPr>
                      <w:rFonts w:hint="eastAsia"/>
                      <w:kern w:val="0"/>
                      <w:szCs w:val="21"/>
                    </w:rPr>
                    <w:t>新建</w:t>
                  </w:r>
                </w:p>
              </w:tc>
            </w:tr>
          </w:tbl>
          <w:p>
            <w:pPr>
              <w:spacing w:line="360" w:lineRule="auto"/>
              <w:ind w:firstLine="480" w:firstLineChars="200"/>
              <w:rPr>
                <w:b/>
                <w:kern w:val="0"/>
                <w:sz w:val="24"/>
              </w:rPr>
            </w:pPr>
            <w:r>
              <w:rPr>
                <w:rFonts w:ascii="宋体" w:hAnsi="宋体" w:cs="宋体"/>
                <w:sz w:val="24"/>
                <w:szCs w:val="24"/>
              </w:rPr>
              <w:t>二</w:t>
            </w:r>
            <w:r>
              <w:rPr>
                <w:rFonts w:hint="eastAsia"/>
                <w:b/>
                <w:bCs/>
                <w:kern w:val="0"/>
                <w:sz w:val="24"/>
                <w:szCs w:val="24"/>
              </w:rPr>
              <w:t>、</w:t>
            </w:r>
            <w:r>
              <w:rPr>
                <w:b/>
                <w:kern w:val="0"/>
                <w:sz w:val="24"/>
              </w:rPr>
              <w:t>产品方案</w:t>
            </w:r>
          </w:p>
          <w:p>
            <w:pPr>
              <w:autoSpaceDE w:val="0"/>
              <w:autoSpaceDN w:val="0"/>
              <w:adjustRightInd w:val="0"/>
              <w:spacing w:line="360" w:lineRule="auto"/>
              <w:ind w:firstLine="480"/>
            </w:pPr>
            <w:r>
              <w:rPr>
                <w:sz w:val="24"/>
              </w:rPr>
              <w:t>本项目主要从事</w:t>
            </w:r>
            <w:r>
              <w:rPr>
                <w:color w:val="000000" w:themeColor="text1"/>
                <w:sz w:val="24"/>
                <w14:textFill>
                  <w14:solidFill>
                    <w14:schemeClr w14:val="tx1"/>
                  </w14:solidFill>
                </w14:textFill>
              </w:rPr>
              <w:t>艺术切片家居座椅</w:t>
            </w:r>
            <w:r>
              <w:rPr>
                <w:bCs/>
                <w:sz w:val="24"/>
              </w:rPr>
              <w:t>的</w:t>
            </w:r>
            <w:r>
              <w:rPr>
                <w:rFonts w:hint="eastAsia"/>
                <w:bCs/>
                <w:sz w:val="24"/>
              </w:rPr>
              <w:t>加工</w:t>
            </w:r>
            <w:r>
              <w:rPr>
                <w:sz w:val="24"/>
              </w:rPr>
              <w:t>，具体产品方案见下表。</w:t>
            </w:r>
          </w:p>
          <w:p>
            <w:pPr>
              <w:autoSpaceDE w:val="0"/>
              <w:autoSpaceDN w:val="0"/>
              <w:adjustRightInd w:val="0"/>
              <w:spacing w:line="360" w:lineRule="auto"/>
              <w:jc w:val="center"/>
              <w:rPr>
                <w:b/>
                <w:bCs/>
                <w:sz w:val="24"/>
              </w:rPr>
            </w:pPr>
            <w:r>
              <w:rPr>
                <w:b/>
                <w:bCs/>
                <w:sz w:val="24"/>
              </w:rPr>
              <w:t>表2-2  项目产品方案一览表</w:t>
            </w:r>
          </w:p>
          <w:tbl>
            <w:tblPr>
              <w:tblStyle w:val="22"/>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228"/>
              <w:gridCol w:w="2857"/>
              <w:gridCol w:w="96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021" w:type="dxa"/>
                  <w:vAlign w:val="center"/>
                </w:tcPr>
                <w:p>
                  <w:pPr>
                    <w:autoSpaceDE w:val="0"/>
                    <w:autoSpaceDN w:val="0"/>
                    <w:adjustRightInd w:val="0"/>
                    <w:jc w:val="center"/>
                    <w:rPr>
                      <w:szCs w:val="21"/>
                    </w:rPr>
                  </w:pPr>
                  <w:r>
                    <w:rPr>
                      <w:b/>
                      <w:bCs/>
                      <w:szCs w:val="21"/>
                    </w:rPr>
                    <w:t>序号</w:t>
                  </w:r>
                </w:p>
              </w:tc>
              <w:tc>
                <w:tcPr>
                  <w:tcW w:w="2228" w:type="dxa"/>
                  <w:vAlign w:val="center"/>
                </w:tcPr>
                <w:p>
                  <w:pPr>
                    <w:autoSpaceDE w:val="0"/>
                    <w:autoSpaceDN w:val="0"/>
                    <w:adjustRightInd w:val="0"/>
                    <w:jc w:val="center"/>
                    <w:rPr>
                      <w:color w:val="0000FF"/>
                      <w:szCs w:val="21"/>
                    </w:rPr>
                  </w:pPr>
                  <w:r>
                    <w:rPr>
                      <w:b/>
                      <w:bCs/>
                      <w:szCs w:val="21"/>
                    </w:rPr>
                    <w:t>名称</w:t>
                  </w:r>
                </w:p>
              </w:tc>
              <w:tc>
                <w:tcPr>
                  <w:tcW w:w="2857" w:type="dxa"/>
                  <w:vAlign w:val="center"/>
                </w:tcPr>
                <w:p>
                  <w:pPr>
                    <w:autoSpaceDE w:val="0"/>
                    <w:autoSpaceDN w:val="0"/>
                    <w:adjustRightInd w:val="0"/>
                    <w:jc w:val="center"/>
                    <w:rPr>
                      <w:b/>
                      <w:bCs/>
                      <w:szCs w:val="21"/>
                    </w:rPr>
                  </w:pPr>
                  <w:r>
                    <w:rPr>
                      <w:b/>
                      <w:bCs/>
                      <w:color w:val="000000"/>
                      <w:sz w:val="21"/>
                    </w:rPr>
                    <w:t>产品规格</w:t>
                  </w:r>
                </w:p>
              </w:tc>
              <w:tc>
                <w:tcPr>
                  <w:tcW w:w="960" w:type="dxa"/>
                  <w:vAlign w:val="center"/>
                </w:tcPr>
                <w:p>
                  <w:pPr>
                    <w:autoSpaceDE w:val="0"/>
                    <w:autoSpaceDN w:val="0"/>
                    <w:adjustRightInd w:val="0"/>
                    <w:jc w:val="center"/>
                    <w:rPr>
                      <w:szCs w:val="21"/>
                    </w:rPr>
                  </w:pPr>
                  <w:r>
                    <w:rPr>
                      <w:b/>
                      <w:bCs/>
                      <w:szCs w:val="21"/>
                    </w:rPr>
                    <w:t>产量</w:t>
                  </w:r>
                </w:p>
              </w:tc>
              <w:tc>
                <w:tcPr>
                  <w:tcW w:w="879" w:type="dxa"/>
                  <w:vAlign w:val="center"/>
                </w:tcPr>
                <w:p>
                  <w:pPr>
                    <w:autoSpaceDE w:val="0"/>
                    <w:autoSpaceDN w:val="0"/>
                    <w:adjustRightInd w:val="0"/>
                    <w:jc w:val="center"/>
                    <w:rPr>
                      <w:szCs w:val="21"/>
                    </w:rPr>
                  </w:pPr>
                  <w:r>
                    <w:rPr>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021" w:type="dxa"/>
                  <w:vAlign w:val="center"/>
                </w:tcPr>
                <w:p>
                  <w:pPr>
                    <w:autoSpaceDE w:val="0"/>
                    <w:autoSpaceDN w:val="0"/>
                    <w:adjustRightInd w:val="0"/>
                    <w:jc w:val="center"/>
                    <w:rPr>
                      <w:szCs w:val="21"/>
                    </w:rPr>
                  </w:pPr>
                  <w:r>
                    <w:rPr>
                      <w:szCs w:val="21"/>
                    </w:rPr>
                    <w:t>1</w:t>
                  </w:r>
                </w:p>
              </w:tc>
              <w:tc>
                <w:tcPr>
                  <w:tcW w:w="2228" w:type="dxa"/>
                  <w:vAlign w:val="center"/>
                </w:tcPr>
                <w:p>
                  <w:pPr>
                    <w:autoSpaceDE w:val="0"/>
                    <w:autoSpaceDN w:val="0"/>
                    <w:adjustRightInd w:val="0"/>
                    <w:jc w:val="center"/>
                    <w:rPr>
                      <w:color w:val="0000FF"/>
                      <w:szCs w:val="21"/>
                    </w:rPr>
                  </w:pPr>
                  <w:r>
                    <w:rPr>
                      <w:rFonts w:ascii="宋体" w:hAnsi="宋体" w:cs="宋体"/>
                      <w:szCs w:val="21"/>
                    </w:rPr>
                    <w:t>艺术切片家居座椅</w:t>
                  </w:r>
                </w:p>
              </w:tc>
              <w:tc>
                <w:tcPr>
                  <w:tcW w:w="2857" w:type="dxa"/>
                  <w:vAlign w:val="center"/>
                </w:tcPr>
                <w:p>
                  <w:pPr>
                    <w:autoSpaceDE w:val="0"/>
                    <w:autoSpaceDN w:val="0"/>
                    <w:adjustRightInd w:val="0"/>
                    <w:jc w:val="center"/>
                    <w:rPr>
                      <w:rFonts w:ascii="宋体" w:hAnsi="宋体" w:cs="宋体"/>
                      <w:szCs w:val="21"/>
                    </w:rPr>
                  </w:pPr>
                  <w:r>
                    <w:rPr>
                      <w:rFonts w:hint="eastAsia"/>
                      <w:sz w:val="21"/>
                      <w:szCs w:val="21"/>
                    </w:rPr>
                    <w:t>具体规格由每批次订单所定</w:t>
                  </w:r>
                </w:p>
              </w:tc>
              <w:tc>
                <w:tcPr>
                  <w:tcW w:w="960" w:type="dxa"/>
                  <w:vAlign w:val="center"/>
                </w:tcPr>
                <w:p>
                  <w:pPr>
                    <w:autoSpaceDE w:val="0"/>
                    <w:autoSpaceDN w:val="0"/>
                    <w:adjustRightInd w:val="0"/>
                    <w:jc w:val="center"/>
                    <w:rPr>
                      <w:szCs w:val="21"/>
                    </w:rPr>
                  </w:pPr>
                  <w:r>
                    <w:rPr>
                      <w:rFonts w:hint="eastAsia"/>
                      <w:iCs/>
                      <w:color w:val="000000"/>
                      <w:szCs w:val="21"/>
                      <w:lang w:val="en-US" w:eastAsia="zh-CN"/>
                    </w:rPr>
                    <w:t>5</w:t>
                  </w:r>
                  <w:r>
                    <w:rPr>
                      <w:iCs/>
                      <w:color w:val="000000"/>
                      <w:szCs w:val="21"/>
                    </w:rPr>
                    <w:t>00</w:t>
                  </w:r>
                </w:p>
              </w:tc>
              <w:tc>
                <w:tcPr>
                  <w:tcW w:w="879" w:type="dxa"/>
                  <w:vAlign w:val="center"/>
                </w:tcPr>
                <w:p>
                  <w:pPr>
                    <w:autoSpaceDE w:val="0"/>
                    <w:autoSpaceDN w:val="0"/>
                    <w:adjustRightInd w:val="0"/>
                    <w:jc w:val="center"/>
                    <w:rPr>
                      <w:szCs w:val="21"/>
                    </w:rPr>
                  </w:pPr>
                  <w:r>
                    <w:rPr>
                      <w:szCs w:val="21"/>
                    </w:rPr>
                    <w:t>套</w:t>
                  </w:r>
                  <w:r>
                    <w:rPr>
                      <w:rStyle w:val="21"/>
                      <w:rFonts w:hint="eastAsia"/>
                      <w:kern w:val="0"/>
                      <w:szCs w:val="20"/>
                    </w:rPr>
                    <w:t>/年</w:t>
                  </w:r>
                </w:p>
              </w:tc>
            </w:tr>
          </w:tbl>
          <w:p>
            <w:pPr>
              <w:spacing w:line="360" w:lineRule="auto"/>
              <w:rPr>
                <w:rFonts w:hint="eastAsia" w:ascii="宋体" w:hAnsi="宋体" w:eastAsia="宋体" w:cs="宋体"/>
                <w:lang w:eastAsia="zh-CN"/>
              </w:rPr>
            </w:pPr>
            <w:r>
              <w:rPr>
                <w:rFonts w:hint="eastAsia" w:ascii="宋体" w:hAnsi="宋体" w:cs="宋体"/>
                <w:lang w:val="en-US" w:eastAsia="zh-CN"/>
              </w:rPr>
              <w:t xml:space="preserve">     </w:t>
            </w:r>
            <w:r>
              <w:rPr>
                <w:rFonts w:hint="eastAsia" w:ascii="宋体" w:hAnsi="宋体" w:eastAsia="宋体" w:cs="宋体"/>
                <w:lang w:eastAsia="zh-CN"/>
              </w:rPr>
              <w:drawing>
                <wp:inline distT="0" distB="0" distL="114300" distR="114300">
                  <wp:extent cx="4267835" cy="2686050"/>
                  <wp:effectExtent l="0" t="0" r="8890" b="0"/>
                  <wp:docPr id="12" name="图片 12" descr="33844026819831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38440268198313039"/>
                          <pic:cNvPicPr>
                            <a:picLocks noChangeAspect="1"/>
                          </pic:cNvPicPr>
                        </pic:nvPicPr>
                        <pic:blipFill>
                          <a:blip r:embed="rId9"/>
                          <a:stretch>
                            <a:fillRect/>
                          </a:stretch>
                        </pic:blipFill>
                        <pic:spPr>
                          <a:xfrm>
                            <a:off x="0" y="0"/>
                            <a:ext cx="4267835" cy="2686050"/>
                          </a:xfrm>
                          <a:prstGeom prst="rect">
                            <a:avLst/>
                          </a:prstGeom>
                        </pic:spPr>
                      </pic:pic>
                    </a:graphicData>
                  </a:graphic>
                </wp:inline>
              </w:drawing>
            </w:r>
          </w:p>
          <w:p>
            <w:pPr>
              <w:jc w:val="center"/>
              <w:rPr>
                <w:rFonts w:ascii="宋体" w:hAnsi="宋体" w:cs="宋体"/>
                <w:sz w:val="24"/>
                <w:szCs w:val="24"/>
              </w:rPr>
            </w:pPr>
            <w:r>
              <w:rPr>
                <w:b/>
                <w:color w:val="000000"/>
                <w:sz w:val="24"/>
                <w:szCs w:val="24"/>
              </w:rPr>
              <w:t xml:space="preserve">图2-1  </w:t>
            </w:r>
            <w:r>
              <w:rPr>
                <w:rFonts w:ascii="宋体" w:hAnsi="宋体" w:cs="宋体"/>
                <w:b/>
                <w:bCs/>
                <w:sz w:val="24"/>
                <w:szCs w:val="24"/>
              </w:rPr>
              <w:t>艺术切片家居座椅</w:t>
            </w:r>
            <w:r>
              <w:rPr>
                <w:rFonts w:hint="eastAsia"/>
                <w:b/>
                <w:bCs/>
                <w:kern w:val="0"/>
                <w:sz w:val="24"/>
                <w:szCs w:val="24"/>
              </w:rPr>
              <w:t>图</w:t>
            </w:r>
          </w:p>
          <w:p>
            <w:pPr>
              <w:spacing w:line="360" w:lineRule="auto"/>
              <w:ind w:firstLine="480" w:firstLineChars="200"/>
              <w:rPr>
                <w:sz w:val="24"/>
              </w:rPr>
            </w:pPr>
            <w:r>
              <w:rPr>
                <w:rFonts w:ascii="宋体" w:hAnsi="宋体" w:cs="宋体"/>
                <w:sz w:val="24"/>
                <w:szCs w:val="24"/>
              </w:rPr>
              <w:t>三</w:t>
            </w:r>
            <w:r>
              <w:rPr>
                <w:rFonts w:hint="eastAsia"/>
                <w:b/>
                <w:bCs/>
                <w:kern w:val="0"/>
                <w:sz w:val="24"/>
                <w:szCs w:val="24"/>
              </w:rPr>
              <w:t>、</w:t>
            </w:r>
            <w:r>
              <w:rPr>
                <w:b/>
                <w:kern w:val="0"/>
                <w:sz w:val="24"/>
                <w:szCs w:val="24"/>
              </w:rPr>
              <w:t>生产</w:t>
            </w:r>
            <w:r>
              <w:rPr>
                <w:b/>
                <w:kern w:val="0"/>
                <w:sz w:val="24"/>
              </w:rPr>
              <w:t>设备一览表</w:t>
            </w:r>
          </w:p>
          <w:p>
            <w:pPr>
              <w:spacing w:line="360" w:lineRule="auto"/>
              <w:ind w:firstLine="480" w:firstLineChars="200"/>
              <w:rPr>
                <w:sz w:val="24"/>
              </w:rPr>
            </w:pPr>
            <w:r>
              <w:rPr>
                <w:sz w:val="24"/>
              </w:rPr>
              <w:t>项目主要生产设备见下表：</w:t>
            </w:r>
          </w:p>
          <w:p>
            <w:pPr>
              <w:pStyle w:val="12"/>
              <w:spacing w:line="360" w:lineRule="auto"/>
              <w:ind w:right="105" w:rightChars="50" w:firstLine="0"/>
              <w:jc w:val="center"/>
              <w:rPr>
                <w:rFonts w:ascii="Times New Roman" w:hAnsi="Times New Roman"/>
                <w:b/>
                <w:bCs/>
                <w:sz w:val="24"/>
              </w:rPr>
            </w:pPr>
            <w:r>
              <w:rPr>
                <w:rFonts w:ascii="Times New Roman" w:hAnsi="Times New Roman"/>
                <w:b/>
                <w:bCs/>
                <w:sz w:val="24"/>
              </w:rPr>
              <w:t>表2-</w:t>
            </w:r>
            <w:r>
              <w:rPr>
                <w:rFonts w:hint="eastAsia" w:ascii="Times New Roman" w:hAnsi="Times New Roman"/>
                <w:b/>
                <w:bCs/>
                <w:sz w:val="24"/>
              </w:rPr>
              <w:t>3</w:t>
            </w:r>
            <w:r>
              <w:rPr>
                <w:rFonts w:ascii="Times New Roman" w:hAnsi="Times New Roman"/>
                <w:b/>
                <w:bCs/>
                <w:sz w:val="24"/>
              </w:rPr>
              <w:t xml:space="preserve">  主要生产设备一览表</w:t>
            </w:r>
          </w:p>
          <w:tbl>
            <w:tblPr>
              <w:tblStyle w:val="22"/>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313"/>
              <w:gridCol w:w="2062"/>
              <w:gridCol w:w="132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jc w:val="center"/>
                    <w:rPr>
                      <w:b/>
                      <w:kern w:val="0"/>
                      <w:szCs w:val="21"/>
                    </w:rPr>
                  </w:pPr>
                  <w:r>
                    <w:rPr>
                      <w:b/>
                      <w:bCs/>
                      <w:szCs w:val="21"/>
                    </w:rPr>
                    <w:t>主要生产单元</w:t>
                  </w:r>
                </w:p>
              </w:tc>
              <w:tc>
                <w:tcPr>
                  <w:tcW w:w="1313" w:type="dxa"/>
                  <w:vAlign w:val="center"/>
                </w:tcPr>
                <w:p>
                  <w:pPr>
                    <w:jc w:val="center"/>
                    <w:rPr>
                      <w:b/>
                      <w:kern w:val="0"/>
                      <w:szCs w:val="21"/>
                    </w:rPr>
                  </w:pPr>
                  <w:r>
                    <w:rPr>
                      <w:b/>
                      <w:bCs/>
                      <w:szCs w:val="21"/>
                    </w:rPr>
                    <w:t>主要工艺</w:t>
                  </w:r>
                </w:p>
              </w:tc>
              <w:tc>
                <w:tcPr>
                  <w:tcW w:w="2062" w:type="dxa"/>
                  <w:vAlign w:val="center"/>
                </w:tcPr>
                <w:p>
                  <w:pPr>
                    <w:jc w:val="center"/>
                    <w:rPr>
                      <w:b/>
                      <w:kern w:val="0"/>
                      <w:szCs w:val="21"/>
                    </w:rPr>
                  </w:pPr>
                  <w:r>
                    <w:rPr>
                      <w:b/>
                      <w:bCs/>
                      <w:szCs w:val="21"/>
                    </w:rPr>
                    <w:t>主要生产设施</w:t>
                  </w:r>
                </w:p>
              </w:tc>
              <w:tc>
                <w:tcPr>
                  <w:tcW w:w="1320" w:type="dxa"/>
                  <w:vAlign w:val="center"/>
                </w:tcPr>
                <w:p>
                  <w:pPr>
                    <w:jc w:val="center"/>
                    <w:rPr>
                      <w:b/>
                      <w:kern w:val="0"/>
                      <w:szCs w:val="21"/>
                    </w:rPr>
                  </w:pPr>
                  <w:r>
                    <w:rPr>
                      <w:b/>
                      <w:bCs/>
                      <w:szCs w:val="21"/>
                    </w:rPr>
                    <w:t>数量</w:t>
                  </w:r>
                </w:p>
              </w:tc>
              <w:tc>
                <w:tcPr>
                  <w:tcW w:w="1764" w:type="dxa"/>
                  <w:vAlign w:val="center"/>
                </w:tcPr>
                <w:p>
                  <w:pPr>
                    <w:jc w:val="center"/>
                    <w:rPr>
                      <w:b/>
                      <w:kern w:val="0"/>
                      <w:szCs w:val="21"/>
                    </w:rPr>
                  </w:pPr>
                  <w:r>
                    <w:rPr>
                      <w:b/>
                      <w:bCs/>
                      <w:szCs w:val="21"/>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jc w:val="center"/>
                    <w:textAlignment w:val="center"/>
                    <w:rPr>
                      <w:b/>
                      <w:kern w:val="0"/>
                      <w:szCs w:val="21"/>
                    </w:rPr>
                  </w:pPr>
                  <w:r>
                    <w:rPr>
                      <w:szCs w:val="21"/>
                    </w:rPr>
                    <w:t>下料生产单元</w:t>
                  </w:r>
                </w:p>
              </w:tc>
              <w:tc>
                <w:tcPr>
                  <w:tcW w:w="1313" w:type="dxa"/>
                  <w:vAlign w:val="center"/>
                </w:tcPr>
                <w:p>
                  <w:pPr>
                    <w:widowControl/>
                    <w:jc w:val="center"/>
                    <w:textAlignment w:val="center"/>
                    <w:rPr>
                      <w:b/>
                      <w:kern w:val="0"/>
                      <w:szCs w:val="21"/>
                    </w:rPr>
                  </w:pPr>
                  <w:r>
                    <w:rPr>
                      <w:szCs w:val="21"/>
                    </w:rPr>
                    <w:t>下料</w:t>
                  </w:r>
                </w:p>
              </w:tc>
              <w:tc>
                <w:tcPr>
                  <w:tcW w:w="2062" w:type="dxa"/>
                  <w:vAlign w:val="center"/>
                </w:tcPr>
                <w:p>
                  <w:pPr>
                    <w:widowControl/>
                    <w:jc w:val="center"/>
                    <w:textAlignment w:val="center"/>
                    <w:rPr>
                      <w:b/>
                      <w:kern w:val="0"/>
                      <w:szCs w:val="21"/>
                    </w:rPr>
                  </w:pPr>
                  <w:r>
                    <w:rPr>
                      <w:rFonts w:hint="eastAsia" w:ascii="Times New Roman" w:hAnsi="Times New Roman" w:cs="Times New Roman"/>
                      <w:szCs w:val="21"/>
                      <w:lang w:val="en-US" w:eastAsia="zh-CN"/>
                    </w:rPr>
                    <w:t>大型台锯</w:t>
                  </w:r>
                </w:p>
              </w:tc>
              <w:tc>
                <w:tcPr>
                  <w:tcW w:w="1320" w:type="dxa"/>
                  <w:vAlign w:val="center"/>
                </w:tcPr>
                <w:p>
                  <w:pPr>
                    <w:widowControl/>
                    <w:jc w:val="center"/>
                    <w:textAlignment w:val="center"/>
                    <w:rPr>
                      <w:bCs/>
                      <w:kern w:val="0"/>
                      <w:szCs w:val="21"/>
                    </w:rPr>
                  </w:pPr>
                  <w:r>
                    <w:rPr>
                      <w:rFonts w:hint="eastAsia"/>
                      <w:bCs/>
                      <w:kern w:val="0"/>
                      <w:szCs w:val="21"/>
                    </w:rPr>
                    <w:t>2</w:t>
                  </w:r>
                </w:p>
              </w:tc>
              <w:tc>
                <w:tcPr>
                  <w:tcW w:w="1764" w:type="dxa"/>
                  <w:vAlign w:val="center"/>
                </w:tcPr>
                <w:p>
                  <w:pPr>
                    <w:widowControl/>
                    <w:jc w:val="center"/>
                    <w:textAlignment w:val="center"/>
                    <w:rPr>
                      <w:b/>
                      <w:kern w:val="0"/>
                      <w:szCs w:val="21"/>
                    </w:rPr>
                  </w:pPr>
                  <w:r>
                    <w:rPr>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jc w:val="center"/>
                    <w:textAlignment w:val="center"/>
                    <w:rPr>
                      <w:b/>
                      <w:kern w:val="0"/>
                      <w:szCs w:val="21"/>
                    </w:rPr>
                  </w:pPr>
                  <w:r>
                    <w:rPr>
                      <w:szCs w:val="21"/>
                    </w:rPr>
                    <w:t>雕刻生产单元</w:t>
                  </w:r>
                </w:p>
              </w:tc>
              <w:tc>
                <w:tcPr>
                  <w:tcW w:w="1313" w:type="dxa"/>
                  <w:vAlign w:val="center"/>
                </w:tcPr>
                <w:p>
                  <w:pPr>
                    <w:widowControl/>
                    <w:jc w:val="center"/>
                    <w:textAlignment w:val="center"/>
                    <w:rPr>
                      <w:b/>
                      <w:kern w:val="0"/>
                      <w:szCs w:val="21"/>
                    </w:rPr>
                  </w:pPr>
                  <w:r>
                    <w:rPr>
                      <w:szCs w:val="21"/>
                    </w:rPr>
                    <w:t>雕刻</w:t>
                  </w:r>
                </w:p>
              </w:tc>
              <w:tc>
                <w:tcPr>
                  <w:tcW w:w="2062" w:type="dxa"/>
                  <w:vAlign w:val="center"/>
                </w:tcPr>
                <w:p>
                  <w:pPr>
                    <w:widowControl/>
                    <w:jc w:val="center"/>
                    <w:textAlignment w:val="center"/>
                    <w:rPr>
                      <w:b/>
                      <w:kern w:val="0"/>
                      <w:szCs w:val="21"/>
                    </w:rPr>
                  </w:pPr>
                  <w:r>
                    <w:rPr>
                      <w:rFonts w:ascii="宋体" w:hAnsi="宋体" w:cs="宋体"/>
                      <w:szCs w:val="21"/>
                    </w:rPr>
                    <w:t>轴雕刻机</w:t>
                  </w:r>
                </w:p>
              </w:tc>
              <w:tc>
                <w:tcPr>
                  <w:tcW w:w="1320" w:type="dxa"/>
                  <w:vAlign w:val="center"/>
                </w:tcPr>
                <w:p>
                  <w:pPr>
                    <w:widowControl/>
                    <w:jc w:val="center"/>
                    <w:textAlignment w:val="center"/>
                    <w:rPr>
                      <w:rFonts w:hint="eastAsia" w:eastAsia="宋体"/>
                      <w:bCs/>
                      <w:kern w:val="0"/>
                      <w:szCs w:val="21"/>
                      <w:lang w:eastAsia="zh-CN"/>
                    </w:rPr>
                  </w:pPr>
                  <w:r>
                    <w:rPr>
                      <w:rFonts w:hint="eastAsia"/>
                      <w:bCs/>
                      <w:kern w:val="0"/>
                      <w:szCs w:val="21"/>
                      <w:lang w:val="en-US" w:eastAsia="zh-CN"/>
                    </w:rPr>
                    <w:t>2</w:t>
                  </w:r>
                </w:p>
              </w:tc>
              <w:tc>
                <w:tcPr>
                  <w:tcW w:w="1764" w:type="dxa"/>
                  <w:vAlign w:val="center"/>
                </w:tcPr>
                <w:p>
                  <w:pPr>
                    <w:widowControl/>
                    <w:jc w:val="center"/>
                    <w:textAlignment w:val="center"/>
                    <w:rPr>
                      <w:b/>
                      <w:kern w:val="0"/>
                      <w:szCs w:val="21"/>
                    </w:rPr>
                  </w:pPr>
                  <w:r>
                    <w:rPr>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jc w:val="center"/>
                    <w:textAlignment w:val="center"/>
                    <w:rPr>
                      <w:b/>
                      <w:kern w:val="0"/>
                      <w:szCs w:val="21"/>
                    </w:rPr>
                  </w:pPr>
                  <w:r>
                    <w:rPr>
                      <w:rFonts w:ascii="宋体" w:hAnsi="宋体" w:cs="宋体"/>
                      <w:szCs w:val="21"/>
                    </w:rPr>
                    <w:t>封边</w:t>
                  </w:r>
                  <w:r>
                    <w:rPr>
                      <w:szCs w:val="21"/>
                    </w:rPr>
                    <w:t>生产单元</w:t>
                  </w:r>
                </w:p>
              </w:tc>
              <w:tc>
                <w:tcPr>
                  <w:tcW w:w="1313" w:type="dxa"/>
                  <w:vAlign w:val="center"/>
                </w:tcPr>
                <w:p>
                  <w:pPr>
                    <w:widowControl/>
                    <w:jc w:val="center"/>
                    <w:textAlignment w:val="center"/>
                    <w:rPr>
                      <w:b/>
                      <w:kern w:val="0"/>
                      <w:szCs w:val="21"/>
                    </w:rPr>
                  </w:pPr>
                  <w:r>
                    <w:rPr>
                      <w:rFonts w:ascii="宋体" w:hAnsi="宋体" w:cs="宋体"/>
                      <w:szCs w:val="21"/>
                    </w:rPr>
                    <w:t>封边</w:t>
                  </w:r>
                </w:p>
              </w:tc>
              <w:tc>
                <w:tcPr>
                  <w:tcW w:w="2062" w:type="dxa"/>
                  <w:vAlign w:val="center"/>
                </w:tcPr>
                <w:p>
                  <w:pPr>
                    <w:widowControl/>
                    <w:jc w:val="center"/>
                    <w:textAlignment w:val="center"/>
                    <w:rPr>
                      <w:b/>
                      <w:kern w:val="0"/>
                      <w:szCs w:val="21"/>
                    </w:rPr>
                  </w:pPr>
                  <w:r>
                    <w:rPr>
                      <w:rFonts w:hint="eastAsia" w:ascii="宋体" w:hAnsi="宋体" w:cs="宋体"/>
                      <w:szCs w:val="21"/>
                    </w:rPr>
                    <w:t>热熔</w:t>
                  </w:r>
                  <w:r>
                    <w:rPr>
                      <w:rFonts w:ascii="宋体" w:hAnsi="宋体" w:cs="宋体"/>
                      <w:szCs w:val="21"/>
                    </w:rPr>
                    <w:t>封边机</w:t>
                  </w:r>
                </w:p>
              </w:tc>
              <w:tc>
                <w:tcPr>
                  <w:tcW w:w="1320" w:type="dxa"/>
                  <w:vAlign w:val="center"/>
                </w:tcPr>
                <w:p>
                  <w:pPr>
                    <w:widowControl/>
                    <w:jc w:val="center"/>
                    <w:textAlignment w:val="center"/>
                    <w:rPr>
                      <w:bCs/>
                      <w:kern w:val="0"/>
                      <w:szCs w:val="21"/>
                    </w:rPr>
                  </w:pPr>
                  <w:r>
                    <w:rPr>
                      <w:bCs/>
                      <w:kern w:val="0"/>
                      <w:szCs w:val="21"/>
                    </w:rPr>
                    <w:t>1</w:t>
                  </w:r>
                </w:p>
              </w:tc>
              <w:tc>
                <w:tcPr>
                  <w:tcW w:w="1764" w:type="dxa"/>
                  <w:vAlign w:val="center"/>
                </w:tcPr>
                <w:p>
                  <w:pPr>
                    <w:widowControl/>
                    <w:jc w:val="center"/>
                    <w:textAlignment w:val="center"/>
                    <w:rPr>
                      <w:b/>
                      <w:kern w:val="0"/>
                      <w:szCs w:val="21"/>
                    </w:rPr>
                  </w:pPr>
                  <w:r>
                    <w:rPr>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Align w:val="center"/>
                </w:tcPr>
                <w:p>
                  <w:pPr>
                    <w:widowControl/>
                    <w:jc w:val="center"/>
                    <w:textAlignment w:val="center"/>
                    <w:rPr>
                      <w:szCs w:val="21"/>
                    </w:rPr>
                  </w:pPr>
                  <w:r>
                    <w:rPr>
                      <w:rFonts w:ascii="宋体" w:hAnsi="宋体" w:cs="宋体"/>
                      <w:szCs w:val="21"/>
                    </w:rPr>
                    <w:t>修边</w:t>
                  </w:r>
                  <w:r>
                    <w:rPr>
                      <w:szCs w:val="21"/>
                    </w:rPr>
                    <w:t>生产单元</w:t>
                  </w:r>
                </w:p>
              </w:tc>
              <w:tc>
                <w:tcPr>
                  <w:tcW w:w="1313" w:type="dxa"/>
                  <w:vAlign w:val="center"/>
                </w:tcPr>
                <w:p>
                  <w:pPr>
                    <w:widowControl/>
                    <w:jc w:val="center"/>
                    <w:textAlignment w:val="center"/>
                    <w:rPr>
                      <w:szCs w:val="21"/>
                    </w:rPr>
                  </w:pPr>
                  <w:r>
                    <w:rPr>
                      <w:rFonts w:ascii="宋体" w:hAnsi="宋体" w:cs="宋体"/>
                      <w:szCs w:val="21"/>
                    </w:rPr>
                    <w:t>修边</w:t>
                  </w:r>
                </w:p>
              </w:tc>
              <w:tc>
                <w:tcPr>
                  <w:tcW w:w="2062" w:type="dxa"/>
                  <w:vAlign w:val="center"/>
                </w:tcPr>
                <w:p>
                  <w:pPr>
                    <w:widowControl/>
                    <w:jc w:val="center"/>
                    <w:textAlignment w:val="center"/>
                    <w:rPr>
                      <w:szCs w:val="21"/>
                    </w:rPr>
                  </w:pPr>
                  <w:r>
                    <w:rPr>
                      <w:rFonts w:hint="eastAsia" w:ascii="宋体" w:hAnsi="宋体" w:cs="宋体"/>
                      <w:szCs w:val="21"/>
                    </w:rPr>
                    <w:t>双轴</w:t>
                  </w:r>
                  <w:r>
                    <w:rPr>
                      <w:rFonts w:ascii="宋体" w:hAnsi="宋体" w:cs="宋体"/>
                      <w:szCs w:val="21"/>
                    </w:rPr>
                    <w:t>修边机</w:t>
                  </w:r>
                </w:p>
              </w:tc>
              <w:tc>
                <w:tcPr>
                  <w:tcW w:w="1320" w:type="dxa"/>
                  <w:vAlign w:val="center"/>
                </w:tcPr>
                <w:p>
                  <w:pPr>
                    <w:widowControl/>
                    <w:jc w:val="center"/>
                    <w:textAlignment w:val="center"/>
                    <w:rPr>
                      <w:rFonts w:hint="eastAsia" w:eastAsia="宋体"/>
                      <w:bCs/>
                      <w:kern w:val="0"/>
                      <w:szCs w:val="21"/>
                      <w:lang w:eastAsia="zh-CN"/>
                    </w:rPr>
                  </w:pPr>
                  <w:r>
                    <w:rPr>
                      <w:rFonts w:hint="eastAsia"/>
                      <w:bCs/>
                      <w:kern w:val="0"/>
                      <w:szCs w:val="21"/>
                      <w:lang w:val="en-US" w:eastAsia="zh-CN"/>
                    </w:rPr>
                    <w:t>2</w:t>
                  </w:r>
                </w:p>
              </w:tc>
              <w:tc>
                <w:tcPr>
                  <w:tcW w:w="1764" w:type="dxa"/>
                  <w:vAlign w:val="center"/>
                </w:tcPr>
                <w:p>
                  <w:pPr>
                    <w:widowControl/>
                    <w:jc w:val="center"/>
                    <w:textAlignment w:val="center"/>
                    <w:rPr>
                      <w:b/>
                      <w:kern w:val="0"/>
                      <w:szCs w:val="21"/>
                    </w:rPr>
                  </w:pPr>
                  <w:r>
                    <w:rPr>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1486" w:type="dxa"/>
                  <w:vAlign w:val="center"/>
                </w:tcPr>
                <w:p>
                  <w:pPr>
                    <w:widowControl/>
                    <w:jc w:val="center"/>
                    <w:textAlignment w:val="center"/>
                    <w:rPr>
                      <w:b/>
                      <w:kern w:val="0"/>
                      <w:szCs w:val="21"/>
                    </w:rPr>
                  </w:pPr>
                  <w:r>
                    <w:rPr>
                      <w:bCs/>
                      <w:kern w:val="0"/>
                      <w:szCs w:val="21"/>
                    </w:rPr>
                    <w:t>打磨</w:t>
                  </w:r>
                  <w:r>
                    <w:rPr>
                      <w:szCs w:val="21"/>
                    </w:rPr>
                    <w:t>生产单元</w:t>
                  </w:r>
                </w:p>
              </w:tc>
              <w:tc>
                <w:tcPr>
                  <w:tcW w:w="1313" w:type="dxa"/>
                  <w:vAlign w:val="center"/>
                </w:tcPr>
                <w:p>
                  <w:pPr>
                    <w:widowControl/>
                    <w:jc w:val="center"/>
                    <w:textAlignment w:val="center"/>
                    <w:rPr>
                      <w:bCs/>
                      <w:kern w:val="0"/>
                      <w:szCs w:val="21"/>
                    </w:rPr>
                  </w:pPr>
                  <w:r>
                    <w:rPr>
                      <w:szCs w:val="21"/>
                    </w:rPr>
                    <w:t>打磨</w:t>
                  </w:r>
                </w:p>
              </w:tc>
              <w:tc>
                <w:tcPr>
                  <w:tcW w:w="2062" w:type="dxa"/>
                  <w:vAlign w:val="center"/>
                </w:tcPr>
                <w:p>
                  <w:pPr>
                    <w:widowControl/>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lang w:val="en-US" w:eastAsia="zh-CN"/>
                    </w:rPr>
                    <w:t>砂磨机</w:t>
                  </w:r>
                </w:p>
              </w:tc>
              <w:tc>
                <w:tcPr>
                  <w:tcW w:w="1320" w:type="dxa"/>
                  <w:vAlign w:val="center"/>
                </w:tcPr>
                <w:p>
                  <w:pPr>
                    <w:widowControl/>
                    <w:jc w:val="center"/>
                    <w:textAlignment w:val="center"/>
                    <w:rPr>
                      <w:rFonts w:ascii="Times New Roman" w:hAnsi="Times New Roman" w:cs="Times New Roman"/>
                      <w:bCs/>
                      <w:kern w:val="0"/>
                      <w:szCs w:val="21"/>
                    </w:rPr>
                  </w:pPr>
                  <w:r>
                    <w:rPr>
                      <w:rFonts w:hint="eastAsia" w:ascii="Times New Roman" w:hAnsi="Times New Roman" w:cs="Times New Roman"/>
                      <w:bCs/>
                      <w:kern w:val="0"/>
                      <w:szCs w:val="21"/>
                    </w:rPr>
                    <w:t>1</w:t>
                  </w:r>
                </w:p>
              </w:tc>
              <w:tc>
                <w:tcPr>
                  <w:tcW w:w="1764" w:type="dxa"/>
                  <w:vAlign w:val="center"/>
                </w:tcPr>
                <w:p>
                  <w:pPr>
                    <w:widowControl/>
                    <w:jc w:val="center"/>
                    <w:textAlignment w:val="center"/>
                    <w:rPr>
                      <w:rFonts w:ascii="Times New Roman" w:hAnsi="Times New Roman" w:cs="Times New Roman"/>
                      <w:bCs/>
                      <w:kern w:val="0"/>
                      <w:szCs w:val="21"/>
                    </w:rPr>
                  </w:pPr>
                  <w:r>
                    <w:rPr>
                      <w:rFonts w:ascii="Times New Roman" w:hAnsi="Times New Roman" w:cs="Times New Roman"/>
                      <w:bCs/>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vMerge w:val="restart"/>
                  <w:vAlign w:val="center"/>
                </w:tcPr>
                <w:p>
                  <w:pPr>
                    <w:widowControl/>
                    <w:jc w:val="center"/>
                    <w:textAlignment w:val="center"/>
                    <w:rPr>
                      <w:b/>
                      <w:kern w:val="0"/>
                      <w:szCs w:val="21"/>
                    </w:rPr>
                  </w:pPr>
                  <w:r>
                    <w:rPr>
                      <w:szCs w:val="21"/>
                    </w:rPr>
                    <w:t>辅助单元</w:t>
                  </w:r>
                </w:p>
              </w:tc>
              <w:tc>
                <w:tcPr>
                  <w:tcW w:w="1313" w:type="dxa"/>
                  <w:vMerge w:val="restart"/>
                  <w:vAlign w:val="center"/>
                </w:tcPr>
                <w:p>
                  <w:pPr>
                    <w:widowControl/>
                    <w:jc w:val="center"/>
                    <w:textAlignment w:val="center"/>
                    <w:rPr>
                      <w:b/>
                      <w:kern w:val="0"/>
                      <w:szCs w:val="21"/>
                    </w:rPr>
                  </w:pPr>
                  <w:r>
                    <w:rPr>
                      <w:szCs w:val="21"/>
                    </w:rPr>
                    <w:t>辅助</w:t>
                  </w:r>
                </w:p>
              </w:tc>
              <w:tc>
                <w:tcPr>
                  <w:tcW w:w="2062" w:type="dxa"/>
                  <w:vAlign w:val="center"/>
                </w:tcPr>
                <w:p>
                  <w:pPr>
                    <w:widowControl/>
                    <w:jc w:val="center"/>
                    <w:textAlignment w:val="center"/>
                    <w:rPr>
                      <w:rFonts w:ascii="Times New Roman" w:hAnsi="Times New Roman" w:cs="Times New Roman"/>
                      <w:bCs/>
                      <w:kern w:val="0"/>
                      <w:szCs w:val="21"/>
                    </w:rPr>
                  </w:pPr>
                  <w:r>
                    <w:rPr>
                      <w:rFonts w:ascii="Times New Roman" w:hAnsi="Times New Roman" w:cs="Times New Roman"/>
                      <w:bCs/>
                      <w:kern w:val="0"/>
                      <w:szCs w:val="21"/>
                    </w:rPr>
                    <w:t>空压机</w:t>
                  </w:r>
                </w:p>
              </w:tc>
              <w:tc>
                <w:tcPr>
                  <w:tcW w:w="1320" w:type="dxa"/>
                  <w:vAlign w:val="center"/>
                </w:tcPr>
                <w:p>
                  <w:pPr>
                    <w:widowControl/>
                    <w:jc w:val="center"/>
                    <w:textAlignment w:val="center"/>
                    <w:rPr>
                      <w:rFonts w:hint="eastAsia" w:ascii="Times New Roman" w:hAnsi="Times New Roman" w:cs="Times New Roman"/>
                      <w:bCs/>
                      <w:kern w:val="0"/>
                      <w:szCs w:val="21"/>
                      <w:lang w:eastAsia="zh-CN"/>
                    </w:rPr>
                  </w:pPr>
                  <w:r>
                    <w:rPr>
                      <w:rFonts w:hint="eastAsia" w:ascii="Times New Roman" w:hAnsi="Times New Roman" w:cs="Times New Roman"/>
                      <w:bCs/>
                      <w:kern w:val="0"/>
                      <w:szCs w:val="21"/>
                      <w:lang w:val="en-US" w:eastAsia="zh-CN"/>
                    </w:rPr>
                    <w:t>2</w:t>
                  </w:r>
                </w:p>
              </w:tc>
              <w:tc>
                <w:tcPr>
                  <w:tcW w:w="1764" w:type="dxa"/>
                  <w:vAlign w:val="center"/>
                </w:tcPr>
                <w:p>
                  <w:pPr>
                    <w:widowControl/>
                    <w:jc w:val="center"/>
                    <w:textAlignment w:val="center"/>
                    <w:rPr>
                      <w:rFonts w:ascii="Times New Roman" w:hAnsi="Times New Roman" w:cs="Times New Roman"/>
                      <w:bCs/>
                      <w:kern w:val="0"/>
                      <w:szCs w:val="21"/>
                    </w:rPr>
                  </w:pPr>
                  <w:r>
                    <w:rPr>
                      <w:rFonts w:ascii="Times New Roman" w:hAnsi="Times New Roman" w:cs="Times New Roman"/>
                      <w:bCs/>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486" w:type="dxa"/>
                  <w:vMerge w:val="continue"/>
                  <w:vAlign w:val="center"/>
                </w:tcPr>
                <w:p>
                  <w:pPr>
                    <w:widowControl/>
                    <w:jc w:val="center"/>
                    <w:textAlignment w:val="center"/>
                    <w:rPr>
                      <w:szCs w:val="21"/>
                    </w:rPr>
                  </w:pPr>
                </w:p>
              </w:tc>
              <w:tc>
                <w:tcPr>
                  <w:tcW w:w="1313" w:type="dxa"/>
                  <w:vMerge w:val="continue"/>
                  <w:vAlign w:val="center"/>
                </w:tcPr>
                <w:p>
                  <w:pPr>
                    <w:widowControl/>
                    <w:jc w:val="center"/>
                    <w:textAlignment w:val="center"/>
                    <w:rPr>
                      <w:szCs w:val="21"/>
                    </w:rPr>
                  </w:pPr>
                </w:p>
              </w:tc>
              <w:tc>
                <w:tcPr>
                  <w:tcW w:w="2062" w:type="dxa"/>
                  <w:vAlign w:val="center"/>
                </w:tcPr>
                <w:p>
                  <w:pPr>
                    <w:widowControl/>
                    <w:jc w:val="center"/>
                    <w:textAlignment w:val="center"/>
                    <w:rPr>
                      <w:szCs w:val="21"/>
                    </w:rPr>
                  </w:pPr>
                  <w:r>
                    <w:rPr>
                      <w:rFonts w:hint="eastAsia" w:ascii="Times New Roman" w:hAnsi="Times New Roman" w:cs="Times New Roman"/>
                      <w:szCs w:val="21"/>
                    </w:rPr>
                    <w:t>叉</w:t>
                  </w:r>
                  <w:r>
                    <w:rPr>
                      <w:rFonts w:ascii="Times New Roman" w:hAnsi="Times New Roman" w:cs="Times New Roman"/>
                      <w:szCs w:val="21"/>
                    </w:rPr>
                    <w:t>车</w:t>
                  </w:r>
                </w:p>
              </w:tc>
              <w:tc>
                <w:tcPr>
                  <w:tcW w:w="1320" w:type="dxa"/>
                  <w:vAlign w:val="center"/>
                </w:tcPr>
                <w:p>
                  <w:pPr>
                    <w:widowControl/>
                    <w:jc w:val="center"/>
                    <w:textAlignment w:val="center"/>
                    <w:rPr>
                      <w:bCs/>
                      <w:kern w:val="0"/>
                      <w:szCs w:val="21"/>
                    </w:rPr>
                  </w:pPr>
                  <w:r>
                    <w:rPr>
                      <w:rFonts w:hint="eastAsia"/>
                      <w:bCs/>
                      <w:kern w:val="0"/>
                      <w:szCs w:val="21"/>
                    </w:rPr>
                    <w:t>1</w:t>
                  </w:r>
                </w:p>
              </w:tc>
              <w:tc>
                <w:tcPr>
                  <w:tcW w:w="1764" w:type="dxa"/>
                  <w:vAlign w:val="center"/>
                </w:tcPr>
                <w:p>
                  <w:pPr>
                    <w:widowControl/>
                    <w:jc w:val="center"/>
                    <w:textAlignment w:val="center"/>
                    <w:rPr>
                      <w:szCs w:val="21"/>
                    </w:rPr>
                  </w:pPr>
                  <w:r>
                    <w:rPr>
                      <w:rFonts w:hint="eastAsia"/>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486" w:type="dxa"/>
                  <w:vAlign w:val="center"/>
                </w:tcPr>
                <w:p>
                  <w:pPr>
                    <w:widowControl/>
                    <w:jc w:val="center"/>
                    <w:textAlignment w:val="center"/>
                    <w:rPr>
                      <w:szCs w:val="21"/>
                    </w:rPr>
                  </w:pPr>
                  <w:r>
                    <w:rPr>
                      <w:rFonts w:hint="eastAsia"/>
                      <w:color w:val="000000"/>
                      <w:kern w:val="0"/>
                      <w:szCs w:val="21"/>
                      <w:lang w:bidi="ar"/>
                    </w:rPr>
                    <w:t>喷漆</w:t>
                  </w:r>
                  <w:r>
                    <w:rPr>
                      <w:szCs w:val="21"/>
                    </w:rPr>
                    <w:t>单元</w:t>
                  </w:r>
                </w:p>
              </w:tc>
              <w:tc>
                <w:tcPr>
                  <w:tcW w:w="1313" w:type="dxa"/>
                  <w:vAlign w:val="center"/>
                </w:tcPr>
                <w:p>
                  <w:pPr>
                    <w:widowControl/>
                    <w:jc w:val="center"/>
                    <w:textAlignment w:val="center"/>
                    <w:rPr>
                      <w:szCs w:val="21"/>
                    </w:rPr>
                  </w:pPr>
                  <w:r>
                    <w:rPr>
                      <w:rFonts w:hint="eastAsia"/>
                      <w:color w:val="000000"/>
                      <w:kern w:val="0"/>
                      <w:szCs w:val="21"/>
                      <w:lang w:bidi="ar"/>
                    </w:rPr>
                    <w:t>喷漆</w:t>
                  </w:r>
                </w:p>
              </w:tc>
              <w:tc>
                <w:tcPr>
                  <w:tcW w:w="2062" w:type="dxa"/>
                  <w:vAlign w:val="center"/>
                </w:tcPr>
                <w:p>
                  <w:pPr>
                    <w:widowControl/>
                    <w:jc w:val="center"/>
                    <w:textAlignment w:val="center"/>
                    <w:rPr>
                      <w:rFonts w:ascii="宋体" w:hAnsi="宋体" w:cs="宋体"/>
                      <w:szCs w:val="21"/>
                    </w:rPr>
                  </w:pPr>
                  <w:r>
                    <w:rPr>
                      <w:rFonts w:hint="eastAsia"/>
                      <w:color w:val="000000"/>
                      <w:kern w:val="0"/>
                      <w:szCs w:val="21"/>
                      <w:lang w:bidi="ar"/>
                    </w:rPr>
                    <w:t>喷漆房</w:t>
                  </w:r>
                </w:p>
              </w:tc>
              <w:tc>
                <w:tcPr>
                  <w:tcW w:w="1320" w:type="dxa"/>
                  <w:vAlign w:val="center"/>
                </w:tcPr>
                <w:p>
                  <w:pPr>
                    <w:widowControl/>
                    <w:jc w:val="center"/>
                    <w:textAlignment w:val="center"/>
                    <w:rPr>
                      <w:bCs/>
                      <w:kern w:val="0"/>
                      <w:szCs w:val="21"/>
                    </w:rPr>
                  </w:pPr>
                  <w:r>
                    <w:rPr>
                      <w:rFonts w:hint="eastAsia"/>
                      <w:bCs/>
                      <w:kern w:val="0"/>
                      <w:szCs w:val="21"/>
                    </w:rPr>
                    <w:t>1</w:t>
                  </w:r>
                </w:p>
              </w:tc>
              <w:tc>
                <w:tcPr>
                  <w:tcW w:w="1764" w:type="dxa"/>
                  <w:vAlign w:val="center"/>
                </w:tcPr>
                <w:p>
                  <w:pPr>
                    <w:widowControl/>
                    <w:jc w:val="center"/>
                    <w:textAlignment w:val="center"/>
                    <w:rPr>
                      <w:szCs w:val="21"/>
                    </w:rPr>
                  </w:pPr>
                  <w:r>
                    <w:rPr>
                      <w:rFonts w:hint="eastAsia"/>
                      <w:szCs w:val="21"/>
                    </w:rPr>
                    <w:t>间</w:t>
                  </w:r>
                </w:p>
              </w:tc>
            </w:tr>
          </w:tbl>
          <w:p>
            <w:pPr>
              <w:keepNext w:val="0"/>
              <w:keepLines w:val="0"/>
              <w:suppressLineNumbers w:val="0"/>
              <w:spacing w:before="0" w:beforeAutospacing="0" w:after="0" w:afterAutospacing="0" w:line="360" w:lineRule="auto"/>
              <w:ind w:left="0" w:right="0" w:firstLine="2409" w:firstLineChars="1000"/>
              <w:rPr>
                <w:rFonts w:hint="eastAsia" w:ascii="Times New Roman" w:hAnsi="Times New Roman" w:eastAsia="宋体" w:cs="Times New Roman"/>
                <w:b/>
                <w:bCs/>
                <w:kern w:val="2"/>
                <w:sz w:val="24"/>
                <w:szCs w:val="24"/>
                <w:lang w:val="en-US" w:eastAsia="zh-CN" w:bidi="ar-SA"/>
              </w:rPr>
            </w:pPr>
            <w:r>
              <w:rPr>
                <w:rFonts w:ascii="Times New Roman" w:hAnsi="Times New Roman"/>
                <w:b/>
                <w:bCs/>
                <w:sz w:val="24"/>
              </w:rPr>
              <w:t>表2-</w:t>
            </w:r>
            <w:r>
              <w:rPr>
                <w:rFonts w:hint="eastAsia" w:ascii="Times New Roman" w:hAnsi="Times New Roman"/>
                <w:b/>
                <w:bCs/>
                <w:sz w:val="24"/>
                <w:lang w:val="en-US" w:eastAsia="zh-CN"/>
              </w:rPr>
              <w:t>4</w:t>
            </w:r>
            <w:r>
              <w:rPr>
                <w:rFonts w:ascii="Times New Roman" w:hAnsi="Times New Roman"/>
                <w:b/>
                <w:bCs/>
                <w:sz w:val="24"/>
              </w:rPr>
              <w:t xml:space="preserve">  </w:t>
            </w:r>
            <w:r>
              <w:rPr>
                <w:rFonts w:hint="eastAsia" w:ascii="Times New Roman" w:hAnsi="Times New Roman" w:eastAsia="宋体" w:cs="Times New Roman"/>
                <w:b/>
                <w:bCs/>
                <w:kern w:val="2"/>
                <w:sz w:val="24"/>
                <w:szCs w:val="24"/>
                <w:lang w:val="en-US" w:eastAsia="zh-CN" w:bidi="ar-SA"/>
              </w:rPr>
              <w:t>喷漆房</w:t>
            </w:r>
            <w:r>
              <w:rPr>
                <w:rFonts w:ascii="Times New Roman" w:hAnsi="Times New Roman" w:eastAsia="宋体" w:cs="Times New Roman"/>
                <w:b/>
                <w:bCs/>
                <w:kern w:val="2"/>
                <w:sz w:val="24"/>
                <w:szCs w:val="24"/>
                <w:lang w:val="en-US" w:eastAsia="zh-CN" w:bidi="ar-SA"/>
              </w:rPr>
              <w:t>具体参数</w:t>
            </w:r>
            <w:r>
              <w:rPr>
                <w:rFonts w:hint="default" w:ascii="Times New Roman" w:hAnsi="Times New Roman" w:eastAsia="宋体" w:cs="Times New Roman"/>
                <w:b/>
                <w:bCs/>
                <w:kern w:val="2"/>
                <w:sz w:val="24"/>
                <w:szCs w:val="24"/>
                <w:lang w:val="en-US" w:eastAsia="zh-CN" w:bidi="ar-SA"/>
              </w:rPr>
              <w:t>一览表</w:t>
            </w:r>
          </w:p>
          <w:tbl>
            <w:tblPr>
              <w:tblStyle w:val="23"/>
              <w:tblW w:w="7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438"/>
              <w:gridCol w:w="1095"/>
              <w:gridCol w:w="863"/>
              <w:gridCol w:w="1207"/>
              <w:gridCol w:w="938"/>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
                      <w:bCs/>
                      <w:kern w:val="0"/>
                      <w:vertAlign w:val="baseline"/>
                      <w:lang w:eastAsia="zh-CN"/>
                    </w:rPr>
                  </w:pPr>
                  <w:r>
                    <w:rPr>
                      <w:rFonts w:hint="default" w:ascii="Times New Roman" w:hAnsi="Times New Roman" w:eastAsia="宋体" w:cs="Times New Roman"/>
                      <w:b/>
                      <w:bCs/>
                      <w:kern w:val="0"/>
                      <w:sz w:val="21"/>
                      <w:szCs w:val="21"/>
                    </w:rPr>
                    <w:t>序号</w:t>
                  </w:r>
                </w:p>
              </w:tc>
              <w:tc>
                <w:tcPr>
                  <w:tcW w:w="143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
                      <w:bCs/>
                      <w:kern w:val="0"/>
                      <w:vertAlign w:val="baseline"/>
                      <w:lang w:eastAsia="zh-CN"/>
                    </w:rPr>
                  </w:pPr>
                  <w:r>
                    <w:rPr>
                      <w:rFonts w:hint="default" w:ascii="Times New Roman" w:hAnsi="Times New Roman" w:eastAsia="宋体" w:cs="Times New Roman"/>
                      <w:b/>
                      <w:bCs/>
                      <w:kern w:val="0"/>
                      <w:sz w:val="21"/>
                      <w:szCs w:val="21"/>
                    </w:rPr>
                    <w:t>设备名称</w:t>
                  </w:r>
                </w:p>
              </w:tc>
              <w:tc>
                <w:tcPr>
                  <w:tcW w:w="1095"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
                      <w:bCs/>
                      <w:kern w:val="0"/>
                      <w:vertAlign w:val="baseline"/>
                      <w:lang w:eastAsia="zh-CN"/>
                    </w:rPr>
                  </w:pPr>
                  <w:r>
                    <w:rPr>
                      <w:rFonts w:hint="default" w:ascii="Times New Roman" w:hAnsi="Times New Roman" w:eastAsia="宋体" w:cs="Times New Roman"/>
                      <w:b/>
                      <w:bCs/>
                      <w:color w:val="000000"/>
                      <w:sz w:val="21"/>
                      <w:szCs w:val="21"/>
                      <w:lang w:eastAsia="zh-CN"/>
                    </w:rPr>
                    <w:t>数量</w:t>
                  </w:r>
                </w:p>
              </w:tc>
              <w:tc>
                <w:tcPr>
                  <w:tcW w:w="863"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bCs/>
                      <w:kern w:val="0"/>
                      <w:sz w:val="21"/>
                      <w:szCs w:val="21"/>
                      <w:lang w:eastAsia="zh-CN"/>
                    </w:rPr>
                  </w:pPr>
                  <w:r>
                    <w:rPr>
                      <w:rFonts w:hint="eastAsia" w:ascii="Times New Roman" w:hAnsi="Times New Roman" w:eastAsia="宋体" w:cs="Times New Roman"/>
                      <w:b/>
                      <w:bCs/>
                      <w:kern w:val="0"/>
                      <w:sz w:val="21"/>
                      <w:szCs w:val="21"/>
                      <w:lang w:val="en-US" w:eastAsia="zh-CN"/>
                    </w:rPr>
                    <w:t>长</w:t>
                  </w:r>
                </w:p>
              </w:tc>
              <w:tc>
                <w:tcPr>
                  <w:tcW w:w="120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b/>
                      <w:bCs/>
                      <w:kern w:val="0"/>
                      <w:sz w:val="21"/>
                      <w:szCs w:val="21"/>
                      <w:lang w:eastAsia="zh-CN"/>
                    </w:rPr>
                  </w:pPr>
                  <w:r>
                    <w:rPr>
                      <w:rFonts w:hint="eastAsia" w:ascii="Times New Roman" w:hAnsi="Times New Roman" w:eastAsia="宋体" w:cs="Times New Roman"/>
                      <w:b/>
                      <w:bCs/>
                      <w:kern w:val="0"/>
                      <w:sz w:val="21"/>
                      <w:szCs w:val="21"/>
                      <w:lang w:val="en-US" w:eastAsia="zh-CN"/>
                    </w:rPr>
                    <w:t>宽</w:t>
                  </w:r>
                </w:p>
              </w:tc>
              <w:tc>
                <w:tcPr>
                  <w:tcW w:w="938"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bCs/>
                      <w:kern w:val="0"/>
                      <w:sz w:val="21"/>
                      <w:szCs w:val="21"/>
                      <w:lang w:val="en-US" w:eastAsia="zh-CN"/>
                    </w:rPr>
                  </w:pPr>
                  <w:r>
                    <w:rPr>
                      <w:rFonts w:hint="eastAsia" w:ascii="Times New Roman" w:hAnsi="Times New Roman" w:eastAsia="宋体" w:cs="Times New Roman"/>
                      <w:b/>
                      <w:bCs/>
                      <w:kern w:val="0"/>
                      <w:sz w:val="21"/>
                      <w:szCs w:val="21"/>
                      <w:lang w:val="en-US" w:eastAsia="zh-CN"/>
                    </w:rPr>
                    <w:t>高</w:t>
                  </w:r>
                </w:p>
              </w:tc>
              <w:tc>
                <w:tcPr>
                  <w:tcW w:w="1717"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宋体" w:cs="Times New Roman"/>
                      <w:b/>
                      <w:bCs/>
                      <w:kern w:val="0"/>
                      <w:sz w:val="21"/>
                      <w:szCs w:val="21"/>
                      <w:lang w:val="en-US" w:eastAsia="zh-CN"/>
                    </w:rPr>
                  </w:pPr>
                  <w:r>
                    <w:rPr>
                      <w:rFonts w:hint="eastAsia" w:ascii="Times New Roman" w:hAnsi="Times New Roman" w:eastAsia="宋体" w:cs="Times New Roman"/>
                      <w:b/>
                      <w:bCs/>
                      <w:kern w:val="0"/>
                      <w:sz w:val="21"/>
                      <w:szCs w:val="21"/>
                      <w:lang w:val="en-US" w:eastAsia="zh-CN"/>
                    </w:rPr>
                    <w:t>喷枪数量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143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喷漆房</w:t>
                  </w:r>
                </w:p>
              </w:tc>
              <w:tc>
                <w:tcPr>
                  <w:tcW w:w="109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w:t>
                  </w:r>
                </w:p>
              </w:tc>
              <w:tc>
                <w:tcPr>
                  <w:tcW w:w="8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20</w:t>
                  </w:r>
                  <w:r>
                    <w:rPr>
                      <w:rFonts w:hint="eastAsia" w:eastAsia="宋体" w:cs="Times New Roman"/>
                      <w:color w:val="000000" w:themeColor="text1"/>
                      <w:sz w:val="21"/>
                      <w:szCs w:val="21"/>
                      <w:lang w:val="en-US" w:eastAsia="zh-CN"/>
                      <w14:textFill>
                        <w14:solidFill>
                          <w14:schemeClr w14:val="tx1"/>
                        </w14:solidFill>
                      </w14:textFill>
                    </w:rPr>
                    <w:t>m</w:t>
                  </w:r>
                </w:p>
              </w:tc>
              <w:tc>
                <w:tcPr>
                  <w:tcW w:w="12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12</w:t>
                  </w:r>
                  <w:r>
                    <w:rPr>
                      <w:rFonts w:hint="eastAsia" w:eastAsia="宋体" w:cs="Times New Roman"/>
                      <w:color w:val="000000" w:themeColor="text1"/>
                      <w:sz w:val="21"/>
                      <w:szCs w:val="21"/>
                      <w:lang w:val="en-US" w:eastAsia="zh-CN"/>
                      <w14:textFill>
                        <w14:solidFill>
                          <w14:schemeClr w14:val="tx1"/>
                        </w14:solidFill>
                      </w14:textFill>
                    </w:rPr>
                    <w:t>m</w:t>
                  </w:r>
                </w:p>
              </w:tc>
              <w:tc>
                <w:tcPr>
                  <w:tcW w:w="9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m</w:t>
                  </w:r>
                </w:p>
              </w:tc>
              <w:tc>
                <w:tcPr>
                  <w:tcW w:w="17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w:t>
                  </w:r>
                  <w:r>
                    <w:rPr>
                      <w:rFonts w:hint="eastAsia" w:ascii="Times New Roman" w:hAnsi="Times New Roman" w:cs="Times New Roman"/>
                      <w:sz w:val="21"/>
                      <w:szCs w:val="21"/>
                      <w:lang w:val="en-US" w:eastAsia="zh-CN"/>
                    </w:rPr>
                    <w:t>个</w:t>
                  </w:r>
                  <w:r>
                    <w:rPr>
                      <w:rFonts w:hint="eastAsia" w:cs="Times New Roman"/>
                      <w:sz w:val="21"/>
                      <w:szCs w:val="21"/>
                      <w:lang w:val="en-US" w:eastAsia="zh-CN"/>
                    </w:rPr>
                    <w:t>（2用2备）</w:t>
                  </w:r>
                </w:p>
              </w:tc>
            </w:tr>
          </w:tbl>
          <w:p>
            <w:pPr>
              <w:widowControl/>
              <w:ind w:firstLine="482" w:firstLineChars="200"/>
              <w:textAlignment w:val="center"/>
              <w:rPr>
                <w:b/>
                <w:kern w:val="0"/>
                <w:sz w:val="24"/>
              </w:rPr>
            </w:pPr>
            <w:r>
              <w:rPr>
                <w:rFonts w:ascii="宋体" w:hAnsi="宋体" w:cs="宋体"/>
                <w:b/>
                <w:bCs/>
                <w:sz w:val="24"/>
                <w:szCs w:val="24"/>
              </w:rPr>
              <w:t>四</w:t>
            </w:r>
            <w:r>
              <w:rPr>
                <w:b/>
                <w:kern w:val="0"/>
                <w:sz w:val="24"/>
                <w:szCs w:val="24"/>
              </w:rPr>
              <w:t>、原辅</w:t>
            </w:r>
            <w:r>
              <w:rPr>
                <w:b/>
                <w:kern w:val="0"/>
                <w:sz w:val="24"/>
              </w:rPr>
              <w:t>料及能源消耗</w:t>
            </w:r>
          </w:p>
          <w:p>
            <w:pPr>
              <w:pStyle w:val="4"/>
              <w:keepNext w:val="0"/>
              <w:keepLines w:val="0"/>
              <w:spacing w:before="120" w:beforeLines="50" w:after="0" w:line="360" w:lineRule="auto"/>
              <w:ind w:firstLine="480" w:firstLineChars="200"/>
              <w:rPr>
                <w:b w:val="0"/>
                <w:sz w:val="24"/>
                <w:szCs w:val="24"/>
              </w:rPr>
            </w:pPr>
            <w:r>
              <w:rPr>
                <w:b w:val="0"/>
                <w:sz w:val="24"/>
                <w:szCs w:val="24"/>
              </w:rPr>
              <w:t>本项目原辅材料及能源消耗情况如下表所示：</w:t>
            </w:r>
          </w:p>
          <w:p>
            <w:pPr>
              <w:pStyle w:val="12"/>
              <w:spacing w:line="360" w:lineRule="auto"/>
              <w:ind w:firstLine="0"/>
              <w:jc w:val="center"/>
              <w:rPr>
                <w:rFonts w:ascii="Times New Roman" w:hAnsi="Times New Roman"/>
                <w:b/>
                <w:bCs/>
                <w:sz w:val="24"/>
              </w:rPr>
            </w:pPr>
            <w:r>
              <w:rPr>
                <w:rFonts w:ascii="Times New Roman" w:hAnsi="Times New Roman"/>
                <w:b/>
                <w:bCs/>
                <w:sz w:val="24"/>
              </w:rPr>
              <w:t>表2-</w:t>
            </w:r>
            <w:r>
              <w:rPr>
                <w:rFonts w:hint="eastAsia" w:ascii="Times New Roman" w:hAnsi="Times New Roman"/>
                <w:b/>
                <w:bCs/>
                <w:sz w:val="24"/>
                <w:lang w:val="en-US" w:eastAsia="zh-CN"/>
              </w:rPr>
              <w:t>5</w:t>
            </w:r>
            <w:r>
              <w:rPr>
                <w:rFonts w:ascii="Times New Roman" w:hAnsi="Times New Roman"/>
                <w:b/>
                <w:bCs/>
                <w:sz w:val="24"/>
              </w:rPr>
              <w:t xml:space="preserve">  主要原辅材料及能源消耗一览表</w:t>
            </w:r>
          </w:p>
          <w:tbl>
            <w:tblPr>
              <w:tblStyle w:val="22"/>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67"/>
              <w:gridCol w:w="1118"/>
              <w:gridCol w:w="900"/>
              <w:gridCol w:w="1222"/>
              <w:gridCol w:w="923"/>
              <w:gridCol w:w="924"/>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b/>
                      <w:bCs/>
                      <w:sz w:val="24"/>
                    </w:rPr>
                  </w:pPr>
                  <w:r>
                    <w:rPr>
                      <w:b/>
                      <w:szCs w:val="21"/>
                      <w:lang w:bidi="ar"/>
                    </w:rPr>
                    <w:t>序号</w:t>
                  </w:r>
                </w:p>
              </w:tc>
              <w:tc>
                <w:tcPr>
                  <w:tcW w:w="967" w:type="dxa"/>
                  <w:vAlign w:val="center"/>
                </w:tcPr>
                <w:p>
                  <w:pPr>
                    <w:jc w:val="center"/>
                    <w:rPr>
                      <w:b/>
                      <w:bCs/>
                      <w:sz w:val="24"/>
                    </w:rPr>
                  </w:pPr>
                  <w:r>
                    <w:rPr>
                      <w:b/>
                      <w:szCs w:val="21"/>
                      <w:lang w:bidi="ar"/>
                    </w:rPr>
                    <w:t>名称</w:t>
                  </w:r>
                </w:p>
              </w:tc>
              <w:tc>
                <w:tcPr>
                  <w:tcW w:w="1118" w:type="dxa"/>
                  <w:vAlign w:val="center"/>
                </w:tcPr>
                <w:p>
                  <w:pPr>
                    <w:jc w:val="center"/>
                    <w:rPr>
                      <w:b/>
                      <w:bCs/>
                      <w:sz w:val="24"/>
                    </w:rPr>
                  </w:pPr>
                  <w:r>
                    <w:rPr>
                      <w:b/>
                      <w:szCs w:val="21"/>
                      <w:lang w:bidi="ar"/>
                    </w:rPr>
                    <w:t>单位</w:t>
                  </w:r>
                </w:p>
              </w:tc>
              <w:tc>
                <w:tcPr>
                  <w:tcW w:w="900" w:type="dxa"/>
                  <w:vAlign w:val="center"/>
                </w:tcPr>
                <w:p>
                  <w:pPr>
                    <w:jc w:val="center"/>
                    <w:rPr>
                      <w:b/>
                      <w:bCs/>
                      <w:sz w:val="24"/>
                    </w:rPr>
                  </w:pPr>
                  <w:r>
                    <w:rPr>
                      <w:b/>
                      <w:szCs w:val="21"/>
                      <w:lang w:bidi="ar"/>
                    </w:rPr>
                    <w:t>消耗量</w:t>
                  </w:r>
                </w:p>
              </w:tc>
              <w:tc>
                <w:tcPr>
                  <w:tcW w:w="1222" w:type="dxa"/>
                  <w:vAlign w:val="center"/>
                </w:tcPr>
                <w:p>
                  <w:pPr>
                    <w:jc w:val="center"/>
                    <w:rPr>
                      <w:b/>
                      <w:bCs/>
                      <w:sz w:val="24"/>
                    </w:rPr>
                  </w:pPr>
                  <w:r>
                    <w:rPr>
                      <w:b/>
                      <w:szCs w:val="21"/>
                      <w:lang w:bidi="ar"/>
                    </w:rPr>
                    <w:t>储存位置</w:t>
                  </w:r>
                </w:p>
              </w:tc>
              <w:tc>
                <w:tcPr>
                  <w:tcW w:w="923" w:type="dxa"/>
                  <w:vAlign w:val="center"/>
                </w:tcPr>
                <w:p>
                  <w:pPr>
                    <w:jc w:val="center"/>
                    <w:rPr>
                      <w:b/>
                      <w:bCs/>
                      <w:sz w:val="24"/>
                    </w:rPr>
                  </w:pPr>
                  <w:r>
                    <w:rPr>
                      <w:b/>
                      <w:szCs w:val="21"/>
                      <w:lang w:bidi="ar"/>
                    </w:rPr>
                    <w:t>储存周期</w:t>
                  </w:r>
                </w:p>
              </w:tc>
              <w:tc>
                <w:tcPr>
                  <w:tcW w:w="924" w:type="dxa"/>
                  <w:vAlign w:val="center"/>
                </w:tcPr>
                <w:p>
                  <w:pPr>
                    <w:jc w:val="center"/>
                    <w:rPr>
                      <w:b/>
                      <w:szCs w:val="21"/>
                      <w:lang w:bidi="ar"/>
                    </w:rPr>
                  </w:pPr>
                  <w:r>
                    <w:rPr>
                      <w:b/>
                      <w:szCs w:val="21"/>
                      <w:lang w:bidi="ar"/>
                    </w:rPr>
                    <w:t>最大储存量</w:t>
                  </w:r>
                </w:p>
              </w:tc>
              <w:tc>
                <w:tcPr>
                  <w:tcW w:w="1177" w:type="dxa"/>
                  <w:vAlign w:val="center"/>
                </w:tcPr>
                <w:p>
                  <w:pPr>
                    <w:jc w:val="center"/>
                    <w:rPr>
                      <w:b/>
                      <w:bCs/>
                      <w:sz w:val="24"/>
                    </w:rPr>
                  </w:pPr>
                  <w:r>
                    <w:rPr>
                      <w:b/>
                      <w:szCs w:val="21"/>
                      <w:lang w:bidi="ar"/>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b/>
                      <w:bCs/>
                      <w:sz w:val="24"/>
                    </w:rPr>
                  </w:pPr>
                  <w:r>
                    <w:rPr>
                      <w:bCs/>
                      <w:kern w:val="0"/>
                      <w:szCs w:val="21"/>
                    </w:rPr>
                    <w:t>1</w:t>
                  </w:r>
                </w:p>
              </w:tc>
              <w:tc>
                <w:tcPr>
                  <w:tcW w:w="967" w:type="dxa"/>
                  <w:vAlign w:val="center"/>
                </w:tcPr>
                <w:p>
                  <w:pPr>
                    <w:pStyle w:val="43"/>
                    <w:rPr>
                      <w:color w:val="000000"/>
                      <w:kern w:val="0"/>
                      <w:szCs w:val="21"/>
                      <w:lang w:bidi="ar"/>
                    </w:rPr>
                  </w:pPr>
                  <w:r>
                    <w:rPr>
                      <w:rFonts w:hint="eastAsia"/>
                      <w:bCs/>
                      <w:kern w:val="0"/>
                      <w:szCs w:val="21"/>
                      <w:lang w:val="en-US" w:eastAsia="zh-CN"/>
                    </w:rPr>
                    <w:t>板材</w:t>
                  </w:r>
                </w:p>
              </w:tc>
              <w:tc>
                <w:tcPr>
                  <w:tcW w:w="1118" w:type="dxa"/>
                  <w:vAlign w:val="center"/>
                </w:tcPr>
                <w:p>
                  <w:pPr>
                    <w:pStyle w:val="43"/>
                    <w:rPr>
                      <w:b/>
                      <w:bCs/>
                      <w:szCs w:val="21"/>
                    </w:rPr>
                  </w:pPr>
                  <w:r>
                    <w:rPr>
                      <w:rFonts w:ascii="宋体" w:hAnsi="宋体" w:cs="宋体"/>
                      <w:szCs w:val="21"/>
                    </w:rPr>
                    <w:t>立方米</w:t>
                  </w:r>
                  <w:r>
                    <w:rPr>
                      <w:rStyle w:val="21"/>
                      <w:rFonts w:hint="eastAsia"/>
                      <w:kern w:val="0"/>
                      <w:szCs w:val="21"/>
                    </w:rPr>
                    <w:t>/年</w:t>
                  </w:r>
                </w:p>
              </w:tc>
              <w:tc>
                <w:tcPr>
                  <w:tcW w:w="900" w:type="dxa"/>
                  <w:vAlign w:val="center"/>
                </w:tcPr>
                <w:p>
                  <w:pPr>
                    <w:jc w:val="center"/>
                    <w:rPr>
                      <w:rFonts w:hint="eastAsia" w:ascii="Times New Roman" w:hAnsi="Times New Roman" w:eastAsia="宋体" w:cs="Times New Roman"/>
                      <w:bCs/>
                      <w:kern w:val="0"/>
                      <w:szCs w:val="21"/>
                      <w:lang w:val="en-US" w:eastAsia="zh-CN"/>
                    </w:rPr>
                  </w:pPr>
                  <w:r>
                    <w:rPr>
                      <w:rFonts w:hint="eastAsia" w:ascii="Times New Roman" w:hAnsi="Times New Roman" w:eastAsia="宋体" w:cs="Times New Roman"/>
                      <w:bCs/>
                      <w:kern w:val="0"/>
                      <w:szCs w:val="21"/>
                      <w:lang w:val="en-US" w:eastAsia="zh-CN"/>
                    </w:rPr>
                    <w:t>17280</w:t>
                  </w:r>
                </w:p>
              </w:tc>
              <w:tc>
                <w:tcPr>
                  <w:tcW w:w="1222" w:type="dxa"/>
                  <w:vAlign w:val="center"/>
                </w:tcPr>
                <w:p>
                  <w:pPr>
                    <w:adjustRightInd w:val="0"/>
                    <w:snapToGrid w:val="0"/>
                    <w:jc w:val="center"/>
                    <w:rPr>
                      <w:b/>
                      <w:bCs/>
                      <w:sz w:val="24"/>
                    </w:rPr>
                  </w:pPr>
                  <w:r>
                    <w:rPr>
                      <w:bCs/>
                      <w:color w:val="000000"/>
                      <w:sz w:val="21"/>
                      <w:szCs w:val="21"/>
                    </w:rPr>
                    <w:t>原料仓库</w:t>
                  </w:r>
                </w:p>
              </w:tc>
              <w:tc>
                <w:tcPr>
                  <w:tcW w:w="923" w:type="dxa"/>
                  <w:vAlign w:val="center"/>
                </w:tcPr>
                <w:p>
                  <w:pPr>
                    <w:adjustRightInd w:val="0"/>
                    <w:snapToGrid w:val="0"/>
                    <w:jc w:val="center"/>
                    <w:rPr>
                      <w:b/>
                      <w:bCs/>
                      <w:sz w:val="24"/>
                    </w:rPr>
                  </w:pPr>
                  <w:r>
                    <w:rPr>
                      <w:rFonts w:hint="eastAsia"/>
                      <w:kern w:val="0"/>
                      <w:szCs w:val="21"/>
                    </w:rPr>
                    <w:t>6</w:t>
                  </w:r>
                  <w:r>
                    <w:rPr>
                      <w:kern w:val="0"/>
                      <w:szCs w:val="21"/>
                    </w:rPr>
                    <w:t>0天</w:t>
                  </w:r>
                </w:p>
              </w:tc>
              <w:tc>
                <w:tcPr>
                  <w:tcW w:w="924" w:type="dxa"/>
                  <w:vAlign w:val="center"/>
                </w:tcPr>
                <w:p>
                  <w:pPr>
                    <w:adjustRightInd w:val="0"/>
                    <w:snapToGrid w:val="0"/>
                    <w:jc w:val="center"/>
                    <w:rPr>
                      <w:kern w:val="0"/>
                      <w:szCs w:val="21"/>
                    </w:rPr>
                  </w:pPr>
                  <w:r>
                    <w:rPr>
                      <w:rFonts w:hint="eastAsia"/>
                      <w:kern w:val="0"/>
                      <w:szCs w:val="21"/>
                      <w:lang w:val="en-US" w:eastAsia="zh-CN"/>
                    </w:rPr>
                    <w:t>15</w:t>
                  </w:r>
                  <w:r>
                    <w:rPr>
                      <w:rFonts w:hint="eastAsia"/>
                      <w:kern w:val="0"/>
                      <w:szCs w:val="21"/>
                    </w:rPr>
                    <w:t>0</w:t>
                  </w:r>
                </w:p>
              </w:tc>
              <w:tc>
                <w:tcPr>
                  <w:tcW w:w="1177" w:type="dxa"/>
                  <w:vAlign w:val="center"/>
                </w:tcPr>
                <w:p>
                  <w:pPr>
                    <w:adjustRightInd w:val="0"/>
                    <w:snapToGrid w:val="0"/>
                    <w:jc w:val="center"/>
                    <w:rPr>
                      <w:b/>
                      <w:bCs/>
                      <w:sz w:val="24"/>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bCs/>
                      <w:kern w:val="0"/>
                      <w:szCs w:val="21"/>
                    </w:rPr>
                  </w:pPr>
                  <w:r>
                    <w:rPr>
                      <w:rFonts w:hint="eastAsia"/>
                      <w:bCs/>
                      <w:kern w:val="0"/>
                      <w:szCs w:val="21"/>
                    </w:rPr>
                    <w:t>2</w:t>
                  </w:r>
                </w:p>
              </w:tc>
              <w:tc>
                <w:tcPr>
                  <w:tcW w:w="967" w:type="dxa"/>
                  <w:vAlign w:val="center"/>
                </w:tcPr>
                <w:p>
                  <w:pPr>
                    <w:pStyle w:val="43"/>
                    <w:rPr>
                      <w:szCs w:val="21"/>
                    </w:rPr>
                  </w:pPr>
                  <w:r>
                    <w:rPr>
                      <w:rFonts w:hint="eastAsia"/>
                      <w:kern w:val="0"/>
                      <w:szCs w:val="21"/>
                      <w:lang w:val="en-US" w:eastAsia="zh-CN"/>
                    </w:rPr>
                    <w:t>封边条</w:t>
                  </w:r>
                </w:p>
              </w:tc>
              <w:tc>
                <w:tcPr>
                  <w:tcW w:w="1118" w:type="dxa"/>
                  <w:vAlign w:val="center"/>
                </w:tcPr>
                <w:p>
                  <w:pPr>
                    <w:pStyle w:val="43"/>
                    <w:rPr>
                      <w:szCs w:val="21"/>
                    </w:rPr>
                  </w:pPr>
                  <w:r>
                    <w:rPr>
                      <w:rFonts w:hint="eastAsia"/>
                      <w:szCs w:val="21"/>
                    </w:rPr>
                    <w:t>吨</w:t>
                  </w:r>
                  <w:r>
                    <w:rPr>
                      <w:rStyle w:val="21"/>
                      <w:rFonts w:hint="eastAsia"/>
                      <w:kern w:val="0"/>
                    </w:rPr>
                    <w:t>/年</w:t>
                  </w:r>
                </w:p>
              </w:tc>
              <w:tc>
                <w:tcPr>
                  <w:tcW w:w="900" w:type="dxa"/>
                  <w:vAlign w:val="center"/>
                </w:tcPr>
                <w:p>
                  <w:pPr>
                    <w:jc w:val="center"/>
                    <w:rPr>
                      <w:rFonts w:hint="eastAsia" w:ascii="Times New Roman" w:hAnsi="Times New Roman" w:eastAsia="宋体" w:cs="Times New Roman"/>
                      <w:bCs/>
                      <w:kern w:val="0"/>
                      <w:szCs w:val="21"/>
                      <w:lang w:val="en-US" w:eastAsia="zh-CN"/>
                    </w:rPr>
                  </w:pPr>
                  <w:r>
                    <w:rPr>
                      <w:rFonts w:hint="eastAsia" w:ascii="Times New Roman" w:hAnsi="Times New Roman" w:eastAsia="宋体" w:cs="Times New Roman"/>
                      <w:bCs/>
                      <w:kern w:val="0"/>
                      <w:szCs w:val="21"/>
                      <w:lang w:val="en-US" w:eastAsia="zh-CN"/>
                    </w:rPr>
                    <w:t>2.5</w:t>
                  </w:r>
                </w:p>
              </w:tc>
              <w:tc>
                <w:tcPr>
                  <w:tcW w:w="1222" w:type="dxa"/>
                  <w:vAlign w:val="center"/>
                </w:tcPr>
                <w:p>
                  <w:pPr>
                    <w:adjustRightInd w:val="0"/>
                    <w:snapToGrid w:val="0"/>
                    <w:jc w:val="center"/>
                    <w:rPr>
                      <w:color w:val="000000"/>
                      <w:kern w:val="0"/>
                      <w:szCs w:val="21"/>
                      <w:lang w:bidi="ar"/>
                    </w:rPr>
                  </w:pPr>
                  <w:r>
                    <w:rPr>
                      <w:bCs/>
                      <w:color w:val="000000"/>
                      <w:sz w:val="21"/>
                      <w:szCs w:val="21"/>
                    </w:rPr>
                    <w:t>原料仓库</w:t>
                  </w:r>
                </w:p>
              </w:tc>
              <w:tc>
                <w:tcPr>
                  <w:tcW w:w="923" w:type="dxa"/>
                  <w:vAlign w:val="center"/>
                </w:tcPr>
                <w:p>
                  <w:pPr>
                    <w:adjustRightInd w:val="0"/>
                    <w:snapToGrid w:val="0"/>
                    <w:jc w:val="center"/>
                    <w:rPr>
                      <w:kern w:val="0"/>
                      <w:szCs w:val="21"/>
                    </w:rPr>
                  </w:pPr>
                  <w:r>
                    <w:rPr>
                      <w:rFonts w:hint="eastAsia"/>
                      <w:kern w:val="0"/>
                      <w:szCs w:val="21"/>
                    </w:rPr>
                    <w:t>60</w:t>
                  </w:r>
                  <w:r>
                    <w:rPr>
                      <w:kern w:val="0"/>
                      <w:szCs w:val="21"/>
                    </w:rPr>
                    <w:t>天</w:t>
                  </w:r>
                </w:p>
              </w:tc>
              <w:tc>
                <w:tcPr>
                  <w:tcW w:w="924" w:type="dxa"/>
                  <w:vAlign w:val="center"/>
                </w:tcPr>
                <w:p>
                  <w:pPr>
                    <w:adjustRightInd w:val="0"/>
                    <w:snapToGrid w:val="0"/>
                    <w:jc w:val="center"/>
                    <w:rPr>
                      <w:kern w:val="0"/>
                      <w:szCs w:val="21"/>
                    </w:rPr>
                  </w:pPr>
                  <w:r>
                    <w:rPr>
                      <w:rFonts w:hint="eastAsia"/>
                      <w:kern w:val="0"/>
                      <w:szCs w:val="21"/>
                    </w:rPr>
                    <w:t>0.5</w:t>
                  </w:r>
                </w:p>
              </w:tc>
              <w:tc>
                <w:tcPr>
                  <w:tcW w:w="1177" w:type="dxa"/>
                  <w:vAlign w:val="center"/>
                </w:tcPr>
                <w:p>
                  <w:pPr>
                    <w:adjustRightInd w:val="0"/>
                    <w:snapToGrid w:val="0"/>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bCs/>
                      <w:kern w:val="0"/>
                      <w:szCs w:val="21"/>
                    </w:rPr>
                  </w:pPr>
                  <w:r>
                    <w:rPr>
                      <w:rFonts w:hint="eastAsia"/>
                      <w:bCs/>
                      <w:kern w:val="0"/>
                      <w:szCs w:val="21"/>
                    </w:rPr>
                    <w:t>3</w:t>
                  </w:r>
                </w:p>
              </w:tc>
              <w:tc>
                <w:tcPr>
                  <w:tcW w:w="967" w:type="dxa"/>
                  <w:vAlign w:val="center"/>
                </w:tcPr>
                <w:p>
                  <w:pPr>
                    <w:pStyle w:val="43"/>
                    <w:rPr>
                      <w:rFonts w:ascii="宋体" w:hAnsi="宋体" w:cs="宋体"/>
                      <w:szCs w:val="21"/>
                    </w:rPr>
                  </w:pPr>
                  <w:r>
                    <w:rPr>
                      <w:rFonts w:hint="eastAsia"/>
                      <w:kern w:val="0"/>
                      <w:szCs w:val="21"/>
                      <w:lang w:val="en-US" w:eastAsia="zh-CN"/>
                    </w:rPr>
                    <w:t>木方</w:t>
                  </w:r>
                </w:p>
              </w:tc>
              <w:tc>
                <w:tcPr>
                  <w:tcW w:w="1118" w:type="dxa"/>
                  <w:vAlign w:val="center"/>
                </w:tcPr>
                <w:p>
                  <w:pPr>
                    <w:pStyle w:val="43"/>
                    <w:rPr>
                      <w:szCs w:val="21"/>
                    </w:rPr>
                  </w:pPr>
                  <w:r>
                    <w:rPr>
                      <w:rFonts w:hint="eastAsia"/>
                      <w:szCs w:val="21"/>
                    </w:rPr>
                    <w:t>吨</w:t>
                  </w:r>
                  <w:r>
                    <w:rPr>
                      <w:rStyle w:val="21"/>
                      <w:rFonts w:hint="eastAsia"/>
                      <w:kern w:val="0"/>
                    </w:rPr>
                    <w:t>/年</w:t>
                  </w:r>
                </w:p>
              </w:tc>
              <w:tc>
                <w:tcPr>
                  <w:tcW w:w="900" w:type="dxa"/>
                  <w:vAlign w:val="center"/>
                </w:tcPr>
                <w:p>
                  <w:pPr>
                    <w:jc w:val="center"/>
                    <w:rPr>
                      <w:rFonts w:hint="eastAsia" w:ascii="Times New Roman" w:hAnsi="Times New Roman" w:eastAsia="宋体" w:cs="Times New Roman"/>
                      <w:bCs/>
                      <w:kern w:val="0"/>
                      <w:szCs w:val="21"/>
                      <w:lang w:val="en-US" w:eastAsia="zh-CN"/>
                    </w:rPr>
                  </w:pPr>
                  <w:r>
                    <w:rPr>
                      <w:rFonts w:hint="eastAsia" w:ascii="Times New Roman" w:hAnsi="Times New Roman" w:eastAsia="宋体" w:cs="Times New Roman"/>
                      <w:bCs/>
                      <w:kern w:val="0"/>
                      <w:szCs w:val="21"/>
                      <w:lang w:val="en-US" w:eastAsia="zh-CN"/>
                    </w:rPr>
                    <w:t>25</w:t>
                  </w:r>
                </w:p>
              </w:tc>
              <w:tc>
                <w:tcPr>
                  <w:tcW w:w="1222" w:type="dxa"/>
                  <w:vAlign w:val="center"/>
                </w:tcPr>
                <w:p>
                  <w:pPr>
                    <w:adjustRightInd w:val="0"/>
                    <w:snapToGrid w:val="0"/>
                    <w:jc w:val="center"/>
                    <w:rPr>
                      <w:color w:val="000000"/>
                      <w:kern w:val="0"/>
                      <w:szCs w:val="21"/>
                      <w:lang w:bidi="ar"/>
                    </w:rPr>
                  </w:pPr>
                  <w:r>
                    <w:rPr>
                      <w:bCs/>
                      <w:color w:val="000000"/>
                      <w:sz w:val="21"/>
                      <w:szCs w:val="21"/>
                    </w:rPr>
                    <w:t>原料仓库</w:t>
                  </w:r>
                </w:p>
              </w:tc>
              <w:tc>
                <w:tcPr>
                  <w:tcW w:w="923" w:type="dxa"/>
                  <w:vAlign w:val="center"/>
                </w:tcPr>
                <w:p>
                  <w:pPr>
                    <w:adjustRightInd w:val="0"/>
                    <w:snapToGrid w:val="0"/>
                    <w:jc w:val="center"/>
                    <w:rPr>
                      <w:kern w:val="0"/>
                      <w:szCs w:val="21"/>
                    </w:rPr>
                  </w:pPr>
                  <w:r>
                    <w:rPr>
                      <w:rFonts w:hint="eastAsia"/>
                      <w:kern w:val="0"/>
                      <w:szCs w:val="21"/>
                    </w:rPr>
                    <w:t>60</w:t>
                  </w:r>
                  <w:r>
                    <w:rPr>
                      <w:kern w:val="0"/>
                      <w:szCs w:val="21"/>
                    </w:rPr>
                    <w:t>天</w:t>
                  </w:r>
                </w:p>
              </w:tc>
              <w:tc>
                <w:tcPr>
                  <w:tcW w:w="924" w:type="dxa"/>
                  <w:vAlign w:val="center"/>
                </w:tcPr>
                <w:p>
                  <w:pPr>
                    <w:adjustRightInd w:val="0"/>
                    <w:snapToGrid w:val="0"/>
                    <w:jc w:val="center"/>
                    <w:rPr>
                      <w:rFonts w:hint="eastAsia" w:eastAsia="宋体"/>
                      <w:kern w:val="0"/>
                      <w:szCs w:val="21"/>
                      <w:lang w:eastAsia="zh-CN"/>
                    </w:rPr>
                  </w:pPr>
                  <w:r>
                    <w:rPr>
                      <w:rFonts w:hint="eastAsia"/>
                      <w:kern w:val="0"/>
                      <w:szCs w:val="21"/>
                      <w:lang w:val="en-US" w:eastAsia="zh-CN"/>
                    </w:rPr>
                    <w:t>5</w:t>
                  </w:r>
                </w:p>
              </w:tc>
              <w:tc>
                <w:tcPr>
                  <w:tcW w:w="1177" w:type="dxa"/>
                  <w:vAlign w:val="center"/>
                </w:tcPr>
                <w:p>
                  <w:pPr>
                    <w:adjustRightInd w:val="0"/>
                    <w:snapToGrid w:val="0"/>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bCs/>
                      <w:kern w:val="0"/>
                      <w:szCs w:val="21"/>
                    </w:rPr>
                  </w:pPr>
                  <w:r>
                    <w:rPr>
                      <w:rFonts w:hint="eastAsia"/>
                      <w:bCs/>
                      <w:kern w:val="0"/>
                      <w:szCs w:val="21"/>
                    </w:rPr>
                    <w:t>4</w:t>
                  </w:r>
                </w:p>
              </w:tc>
              <w:tc>
                <w:tcPr>
                  <w:tcW w:w="967" w:type="dxa"/>
                  <w:vAlign w:val="center"/>
                </w:tcPr>
                <w:p>
                  <w:pPr>
                    <w:pStyle w:val="43"/>
                    <w:rPr>
                      <w:rFonts w:ascii="宋体" w:hAnsi="宋体" w:cs="宋体"/>
                      <w:szCs w:val="21"/>
                    </w:rPr>
                  </w:pPr>
                  <w:r>
                    <w:rPr>
                      <w:rFonts w:hint="eastAsia"/>
                      <w:kern w:val="0"/>
                      <w:szCs w:val="21"/>
                      <w:lang w:val="en-US" w:eastAsia="zh-CN"/>
                    </w:rPr>
                    <w:t>封边热熔胶</w:t>
                  </w:r>
                </w:p>
              </w:tc>
              <w:tc>
                <w:tcPr>
                  <w:tcW w:w="1118" w:type="dxa"/>
                  <w:vAlign w:val="center"/>
                </w:tcPr>
                <w:p>
                  <w:pPr>
                    <w:pStyle w:val="43"/>
                    <w:rPr>
                      <w:rFonts w:ascii="宋体" w:hAnsi="宋体" w:cs="宋体"/>
                      <w:szCs w:val="21"/>
                    </w:rPr>
                  </w:pPr>
                  <w:r>
                    <w:rPr>
                      <w:rFonts w:hint="eastAsia"/>
                      <w:szCs w:val="21"/>
                    </w:rPr>
                    <w:t>吨</w:t>
                  </w:r>
                  <w:r>
                    <w:rPr>
                      <w:rStyle w:val="21"/>
                      <w:rFonts w:hint="eastAsia"/>
                      <w:kern w:val="0"/>
                    </w:rPr>
                    <w:t>/年</w:t>
                  </w:r>
                </w:p>
              </w:tc>
              <w:tc>
                <w:tcPr>
                  <w:tcW w:w="900" w:type="dxa"/>
                  <w:vAlign w:val="center"/>
                </w:tcPr>
                <w:p>
                  <w:pPr>
                    <w:jc w:val="center"/>
                    <w:rPr>
                      <w:szCs w:val="21"/>
                    </w:rPr>
                  </w:pPr>
                  <w:r>
                    <w:rPr>
                      <w:rFonts w:hint="eastAsia" w:ascii="Times New Roman" w:hAnsi="Times New Roman" w:eastAsia="宋体" w:cs="Times New Roman"/>
                      <w:bCs/>
                      <w:kern w:val="0"/>
                      <w:szCs w:val="21"/>
                      <w:lang w:val="en-US" w:eastAsia="zh-CN"/>
                    </w:rPr>
                    <w:t>8</w:t>
                  </w:r>
                </w:p>
              </w:tc>
              <w:tc>
                <w:tcPr>
                  <w:tcW w:w="1222" w:type="dxa"/>
                  <w:vAlign w:val="center"/>
                </w:tcPr>
                <w:p>
                  <w:pPr>
                    <w:adjustRightInd w:val="0"/>
                    <w:snapToGrid w:val="0"/>
                    <w:jc w:val="center"/>
                    <w:rPr>
                      <w:color w:val="000000"/>
                      <w:kern w:val="0"/>
                      <w:szCs w:val="21"/>
                      <w:lang w:bidi="ar"/>
                    </w:rPr>
                  </w:pPr>
                  <w:r>
                    <w:rPr>
                      <w:bCs/>
                      <w:color w:val="000000"/>
                      <w:sz w:val="21"/>
                      <w:szCs w:val="21"/>
                    </w:rPr>
                    <w:t>原料仓库</w:t>
                  </w:r>
                </w:p>
              </w:tc>
              <w:tc>
                <w:tcPr>
                  <w:tcW w:w="923" w:type="dxa"/>
                  <w:vAlign w:val="center"/>
                </w:tcPr>
                <w:p>
                  <w:pPr>
                    <w:adjustRightInd w:val="0"/>
                    <w:snapToGrid w:val="0"/>
                    <w:jc w:val="center"/>
                    <w:rPr>
                      <w:kern w:val="0"/>
                      <w:szCs w:val="21"/>
                    </w:rPr>
                  </w:pPr>
                  <w:r>
                    <w:rPr>
                      <w:rFonts w:hint="eastAsia"/>
                      <w:kern w:val="0"/>
                      <w:szCs w:val="21"/>
                    </w:rPr>
                    <w:t>60</w:t>
                  </w:r>
                  <w:r>
                    <w:rPr>
                      <w:kern w:val="0"/>
                      <w:szCs w:val="21"/>
                    </w:rPr>
                    <w:t>天</w:t>
                  </w:r>
                </w:p>
              </w:tc>
              <w:tc>
                <w:tcPr>
                  <w:tcW w:w="924" w:type="dxa"/>
                  <w:vAlign w:val="center"/>
                </w:tcPr>
                <w:p>
                  <w:pPr>
                    <w:adjustRightInd w:val="0"/>
                    <w:snapToGrid w:val="0"/>
                    <w:jc w:val="center"/>
                    <w:rPr>
                      <w:rFonts w:hint="eastAsia" w:eastAsia="宋体"/>
                      <w:kern w:val="0"/>
                      <w:szCs w:val="21"/>
                      <w:lang w:eastAsia="zh-CN"/>
                    </w:rPr>
                  </w:pPr>
                  <w:r>
                    <w:rPr>
                      <w:rFonts w:hint="eastAsia"/>
                      <w:kern w:val="0"/>
                      <w:szCs w:val="21"/>
                      <w:lang w:val="en-US" w:eastAsia="zh-CN"/>
                    </w:rPr>
                    <w:t>2</w:t>
                  </w:r>
                </w:p>
              </w:tc>
              <w:tc>
                <w:tcPr>
                  <w:tcW w:w="1177" w:type="dxa"/>
                  <w:vAlign w:val="center"/>
                </w:tcPr>
                <w:p>
                  <w:pPr>
                    <w:adjustRightInd w:val="0"/>
                    <w:snapToGrid w:val="0"/>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bCs/>
                      <w:kern w:val="0"/>
                      <w:szCs w:val="21"/>
                    </w:rPr>
                  </w:pPr>
                  <w:r>
                    <w:rPr>
                      <w:rFonts w:hint="eastAsia"/>
                      <w:bCs/>
                      <w:kern w:val="0"/>
                      <w:szCs w:val="21"/>
                    </w:rPr>
                    <w:t>5</w:t>
                  </w:r>
                </w:p>
              </w:tc>
              <w:tc>
                <w:tcPr>
                  <w:tcW w:w="967" w:type="dxa"/>
                  <w:vAlign w:val="center"/>
                </w:tcPr>
                <w:p>
                  <w:pPr>
                    <w:pStyle w:val="43"/>
                    <w:rPr>
                      <w:rFonts w:ascii="宋体" w:hAnsi="宋体" w:cs="宋体"/>
                      <w:szCs w:val="21"/>
                    </w:rPr>
                  </w:pPr>
                  <w:r>
                    <w:rPr>
                      <w:rFonts w:hint="eastAsia"/>
                      <w:kern w:val="0"/>
                      <w:szCs w:val="21"/>
                      <w:lang w:val="en-US" w:eastAsia="zh-CN"/>
                    </w:rPr>
                    <w:t>螺纹钢</w:t>
                  </w:r>
                </w:p>
              </w:tc>
              <w:tc>
                <w:tcPr>
                  <w:tcW w:w="1118" w:type="dxa"/>
                  <w:vAlign w:val="center"/>
                </w:tcPr>
                <w:p>
                  <w:pPr>
                    <w:pStyle w:val="43"/>
                    <w:rPr>
                      <w:rFonts w:ascii="宋体" w:hAnsi="宋体" w:cs="宋体"/>
                      <w:szCs w:val="21"/>
                    </w:rPr>
                  </w:pPr>
                  <w:r>
                    <w:rPr>
                      <w:rFonts w:hint="eastAsia"/>
                      <w:szCs w:val="21"/>
                    </w:rPr>
                    <w:t>吨</w:t>
                  </w:r>
                  <w:r>
                    <w:rPr>
                      <w:rStyle w:val="21"/>
                      <w:rFonts w:hint="eastAsia"/>
                      <w:kern w:val="0"/>
                    </w:rPr>
                    <w:t>/年</w:t>
                  </w:r>
                </w:p>
              </w:tc>
              <w:tc>
                <w:tcPr>
                  <w:tcW w:w="900" w:type="dxa"/>
                  <w:vAlign w:val="center"/>
                </w:tcPr>
                <w:p>
                  <w:pPr>
                    <w:jc w:val="center"/>
                    <w:rPr>
                      <w:szCs w:val="21"/>
                    </w:rPr>
                  </w:pPr>
                  <w:r>
                    <w:rPr>
                      <w:rFonts w:hint="eastAsia" w:ascii="Times New Roman" w:hAnsi="Times New Roman" w:eastAsia="宋体" w:cs="Times New Roman"/>
                      <w:bCs/>
                      <w:kern w:val="0"/>
                      <w:szCs w:val="21"/>
                      <w:lang w:val="en-US" w:eastAsia="zh-CN"/>
                    </w:rPr>
                    <w:t>25</w:t>
                  </w:r>
                </w:p>
              </w:tc>
              <w:tc>
                <w:tcPr>
                  <w:tcW w:w="1222" w:type="dxa"/>
                  <w:vAlign w:val="center"/>
                </w:tcPr>
                <w:p>
                  <w:pPr>
                    <w:adjustRightInd w:val="0"/>
                    <w:snapToGrid w:val="0"/>
                    <w:jc w:val="center"/>
                    <w:rPr>
                      <w:color w:val="000000"/>
                      <w:kern w:val="0"/>
                      <w:szCs w:val="21"/>
                      <w:lang w:bidi="ar"/>
                    </w:rPr>
                  </w:pPr>
                  <w:r>
                    <w:rPr>
                      <w:bCs/>
                      <w:color w:val="000000"/>
                      <w:sz w:val="21"/>
                      <w:szCs w:val="21"/>
                    </w:rPr>
                    <w:t>原料仓库</w:t>
                  </w:r>
                </w:p>
              </w:tc>
              <w:tc>
                <w:tcPr>
                  <w:tcW w:w="923" w:type="dxa"/>
                  <w:vAlign w:val="center"/>
                </w:tcPr>
                <w:p>
                  <w:pPr>
                    <w:adjustRightInd w:val="0"/>
                    <w:snapToGrid w:val="0"/>
                    <w:jc w:val="center"/>
                    <w:rPr>
                      <w:kern w:val="0"/>
                      <w:szCs w:val="21"/>
                    </w:rPr>
                  </w:pPr>
                  <w:r>
                    <w:rPr>
                      <w:rFonts w:hint="eastAsia"/>
                      <w:kern w:val="0"/>
                      <w:szCs w:val="21"/>
                    </w:rPr>
                    <w:t>60</w:t>
                  </w:r>
                  <w:r>
                    <w:rPr>
                      <w:kern w:val="0"/>
                      <w:szCs w:val="21"/>
                    </w:rPr>
                    <w:t>天</w:t>
                  </w:r>
                </w:p>
              </w:tc>
              <w:tc>
                <w:tcPr>
                  <w:tcW w:w="924" w:type="dxa"/>
                  <w:vAlign w:val="center"/>
                </w:tcPr>
                <w:p>
                  <w:pPr>
                    <w:adjustRightInd w:val="0"/>
                    <w:snapToGrid w:val="0"/>
                    <w:jc w:val="center"/>
                    <w:rPr>
                      <w:rFonts w:hint="eastAsia" w:eastAsia="宋体"/>
                      <w:kern w:val="0"/>
                      <w:szCs w:val="21"/>
                      <w:lang w:eastAsia="zh-CN"/>
                    </w:rPr>
                  </w:pPr>
                  <w:r>
                    <w:rPr>
                      <w:rFonts w:hint="eastAsia"/>
                      <w:kern w:val="0"/>
                      <w:szCs w:val="21"/>
                      <w:lang w:val="en-US" w:eastAsia="zh-CN"/>
                    </w:rPr>
                    <w:t>5</w:t>
                  </w:r>
                </w:p>
              </w:tc>
              <w:tc>
                <w:tcPr>
                  <w:tcW w:w="1177" w:type="dxa"/>
                  <w:vAlign w:val="center"/>
                </w:tcPr>
                <w:p>
                  <w:pPr>
                    <w:adjustRightInd w:val="0"/>
                    <w:snapToGrid w:val="0"/>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bCs/>
                      <w:kern w:val="0"/>
                      <w:szCs w:val="21"/>
                    </w:rPr>
                  </w:pPr>
                  <w:r>
                    <w:rPr>
                      <w:rFonts w:hint="eastAsia"/>
                      <w:bCs/>
                      <w:kern w:val="0"/>
                      <w:szCs w:val="21"/>
                    </w:rPr>
                    <w:t>6</w:t>
                  </w:r>
                </w:p>
              </w:tc>
              <w:tc>
                <w:tcPr>
                  <w:tcW w:w="967" w:type="dxa"/>
                  <w:vAlign w:val="center"/>
                </w:tcPr>
                <w:p>
                  <w:pPr>
                    <w:pStyle w:val="43"/>
                    <w:rPr>
                      <w:rFonts w:ascii="宋体" w:hAnsi="宋体" w:cs="宋体"/>
                      <w:szCs w:val="21"/>
                    </w:rPr>
                  </w:pPr>
                  <w:r>
                    <w:rPr>
                      <w:rFonts w:hint="eastAsia"/>
                      <w:kern w:val="0"/>
                      <w:szCs w:val="21"/>
                      <w:lang w:val="en-US" w:eastAsia="zh-CN"/>
                    </w:rPr>
                    <w:t>螺帽</w:t>
                  </w:r>
                </w:p>
              </w:tc>
              <w:tc>
                <w:tcPr>
                  <w:tcW w:w="1118" w:type="dxa"/>
                  <w:vAlign w:val="center"/>
                </w:tcPr>
                <w:p>
                  <w:pPr>
                    <w:pStyle w:val="43"/>
                    <w:rPr>
                      <w:rFonts w:ascii="宋体" w:hAnsi="宋体" w:cs="宋体"/>
                      <w:szCs w:val="21"/>
                    </w:rPr>
                  </w:pPr>
                  <w:r>
                    <w:rPr>
                      <w:rFonts w:hint="eastAsia"/>
                      <w:szCs w:val="21"/>
                    </w:rPr>
                    <w:t>吨</w:t>
                  </w:r>
                  <w:r>
                    <w:rPr>
                      <w:rStyle w:val="21"/>
                      <w:rFonts w:hint="eastAsia"/>
                      <w:kern w:val="0"/>
                    </w:rPr>
                    <w:t>/年</w:t>
                  </w:r>
                </w:p>
              </w:tc>
              <w:tc>
                <w:tcPr>
                  <w:tcW w:w="900" w:type="dxa"/>
                  <w:vAlign w:val="center"/>
                </w:tcPr>
                <w:p>
                  <w:pPr>
                    <w:jc w:val="center"/>
                    <w:rPr>
                      <w:szCs w:val="21"/>
                    </w:rPr>
                  </w:pPr>
                  <w:r>
                    <w:rPr>
                      <w:rFonts w:hint="eastAsia" w:ascii="Times New Roman" w:hAnsi="Times New Roman" w:eastAsia="宋体" w:cs="Times New Roman"/>
                      <w:bCs/>
                      <w:kern w:val="0"/>
                      <w:szCs w:val="21"/>
                      <w:lang w:val="en-US" w:eastAsia="zh-CN"/>
                    </w:rPr>
                    <w:t>0.75</w:t>
                  </w:r>
                </w:p>
              </w:tc>
              <w:tc>
                <w:tcPr>
                  <w:tcW w:w="1222" w:type="dxa"/>
                  <w:vAlign w:val="center"/>
                </w:tcPr>
                <w:p>
                  <w:pPr>
                    <w:adjustRightInd w:val="0"/>
                    <w:snapToGrid w:val="0"/>
                    <w:jc w:val="center"/>
                    <w:rPr>
                      <w:color w:val="000000"/>
                      <w:kern w:val="0"/>
                      <w:szCs w:val="21"/>
                      <w:lang w:bidi="ar"/>
                    </w:rPr>
                  </w:pPr>
                  <w:r>
                    <w:rPr>
                      <w:bCs/>
                      <w:color w:val="000000"/>
                      <w:sz w:val="21"/>
                      <w:szCs w:val="21"/>
                    </w:rPr>
                    <w:t>原料仓库</w:t>
                  </w:r>
                </w:p>
              </w:tc>
              <w:tc>
                <w:tcPr>
                  <w:tcW w:w="923" w:type="dxa"/>
                  <w:vAlign w:val="center"/>
                </w:tcPr>
                <w:p>
                  <w:pPr>
                    <w:adjustRightInd w:val="0"/>
                    <w:snapToGrid w:val="0"/>
                    <w:jc w:val="center"/>
                    <w:rPr>
                      <w:kern w:val="0"/>
                      <w:szCs w:val="21"/>
                    </w:rPr>
                  </w:pPr>
                  <w:r>
                    <w:rPr>
                      <w:rFonts w:hint="eastAsia"/>
                      <w:kern w:val="0"/>
                      <w:szCs w:val="21"/>
                    </w:rPr>
                    <w:t>60</w:t>
                  </w:r>
                  <w:r>
                    <w:rPr>
                      <w:kern w:val="0"/>
                      <w:szCs w:val="21"/>
                    </w:rPr>
                    <w:t>天</w:t>
                  </w:r>
                </w:p>
              </w:tc>
              <w:tc>
                <w:tcPr>
                  <w:tcW w:w="924" w:type="dxa"/>
                  <w:vAlign w:val="center"/>
                </w:tcPr>
                <w:p>
                  <w:pPr>
                    <w:adjustRightInd w:val="0"/>
                    <w:snapToGrid w:val="0"/>
                    <w:jc w:val="center"/>
                    <w:rPr>
                      <w:rFonts w:hint="eastAsia" w:eastAsia="宋体"/>
                      <w:kern w:val="0"/>
                      <w:szCs w:val="21"/>
                      <w:lang w:val="en-US" w:eastAsia="zh-CN"/>
                    </w:rPr>
                  </w:pPr>
                  <w:r>
                    <w:rPr>
                      <w:rFonts w:hint="eastAsia"/>
                      <w:kern w:val="0"/>
                      <w:szCs w:val="21"/>
                    </w:rPr>
                    <w:t>0.</w:t>
                  </w:r>
                  <w:r>
                    <w:rPr>
                      <w:rFonts w:hint="eastAsia"/>
                      <w:kern w:val="0"/>
                      <w:szCs w:val="21"/>
                      <w:lang w:val="en-US" w:eastAsia="zh-CN"/>
                    </w:rPr>
                    <w:t>2</w:t>
                  </w:r>
                </w:p>
              </w:tc>
              <w:tc>
                <w:tcPr>
                  <w:tcW w:w="1177" w:type="dxa"/>
                  <w:vAlign w:val="center"/>
                </w:tcPr>
                <w:p>
                  <w:pPr>
                    <w:adjustRightInd w:val="0"/>
                    <w:snapToGrid w:val="0"/>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eastAsia" w:eastAsia="宋体"/>
                      <w:bCs/>
                      <w:kern w:val="0"/>
                      <w:szCs w:val="21"/>
                      <w:lang w:val="en-US" w:eastAsia="zh-CN"/>
                    </w:rPr>
                  </w:pPr>
                  <w:r>
                    <w:rPr>
                      <w:rFonts w:hint="eastAsia"/>
                      <w:bCs/>
                      <w:kern w:val="0"/>
                      <w:szCs w:val="21"/>
                      <w:lang w:val="en-US" w:eastAsia="zh-CN"/>
                    </w:rPr>
                    <w:t>7</w:t>
                  </w:r>
                </w:p>
              </w:tc>
              <w:tc>
                <w:tcPr>
                  <w:tcW w:w="967" w:type="dxa"/>
                  <w:vAlign w:val="center"/>
                </w:tcPr>
                <w:p>
                  <w:pPr>
                    <w:pStyle w:val="43"/>
                    <w:rPr>
                      <w:rFonts w:ascii="宋体" w:hAnsi="宋体" w:cs="宋体"/>
                      <w:szCs w:val="21"/>
                    </w:rPr>
                  </w:pPr>
                  <w:r>
                    <w:rPr>
                      <w:rFonts w:hint="eastAsia"/>
                      <w:kern w:val="0"/>
                      <w:szCs w:val="21"/>
                      <w:lang w:val="en-US" w:eastAsia="zh-CN"/>
                    </w:rPr>
                    <w:t>钢板</w:t>
                  </w:r>
                </w:p>
              </w:tc>
              <w:tc>
                <w:tcPr>
                  <w:tcW w:w="1118" w:type="dxa"/>
                  <w:vAlign w:val="center"/>
                </w:tcPr>
                <w:p>
                  <w:pPr>
                    <w:jc w:val="center"/>
                    <w:rPr>
                      <w:rFonts w:hint="eastAsia"/>
                      <w:szCs w:val="21"/>
                    </w:rPr>
                  </w:pPr>
                  <w:r>
                    <w:rPr>
                      <w:rFonts w:hint="eastAsia"/>
                      <w:szCs w:val="21"/>
                    </w:rPr>
                    <w:t>吨</w:t>
                  </w:r>
                  <w:r>
                    <w:rPr>
                      <w:rStyle w:val="21"/>
                      <w:rFonts w:hint="eastAsia"/>
                      <w:kern w:val="0"/>
                    </w:rPr>
                    <w:t>/年</w:t>
                  </w:r>
                </w:p>
              </w:tc>
              <w:tc>
                <w:tcPr>
                  <w:tcW w:w="900" w:type="dxa"/>
                  <w:vAlign w:val="center"/>
                </w:tcPr>
                <w:p>
                  <w:pPr>
                    <w:jc w:val="center"/>
                    <w:rPr>
                      <w:rFonts w:hint="eastAsia"/>
                      <w:szCs w:val="21"/>
                    </w:rPr>
                  </w:pPr>
                  <w:r>
                    <w:rPr>
                      <w:rFonts w:hint="eastAsia" w:ascii="Times New Roman" w:hAnsi="Times New Roman" w:eastAsia="宋体" w:cs="Times New Roman"/>
                      <w:bCs/>
                      <w:kern w:val="0"/>
                      <w:szCs w:val="21"/>
                      <w:lang w:val="en-US" w:eastAsia="zh-CN"/>
                    </w:rPr>
                    <w:t>3</w:t>
                  </w:r>
                </w:p>
              </w:tc>
              <w:tc>
                <w:tcPr>
                  <w:tcW w:w="1222" w:type="dxa"/>
                  <w:vAlign w:val="center"/>
                </w:tcPr>
                <w:p>
                  <w:pPr>
                    <w:adjustRightInd w:val="0"/>
                    <w:snapToGrid w:val="0"/>
                    <w:jc w:val="center"/>
                    <w:rPr>
                      <w:color w:val="000000"/>
                      <w:kern w:val="0"/>
                      <w:szCs w:val="21"/>
                      <w:lang w:bidi="ar"/>
                    </w:rPr>
                  </w:pPr>
                  <w:r>
                    <w:rPr>
                      <w:bCs/>
                      <w:color w:val="000000"/>
                      <w:sz w:val="21"/>
                      <w:szCs w:val="21"/>
                    </w:rPr>
                    <w:t>原料仓库</w:t>
                  </w:r>
                </w:p>
              </w:tc>
              <w:tc>
                <w:tcPr>
                  <w:tcW w:w="923" w:type="dxa"/>
                  <w:vAlign w:val="center"/>
                </w:tcPr>
                <w:p>
                  <w:pPr>
                    <w:adjustRightInd w:val="0"/>
                    <w:snapToGrid w:val="0"/>
                    <w:jc w:val="center"/>
                    <w:rPr>
                      <w:rFonts w:hint="eastAsia"/>
                      <w:kern w:val="0"/>
                      <w:szCs w:val="21"/>
                    </w:rPr>
                  </w:pPr>
                  <w:r>
                    <w:rPr>
                      <w:rFonts w:hint="eastAsia"/>
                      <w:kern w:val="0"/>
                      <w:szCs w:val="21"/>
                    </w:rPr>
                    <w:t>60</w:t>
                  </w:r>
                  <w:r>
                    <w:rPr>
                      <w:kern w:val="0"/>
                      <w:szCs w:val="21"/>
                    </w:rPr>
                    <w:t>天</w:t>
                  </w:r>
                </w:p>
              </w:tc>
              <w:tc>
                <w:tcPr>
                  <w:tcW w:w="924" w:type="dxa"/>
                  <w:vAlign w:val="center"/>
                </w:tcPr>
                <w:p>
                  <w:pPr>
                    <w:adjustRightInd w:val="0"/>
                    <w:snapToGrid w:val="0"/>
                    <w:jc w:val="center"/>
                    <w:rPr>
                      <w:rFonts w:hint="eastAsia" w:eastAsia="宋体"/>
                      <w:kern w:val="0"/>
                      <w:szCs w:val="21"/>
                      <w:lang w:val="en-US" w:eastAsia="zh-CN"/>
                    </w:rPr>
                  </w:pPr>
                  <w:r>
                    <w:rPr>
                      <w:rFonts w:hint="eastAsia"/>
                      <w:kern w:val="0"/>
                      <w:szCs w:val="21"/>
                      <w:lang w:val="en-US" w:eastAsia="zh-CN"/>
                    </w:rPr>
                    <w:t>1</w:t>
                  </w:r>
                </w:p>
              </w:tc>
              <w:tc>
                <w:tcPr>
                  <w:tcW w:w="1177" w:type="dxa"/>
                  <w:vAlign w:val="center"/>
                </w:tcPr>
                <w:p>
                  <w:pPr>
                    <w:adjustRightInd w:val="0"/>
                    <w:snapToGrid w:val="0"/>
                    <w:jc w:val="center"/>
                    <w:rPr>
                      <w:szCs w:val="21"/>
                    </w:rPr>
                  </w:pPr>
                  <w:r>
                    <w:rPr>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eastAsia="宋体"/>
                      <w:bCs/>
                      <w:kern w:val="0"/>
                      <w:szCs w:val="21"/>
                      <w:lang w:val="en-US" w:eastAsia="zh-CN"/>
                    </w:rPr>
                  </w:pPr>
                  <w:r>
                    <w:rPr>
                      <w:rFonts w:hint="eastAsia"/>
                      <w:bCs/>
                      <w:kern w:val="0"/>
                      <w:szCs w:val="21"/>
                      <w:lang w:val="en-US" w:eastAsia="zh-CN"/>
                    </w:rPr>
                    <w:t>8</w:t>
                  </w:r>
                </w:p>
              </w:tc>
              <w:tc>
                <w:tcPr>
                  <w:tcW w:w="967" w:type="dxa"/>
                  <w:vAlign w:val="center"/>
                </w:tcPr>
                <w:p>
                  <w:pPr>
                    <w:pStyle w:val="43"/>
                    <w:rPr>
                      <w:rFonts w:ascii="宋体" w:hAnsi="宋体" w:cs="宋体"/>
                      <w:szCs w:val="21"/>
                    </w:rPr>
                  </w:pPr>
                  <w:r>
                    <w:rPr>
                      <w:rFonts w:hint="eastAsia"/>
                      <w:kern w:val="0"/>
                      <w:szCs w:val="21"/>
                      <w:lang w:val="en-US" w:eastAsia="zh-CN"/>
                    </w:rPr>
                    <w:t>面漆</w:t>
                  </w:r>
                </w:p>
              </w:tc>
              <w:tc>
                <w:tcPr>
                  <w:tcW w:w="1118" w:type="dxa"/>
                  <w:vAlign w:val="center"/>
                </w:tcPr>
                <w:p>
                  <w:pPr>
                    <w:jc w:val="center"/>
                    <w:rPr>
                      <w:rFonts w:hint="eastAsia"/>
                      <w:szCs w:val="21"/>
                    </w:rPr>
                  </w:pPr>
                  <w:r>
                    <w:rPr>
                      <w:rFonts w:hint="eastAsia"/>
                      <w:szCs w:val="21"/>
                    </w:rPr>
                    <w:t>吨</w:t>
                  </w:r>
                  <w:r>
                    <w:rPr>
                      <w:rStyle w:val="21"/>
                      <w:rFonts w:hint="eastAsia"/>
                      <w:kern w:val="0"/>
                    </w:rPr>
                    <w:t>/年</w:t>
                  </w:r>
                </w:p>
              </w:tc>
              <w:tc>
                <w:tcPr>
                  <w:tcW w:w="900" w:type="dxa"/>
                  <w:vAlign w:val="center"/>
                </w:tcPr>
                <w:p>
                  <w:pPr>
                    <w:jc w:val="center"/>
                    <w:rPr>
                      <w:rFonts w:hint="eastAsia"/>
                      <w:szCs w:val="21"/>
                    </w:rPr>
                  </w:pPr>
                  <w:r>
                    <w:rPr>
                      <w:rFonts w:hint="eastAsia" w:ascii="Times New Roman" w:hAnsi="Times New Roman" w:eastAsia="宋体" w:cs="Times New Roman"/>
                      <w:bCs/>
                      <w:kern w:val="0"/>
                      <w:szCs w:val="21"/>
                      <w:lang w:val="en-US" w:eastAsia="zh-CN"/>
                    </w:rPr>
                    <w:t>1.2</w:t>
                  </w:r>
                </w:p>
              </w:tc>
              <w:tc>
                <w:tcPr>
                  <w:tcW w:w="1222" w:type="dxa"/>
                  <w:vAlign w:val="center"/>
                </w:tcPr>
                <w:p>
                  <w:pPr>
                    <w:adjustRightInd w:val="0"/>
                    <w:snapToGrid w:val="0"/>
                    <w:jc w:val="center"/>
                    <w:rPr>
                      <w:color w:val="000000"/>
                      <w:kern w:val="0"/>
                      <w:szCs w:val="21"/>
                      <w:lang w:bidi="ar"/>
                    </w:rPr>
                  </w:pPr>
                  <w:r>
                    <w:rPr>
                      <w:color w:val="000000"/>
                      <w:kern w:val="0"/>
                      <w:szCs w:val="21"/>
                      <w:lang w:bidi="ar"/>
                    </w:rPr>
                    <w:t>原料库</w:t>
                  </w:r>
                  <w:r>
                    <w:rPr>
                      <w:rFonts w:hint="eastAsia"/>
                      <w:color w:val="000000"/>
                      <w:kern w:val="0"/>
                      <w:szCs w:val="21"/>
                      <w:lang w:bidi="ar"/>
                    </w:rPr>
                    <w:t>桶装</w:t>
                  </w:r>
                  <w:r>
                    <w:rPr>
                      <w:color w:val="000000"/>
                      <w:kern w:val="0"/>
                      <w:szCs w:val="21"/>
                      <w:lang w:bidi="ar"/>
                    </w:rPr>
                    <w:t>每桶</w:t>
                  </w:r>
                  <w:r>
                    <w:rPr>
                      <w:rFonts w:hint="eastAsia"/>
                      <w:color w:val="000000"/>
                      <w:kern w:val="0"/>
                      <w:szCs w:val="21"/>
                      <w:lang w:bidi="ar"/>
                    </w:rPr>
                    <w:t>5L</w:t>
                  </w:r>
                  <w:r>
                    <w:rPr>
                      <w:color w:val="000000"/>
                      <w:kern w:val="0"/>
                      <w:szCs w:val="21"/>
                      <w:lang w:bidi="ar"/>
                    </w:rPr>
                    <w:t>或每桶</w:t>
                  </w:r>
                  <w:r>
                    <w:rPr>
                      <w:rFonts w:hint="eastAsia"/>
                      <w:color w:val="000000"/>
                      <w:kern w:val="0"/>
                      <w:szCs w:val="21"/>
                      <w:lang w:bidi="ar"/>
                    </w:rPr>
                    <w:t>20L</w:t>
                  </w:r>
                </w:p>
              </w:tc>
              <w:tc>
                <w:tcPr>
                  <w:tcW w:w="923" w:type="dxa"/>
                  <w:vAlign w:val="center"/>
                </w:tcPr>
                <w:p>
                  <w:pPr>
                    <w:adjustRightInd w:val="0"/>
                    <w:snapToGrid w:val="0"/>
                    <w:jc w:val="center"/>
                    <w:rPr>
                      <w:rFonts w:hint="eastAsia"/>
                      <w:kern w:val="0"/>
                      <w:szCs w:val="21"/>
                    </w:rPr>
                  </w:pPr>
                  <w:r>
                    <w:rPr>
                      <w:rFonts w:hint="eastAsia"/>
                      <w:kern w:val="0"/>
                      <w:szCs w:val="21"/>
                    </w:rPr>
                    <w:t>60</w:t>
                  </w:r>
                  <w:r>
                    <w:rPr>
                      <w:kern w:val="0"/>
                      <w:szCs w:val="21"/>
                    </w:rPr>
                    <w:t>天</w:t>
                  </w:r>
                </w:p>
              </w:tc>
              <w:tc>
                <w:tcPr>
                  <w:tcW w:w="924" w:type="dxa"/>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0.4</w:t>
                  </w:r>
                </w:p>
              </w:tc>
              <w:tc>
                <w:tcPr>
                  <w:tcW w:w="1177" w:type="dxa"/>
                  <w:vAlign w:val="center"/>
                </w:tcPr>
                <w:p>
                  <w:pPr>
                    <w:adjustRightInd w:val="0"/>
                    <w:snapToGrid w:val="0"/>
                    <w:jc w:val="center"/>
                    <w:rPr>
                      <w:szCs w:val="21"/>
                    </w:rPr>
                  </w:pPr>
                  <w:r>
                    <w:rPr>
                      <w:szCs w:val="21"/>
                    </w:rPr>
                    <w:t>外购</w:t>
                  </w:r>
                  <w:r>
                    <w:rPr>
                      <w:rFonts w:hint="eastAsia"/>
                      <w:szCs w:val="21"/>
                    </w:rPr>
                    <w:t>、</w:t>
                  </w:r>
                  <w:r>
                    <w:rPr>
                      <w:szCs w:val="21"/>
                    </w:rPr>
                    <w:t>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eastAsia="宋体"/>
                      <w:bCs/>
                      <w:kern w:val="0"/>
                      <w:szCs w:val="21"/>
                      <w:lang w:val="en-US" w:eastAsia="zh-CN"/>
                    </w:rPr>
                  </w:pPr>
                  <w:r>
                    <w:rPr>
                      <w:rFonts w:hint="eastAsia"/>
                      <w:bCs/>
                      <w:kern w:val="0"/>
                      <w:szCs w:val="21"/>
                      <w:lang w:val="en-US" w:eastAsia="zh-CN"/>
                    </w:rPr>
                    <w:t>9</w:t>
                  </w:r>
                </w:p>
              </w:tc>
              <w:tc>
                <w:tcPr>
                  <w:tcW w:w="967" w:type="dxa"/>
                  <w:vAlign w:val="center"/>
                </w:tcPr>
                <w:p>
                  <w:pPr>
                    <w:pStyle w:val="43"/>
                    <w:rPr>
                      <w:rFonts w:ascii="宋体" w:hAnsi="宋体" w:cs="宋体"/>
                      <w:szCs w:val="21"/>
                    </w:rPr>
                  </w:pPr>
                  <w:r>
                    <w:rPr>
                      <w:rFonts w:hint="eastAsia"/>
                      <w:kern w:val="0"/>
                      <w:szCs w:val="21"/>
                      <w:lang w:val="en-US" w:eastAsia="zh-CN"/>
                    </w:rPr>
                    <w:t>固化剂</w:t>
                  </w:r>
                </w:p>
              </w:tc>
              <w:tc>
                <w:tcPr>
                  <w:tcW w:w="1118" w:type="dxa"/>
                  <w:vAlign w:val="center"/>
                </w:tcPr>
                <w:p>
                  <w:pPr>
                    <w:jc w:val="center"/>
                    <w:rPr>
                      <w:rFonts w:hint="eastAsia"/>
                      <w:szCs w:val="21"/>
                    </w:rPr>
                  </w:pPr>
                  <w:r>
                    <w:rPr>
                      <w:rFonts w:hint="eastAsia"/>
                      <w:szCs w:val="21"/>
                    </w:rPr>
                    <w:t>吨</w:t>
                  </w:r>
                  <w:r>
                    <w:rPr>
                      <w:rStyle w:val="21"/>
                      <w:rFonts w:hint="eastAsia"/>
                      <w:kern w:val="0"/>
                    </w:rPr>
                    <w:t>/年</w:t>
                  </w:r>
                </w:p>
              </w:tc>
              <w:tc>
                <w:tcPr>
                  <w:tcW w:w="900" w:type="dxa"/>
                  <w:vAlign w:val="center"/>
                </w:tcPr>
                <w:p>
                  <w:pPr>
                    <w:jc w:val="center"/>
                    <w:rPr>
                      <w:rFonts w:hint="default"/>
                      <w:szCs w:val="21"/>
                      <w:lang w:val="en-US"/>
                    </w:rPr>
                  </w:pPr>
                  <w:r>
                    <w:rPr>
                      <w:rFonts w:hint="eastAsia" w:ascii="Times New Roman" w:hAnsi="Times New Roman" w:eastAsia="宋体" w:cs="Times New Roman"/>
                      <w:bCs/>
                      <w:kern w:val="0"/>
                      <w:szCs w:val="21"/>
                      <w:lang w:val="en-US" w:eastAsia="zh-CN"/>
                    </w:rPr>
                    <w:t>0.</w:t>
                  </w:r>
                  <w:r>
                    <w:rPr>
                      <w:rFonts w:hint="eastAsia" w:cs="Times New Roman"/>
                      <w:bCs/>
                      <w:kern w:val="0"/>
                      <w:szCs w:val="21"/>
                      <w:lang w:val="en-US" w:eastAsia="zh-CN"/>
                    </w:rPr>
                    <w:t>36</w:t>
                  </w:r>
                </w:p>
              </w:tc>
              <w:tc>
                <w:tcPr>
                  <w:tcW w:w="1222" w:type="dxa"/>
                  <w:vAlign w:val="center"/>
                </w:tcPr>
                <w:p>
                  <w:pPr>
                    <w:adjustRightInd w:val="0"/>
                    <w:snapToGrid w:val="0"/>
                    <w:jc w:val="center"/>
                    <w:rPr>
                      <w:color w:val="000000"/>
                      <w:kern w:val="0"/>
                      <w:szCs w:val="21"/>
                      <w:lang w:bidi="ar"/>
                    </w:rPr>
                  </w:pPr>
                  <w:r>
                    <w:rPr>
                      <w:color w:val="000000"/>
                      <w:kern w:val="0"/>
                      <w:szCs w:val="21"/>
                      <w:lang w:bidi="ar"/>
                    </w:rPr>
                    <w:t>原料库</w:t>
                  </w:r>
                  <w:r>
                    <w:rPr>
                      <w:rFonts w:hint="eastAsia"/>
                      <w:color w:val="000000"/>
                      <w:kern w:val="0"/>
                      <w:szCs w:val="21"/>
                      <w:lang w:bidi="ar"/>
                    </w:rPr>
                    <w:t>桶装</w:t>
                  </w:r>
                  <w:r>
                    <w:rPr>
                      <w:color w:val="000000"/>
                      <w:kern w:val="0"/>
                      <w:szCs w:val="21"/>
                      <w:lang w:bidi="ar"/>
                    </w:rPr>
                    <w:t>每桶</w:t>
                  </w:r>
                  <w:r>
                    <w:rPr>
                      <w:rFonts w:hint="eastAsia"/>
                      <w:color w:val="000000"/>
                      <w:kern w:val="0"/>
                      <w:szCs w:val="21"/>
                      <w:lang w:bidi="ar"/>
                    </w:rPr>
                    <w:t>5L</w:t>
                  </w:r>
                  <w:r>
                    <w:rPr>
                      <w:color w:val="000000"/>
                      <w:kern w:val="0"/>
                      <w:szCs w:val="21"/>
                      <w:lang w:bidi="ar"/>
                    </w:rPr>
                    <w:t>或每桶</w:t>
                  </w:r>
                  <w:r>
                    <w:rPr>
                      <w:rFonts w:hint="eastAsia"/>
                      <w:color w:val="000000"/>
                      <w:kern w:val="0"/>
                      <w:szCs w:val="21"/>
                      <w:lang w:bidi="ar"/>
                    </w:rPr>
                    <w:t>20L</w:t>
                  </w:r>
                </w:p>
              </w:tc>
              <w:tc>
                <w:tcPr>
                  <w:tcW w:w="923" w:type="dxa"/>
                  <w:vAlign w:val="center"/>
                </w:tcPr>
                <w:p>
                  <w:pPr>
                    <w:adjustRightInd w:val="0"/>
                    <w:snapToGrid w:val="0"/>
                    <w:jc w:val="center"/>
                    <w:rPr>
                      <w:rFonts w:hint="eastAsia"/>
                      <w:kern w:val="0"/>
                      <w:szCs w:val="21"/>
                    </w:rPr>
                  </w:pPr>
                  <w:r>
                    <w:rPr>
                      <w:rFonts w:hint="eastAsia"/>
                      <w:kern w:val="0"/>
                      <w:szCs w:val="21"/>
                    </w:rPr>
                    <w:t>60</w:t>
                  </w:r>
                  <w:r>
                    <w:rPr>
                      <w:kern w:val="0"/>
                      <w:szCs w:val="21"/>
                    </w:rPr>
                    <w:t>天</w:t>
                  </w:r>
                </w:p>
              </w:tc>
              <w:tc>
                <w:tcPr>
                  <w:tcW w:w="924" w:type="dxa"/>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0.2</w:t>
                  </w:r>
                </w:p>
              </w:tc>
              <w:tc>
                <w:tcPr>
                  <w:tcW w:w="1177" w:type="dxa"/>
                  <w:vAlign w:val="center"/>
                </w:tcPr>
                <w:p>
                  <w:pPr>
                    <w:adjustRightInd w:val="0"/>
                    <w:snapToGrid w:val="0"/>
                    <w:jc w:val="center"/>
                    <w:rPr>
                      <w:szCs w:val="21"/>
                    </w:rPr>
                  </w:pPr>
                  <w:r>
                    <w:rPr>
                      <w:szCs w:val="21"/>
                    </w:rPr>
                    <w:t>外购</w:t>
                  </w:r>
                  <w:r>
                    <w:rPr>
                      <w:rFonts w:hint="eastAsia"/>
                      <w:szCs w:val="21"/>
                    </w:rPr>
                    <w:t>、</w:t>
                  </w:r>
                  <w:r>
                    <w:rPr>
                      <w:szCs w:val="21"/>
                    </w:rPr>
                    <w:t>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eastAsia="宋体"/>
                      <w:bCs/>
                      <w:kern w:val="0"/>
                      <w:szCs w:val="21"/>
                      <w:lang w:val="en-US" w:eastAsia="zh-CN"/>
                    </w:rPr>
                  </w:pPr>
                  <w:r>
                    <w:rPr>
                      <w:rFonts w:hint="eastAsia"/>
                      <w:bCs/>
                      <w:kern w:val="0"/>
                      <w:szCs w:val="21"/>
                      <w:lang w:val="en-US" w:eastAsia="zh-CN"/>
                    </w:rPr>
                    <w:t>10</w:t>
                  </w:r>
                </w:p>
              </w:tc>
              <w:tc>
                <w:tcPr>
                  <w:tcW w:w="967" w:type="dxa"/>
                  <w:vAlign w:val="center"/>
                </w:tcPr>
                <w:p>
                  <w:pPr>
                    <w:pStyle w:val="43"/>
                    <w:rPr>
                      <w:rFonts w:ascii="宋体" w:hAnsi="宋体" w:cs="宋体"/>
                      <w:szCs w:val="21"/>
                    </w:rPr>
                  </w:pPr>
                  <w:r>
                    <w:rPr>
                      <w:rFonts w:hint="eastAsia"/>
                      <w:kern w:val="0"/>
                      <w:szCs w:val="21"/>
                      <w:lang w:val="en-US" w:eastAsia="zh-CN"/>
                    </w:rPr>
                    <w:t>稀释剂</w:t>
                  </w:r>
                </w:p>
              </w:tc>
              <w:tc>
                <w:tcPr>
                  <w:tcW w:w="1118" w:type="dxa"/>
                  <w:vAlign w:val="center"/>
                </w:tcPr>
                <w:p>
                  <w:pPr>
                    <w:jc w:val="center"/>
                    <w:rPr>
                      <w:rFonts w:hint="eastAsia"/>
                      <w:szCs w:val="21"/>
                    </w:rPr>
                  </w:pPr>
                  <w:r>
                    <w:rPr>
                      <w:rFonts w:hint="eastAsia"/>
                      <w:szCs w:val="21"/>
                    </w:rPr>
                    <w:t>吨</w:t>
                  </w:r>
                  <w:r>
                    <w:rPr>
                      <w:rStyle w:val="21"/>
                      <w:rFonts w:hint="eastAsia"/>
                      <w:kern w:val="0"/>
                    </w:rPr>
                    <w:t>/年</w:t>
                  </w:r>
                </w:p>
              </w:tc>
              <w:tc>
                <w:tcPr>
                  <w:tcW w:w="900" w:type="dxa"/>
                  <w:vAlign w:val="center"/>
                </w:tcPr>
                <w:p>
                  <w:pPr>
                    <w:jc w:val="center"/>
                    <w:rPr>
                      <w:rFonts w:hint="eastAsia"/>
                      <w:szCs w:val="21"/>
                    </w:rPr>
                  </w:pPr>
                  <w:r>
                    <w:rPr>
                      <w:rFonts w:hint="eastAsia" w:ascii="Times New Roman" w:hAnsi="Times New Roman" w:eastAsia="宋体" w:cs="Times New Roman"/>
                      <w:bCs/>
                      <w:kern w:val="0"/>
                      <w:szCs w:val="21"/>
                      <w:lang w:val="en-US" w:eastAsia="zh-CN"/>
                    </w:rPr>
                    <w:t>0.6</w:t>
                  </w:r>
                </w:p>
              </w:tc>
              <w:tc>
                <w:tcPr>
                  <w:tcW w:w="1222" w:type="dxa"/>
                  <w:vAlign w:val="center"/>
                </w:tcPr>
                <w:p>
                  <w:pPr>
                    <w:adjustRightInd w:val="0"/>
                    <w:snapToGrid w:val="0"/>
                    <w:jc w:val="center"/>
                    <w:rPr>
                      <w:color w:val="000000"/>
                      <w:kern w:val="0"/>
                      <w:szCs w:val="21"/>
                      <w:lang w:bidi="ar"/>
                    </w:rPr>
                  </w:pPr>
                  <w:r>
                    <w:rPr>
                      <w:color w:val="000000"/>
                      <w:kern w:val="0"/>
                      <w:szCs w:val="21"/>
                      <w:lang w:bidi="ar"/>
                    </w:rPr>
                    <w:t>原料库</w:t>
                  </w:r>
                  <w:r>
                    <w:rPr>
                      <w:rFonts w:hint="eastAsia"/>
                      <w:color w:val="000000"/>
                      <w:kern w:val="0"/>
                      <w:szCs w:val="21"/>
                      <w:lang w:bidi="ar"/>
                    </w:rPr>
                    <w:t>桶装</w:t>
                  </w:r>
                  <w:r>
                    <w:rPr>
                      <w:color w:val="000000"/>
                      <w:kern w:val="0"/>
                      <w:szCs w:val="21"/>
                      <w:lang w:bidi="ar"/>
                    </w:rPr>
                    <w:t>每桶</w:t>
                  </w:r>
                  <w:r>
                    <w:rPr>
                      <w:rFonts w:hint="eastAsia"/>
                      <w:color w:val="000000"/>
                      <w:kern w:val="0"/>
                      <w:szCs w:val="21"/>
                      <w:lang w:bidi="ar"/>
                    </w:rPr>
                    <w:t>5L</w:t>
                  </w:r>
                  <w:r>
                    <w:rPr>
                      <w:color w:val="000000"/>
                      <w:kern w:val="0"/>
                      <w:szCs w:val="21"/>
                      <w:lang w:bidi="ar"/>
                    </w:rPr>
                    <w:t>或每桶</w:t>
                  </w:r>
                  <w:r>
                    <w:rPr>
                      <w:rFonts w:hint="eastAsia"/>
                      <w:color w:val="000000"/>
                      <w:kern w:val="0"/>
                      <w:szCs w:val="21"/>
                      <w:lang w:bidi="ar"/>
                    </w:rPr>
                    <w:t>20L</w:t>
                  </w:r>
                </w:p>
              </w:tc>
              <w:tc>
                <w:tcPr>
                  <w:tcW w:w="923" w:type="dxa"/>
                  <w:vAlign w:val="center"/>
                </w:tcPr>
                <w:p>
                  <w:pPr>
                    <w:adjustRightInd w:val="0"/>
                    <w:snapToGrid w:val="0"/>
                    <w:jc w:val="center"/>
                    <w:rPr>
                      <w:rFonts w:hint="eastAsia"/>
                      <w:kern w:val="0"/>
                      <w:szCs w:val="21"/>
                    </w:rPr>
                  </w:pPr>
                  <w:r>
                    <w:rPr>
                      <w:rFonts w:hint="eastAsia"/>
                      <w:kern w:val="0"/>
                      <w:szCs w:val="21"/>
                    </w:rPr>
                    <w:t>60</w:t>
                  </w:r>
                  <w:r>
                    <w:rPr>
                      <w:kern w:val="0"/>
                      <w:szCs w:val="21"/>
                    </w:rPr>
                    <w:t>天</w:t>
                  </w:r>
                </w:p>
              </w:tc>
              <w:tc>
                <w:tcPr>
                  <w:tcW w:w="924" w:type="dxa"/>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0.2</w:t>
                  </w:r>
                </w:p>
              </w:tc>
              <w:tc>
                <w:tcPr>
                  <w:tcW w:w="1177" w:type="dxa"/>
                  <w:vAlign w:val="center"/>
                </w:tcPr>
                <w:p>
                  <w:pPr>
                    <w:adjustRightInd w:val="0"/>
                    <w:snapToGrid w:val="0"/>
                    <w:jc w:val="center"/>
                    <w:rPr>
                      <w:szCs w:val="21"/>
                    </w:rPr>
                  </w:pPr>
                  <w:r>
                    <w:rPr>
                      <w:szCs w:val="21"/>
                    </w:rPr>
                    <w:t>外购</w:t>
                  </w:r>
                  <w:r>
                    <w:rPr>
                      <w:rFonts w:hint="eastAsia"/>
                      <w:szCs w:val="21"/>
                    </w:rPr>
                    <w:t>、</w:t>
                  </w:r>
                  <w:r>
                    <w:rPr>
                      <w:szCs w:val="21"/>
                    </w:rPr>
                    <w:t>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45" w:type="dxa"/>
                  <w:gridSpan w:val="8"/>
                  <w:vAlign w:val="center"/>
                </w:tcPr>
                <w:p>
                  <w:pPr>
                    <w:adjustRightInd w:val="0"/>
                    <w:snapToGrid w:val="0"/>
                    <w:jc w:val="center"/>
                    <w:rPr>
                      <w:kern w:val="0"/>
                      <w:szCs w:val="21"/>
                    </w:rPr>
                  </w:pPr>
                  <w:r>
                    <w:rPr>
                      <w:b/>
                      <w:szCs w:val="21"/>
                      <w:lang w:bidi="ar"/>
                    </w:rPr>
                    <w:t>能源消耗情况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default" w:eastAsia="宋体"/>
                      <w:bCs/>
                      <w:kern w:val="0"/>
                      <w:szCs w:val="21"/>
                      <w:lang w:val="en-US" w:eastAsia="zh-CN"/>
                    </w:rPr>
                  </w:pPr>
                  <w:r>
                    <w:rPr>
                      <w:rFonts w:hint="eastAsia"/>
                      <w:bCs/>
                      <w:kern w:val="0"/>
                      <w:szCs w:val="21"/>
                      <w:lang w:val="en-US" w:eastAsia="zh-CN"/>
                    </w:rPr>
                    <w:t>11</w:t>
                  </w:r>
                </w:p>
              </w:tc>
              <w:tc>
                <w:tcPr>
                  <w:tcW w:w="967" w:type="dxa"/>
                  <w:vAlign w:val="center"/>
                </w:tcPr>
                <w:p>
                  <w:pPr>
                    <w:pStyle w:val="43"/>
                    <w:rPr>
                      <w:color w:val="000000"/>
                      <w:kern w:val="0"/>
                      <w:szCs w:val="21"/>
                      <w:lang w:bidi="ar"/>
                    </w:rPr>
                  </w:pPr>
                  <w:r>
                    <w:rPr>
                      <w:kern w:val="0"/>
                      <w:szCs w:val="21"/>
                    </w:rPr>
                    <w:t>水</w:t>
                  </w:r>
                </w:p>
              </w:tc>
              <w:tc>
                <w:tcPr>
                  <w:tcW w:w="1118" w:type="dxa"/>
                  <w:vAlign w:val="center"/>
                </w:tcPr>
                <w:p>
                  <w:pPr>
                    <w:pStyle w:val="43"/>
                    <w:rPr>
                      <w:bCs/>
                      <w:kern w:val="0"/>
                      <w:szCs w:val="21"/>
                    </w:rPr>
                  </w:pPr>
                  <w:r>
                    <w:rPr>
                      <w:bCs/>
                      <w:kern w:val="0"/>
                      <w:szCs w:val="21"/>
                    </w:rPr>
                    <w:t>吨/年</w:t>
                  </w:r>
                </w:p>
              </w:tc>
              <w:tc>
                <w:tcPr>
                  <w:tcW w:w="900" w:type="dxa"/>
                  <w:vAlign w:val="center"/>
                </w:tcPr>
                <w:p>
                  <w:pPr>
                    <w:jc w:val="center"/>
                    <w:rPr>
                      <w:szCs w:val="21"/>
                    </w:rPr>
                  </w:pPr>
                  <w:r>
                    <w:rPr>
                      <w:rFonts w:hint="eastAsia"/>
                      <w:szCs w:val="21"/>
                    </w:rPr>
                    <w:t>90</w:t>
                  </w:r>
                </w:p>
              </w:tc>
              <w:tc>
                <w:tcPr>
                  <w:tcW w:w="4246" w:type="dxa"/>
                  <w:gridSpan w:val="4"/>
                  <w:vAlign w:val="center"/>
                </w:tcPr>
                <w:p>
                  <w:pPr>
                    <w:jc w:val="center"/>
                    <w:rPr>
                      <w:kern w:val="0"/>
                      <w:szCs w:val="21"/>
                    </w:rPr>
                  </w:pPr>
                  <w:r>
                    <w:rPr>
                      <w:szCs w:val="21"/>
                      <w:lang w:bidi="ar"/>
                    </w:rPr>
                    <w:t>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jc w:val="center"/>
                    <w:rPr>
                      <w:rFonts w:hint="eastAsia" w:eastAsia="宋体"/>
                      <w:bCs/>
                      <w:kern w:val="0"/>
                      <w:szCs w:val="21"/>
                      <w:lang w:val="en-US" w:eastAsia="zh-CN"/>
                    </w:rPr>
                  </w:pPr>
                  <w:r>
                    <w:rPr>
                      <w:rFonts w:hint="eastAsia"/>
                      <w:bCs/>
                      <w:kern w:val="0"/>
                      <w:szCs w:val="21"/>
                    </w:rPr>
                    <w:t>1</w:t>
                  </w:r>
                  <w:r>
                    <w:rPr>
                      <w:rFonts w:hint="eastAsia"/>
                      <w:bCs/>
                      <w:kern w:val="0"/>
                      <w:szCs w:val="21"/>
                      <w:lang w:val="en-US" w:eastAsia="zh-CN"/>
                    </w:rPr>
                    <w:t>2</w:t>
                  </w:r>
                </w:p>
              </w:tc>
              <w:tc>
                <w:tcPr>
                  <w:tcW w:w="967" w:type="dxa"/>
                  <w:vAlign w:val="center"/>
                </w:tcPr>
                <w:p>
                  <w:pPr>
                    <w:pStyle w:val="43"/>
                    <w:rPr>
                      <w:color w:val="000000"/>
                      <w:kern w:val="0"/>
                      <w:szCs w:val="21"/>
                      <w:lang w:bidi="ar"/>
                    </w:rPr>
                  </w:pPr>
                  <w:r>
                    <w:rPr>
                      <w:kern w:val="0"/>
                      <w:szCs w:val="21"/>
                    </w:rPr>
                    <w:t>电</w:t>
                  </w:r>
                </w:p>
              </w:tc>
              <w:tc>
                <w:tcPr>
                  <w:tcW w:w="1118" w:type="dxa"/>
                  <w:vAlign w:val="center"/>
                </w:tcPr>
                <w:p>
                  <w:pPr>
                    <w:pStyle w:val="43"/>
                    <w:rPr>
                      <w:bCs/>
                      <w:kern w:val="0"/>
                      <w:szCs w:val="21"/>
                    </w:rPr>
                  </w:pPr>
                  <w:r>
                    <w:rPr>
                      <w:kern w:val="0"/>
                      <w:szCs w:val="21"/>
                    </w:rPr>
                    <w:t>千瓦时</w:t>
                  </w:r>
                  <w:r>
                    <w:rPr>
                      <w:rStyle w:val="21"/>
                      <w:rFonts w:hint="eastAsia"/>
                      <w:kern w:val="0"/>
                    </w:rPr>
                    <w:t>/年</w:t>
                  </w:r>
                </w:p>
              </w:tc>
              <w:tc>
                <w:tcPr>
                  <w:tcW w:w="900" w:type="dxa"/>
                  <w:vAlign w:val="center"/>
                </w:tcPr>
                <w:p>
                  <w:pPr>
                    <w:jc w:val="center"/>
                    <w:rPr>
                      <w:szCs w:val="21"/>
                    </w:rPr>
                  </w:pPr>
                  <w:r>
                    <w:rPr>
                      <w:bCs/>
                      <w:kern w:val="0"/>
                      <w:szCs w:val="21"/>
                    </w:rPr>
                    <w:t>12万</w:t>
                  </w:r>
                </w:p>
              </w:tc>
              <w:tc>
                <w:tcPr>
                  <w:tcW w:w="4246" w:type="dxa"/>
                  <w:gridSpan w:val="4"/>
                  <w:vAlign w:val="center"/>
                </w:tcPr>
                <w:p>
                  <w:pPr>
                    <w:jc w:val="center"/>
                    <w:rPr>
                      <w:kern w:val="0"/>
                      <w:szCs w:val="21"/>
                    </w:rPr>
                  </w:pPr>
                  <w:r>
                    <w:rPr>
                      <w:szCs w:val="21"/>
                      <w:lang w:bidi="ar"/>
                    </w:rPr>
                    <w:t>供电管网</w:t>
                  </w:r>
                </w:p>
              </w:tc>
            </w:tr>
          </w:tbl>
          <w:p>
            <w:pPr>
              <w:spacing w:line="360" w:lineRule="auto"/>
              <w:ind w:firstLine="482" w:firstLineChars="200"/>
              <w:rPr>
                <w:rFonts w:hint="eastAsia" w:eastAsia="宋体"/>
                <w:b/>
                <w:bCs/>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注</w:t>
            </w:r>
            <w:r>
              <w:rPr>
                <w:rFonts w:hint="eastAsia" w:ascii="宋体" w:hAnsi="宋体" w:eastAsia="宋体" w:cs="宋体"/>
                <w:b/>
                <w:bCs/>
                <w:sz w:val="24"/>
                <w:szCs w:val="24"/>
                <w:lang w:val="en-US" w:eastAsia="zh-CN"/>
              </w:rPr>
              <w:t>：</w:t>
            </w:r>
            <w:r>
              <w:rPr>
                <w:rFonts w:ascii="宋体" w:hAnsi="宋体" w:eastAsia="宋体" w:cs="宋体"/>
                <w:b/>
                <w:bCs/>
                <w:sz w:val="24"/>
                <w:szCs w:val="24"/>
              </w:rPr>
              <w:t>本项目设备维修交由第三方承包，因此本项目无机油</w:t>
            </w:r>
            <w:r>
              <w:rPr>
                <w:rFonts w:hint="eastAsia" w:ascii="宋体" w:hAnsi="宋体" w:eastAsia="宋体" w:cs="宋体"/>
                <w:b/>
                <w:bCs/>
                <w:sz w:val="24"/>
                <w:szCs w:val="24"/>
              </w:rPr>
              <w:t>使用</w:t>
            </w:r>
            <w:r>
              <w:rPr>
                <w:rFonts w:ascii="宋体" w:hAnsi="宋体" w:eastAsia="宋体" w:cs="宋体"/>
                <w:b/>
                <w:bCs/>
                <w:sz w:val="24"/>
                <w:szCs w:val="24"/>
              </w:rPr>
              <w:t>，也不产生废机油</w:t>
            </w:r>
            <w:r>
              <w:rPr>
                <w:rFonts w:hint="eastAsia" w:ascii="宋体" w:hAnsi="宋体" w:eastAsia="宋体" w:cs="宋体"/>
                <w:b/>
                <w:bCs/>
                <w:sz w:val="24"/>
                <w:szCs w:val="24"/>
                <w:lang w:eastAsia="zh-CN"/>
              </w:rPr>
              <w:t>；</w:t>
            </w:r>
            <w:r>
              <w:rPr>
                <w:rFonts w:ascii="宋体" w:hAnsi="宋体" w:eastAsia="宋体" w:cs="宋体"/>
                <w:b/>
                <w:bCs/>
                <w:sz w:val="24"/>
                <w:szCs w:val="24"/>
              </w:rPr>
              <w:t>本项目外购的板材原先就有一层底漆，因此</w:t>
            </w:r>
            <w:r>
              <w:rPr>
                <w:b/>
                <w:bCs/>
                <w:sz w:val="24"/>
              </w:rPr>
              <w:t>本项目</w:t>
            </w:r>
            <w:r>
              <w:rPr>
                <w:rFonts w:ascii="宋体" w:hAnsi="宋体" w:cs="宋体"/>
                <w:b/>
                <w:bCs/>
                <w:sz w:val="24"/>
              </w:rPr>
              <w:t>涂漆只</w:t>
            </w:r>
            <w:r>
              <w:rPr>
                <w:rFonts w:hint="eastAsia" w:ascii="宋体" w:hAnsi="宋体" w:cs="宋体"/>
                <w:b/>
                <w:bCs/>
                <w:sz w:val="24"/>
                <w:lang w:val="en-US" w:eastAsia="zh-CN"/>
              </w:rPr>
              <w:t>需</w:t>
            </w:r>
            <w:r>
              <w:rPr>
                <w:rFonts w:ascii="宋体" w:hAnsi="宋体" w:cs="宋体"/>
                <w:b/>
                <w:bCs/>
                <w:sz w:val="24"/>
              </w:rPr>
              <w:t>涂一层面漆</w:t>
            </w:r>
            <w:r>
              <w:rPr>
                <w:rFonts w:hint="eastAsia" w:ascii="宋体" w:hAnsi="宋体" w:cs="宋体"/>
                <w:b/>
                <w:bCs/>
                <w:sz w:val="24"/>
                <w:lang w:val="en-US" w:eastAsia="zh-CN"/>
              </w:rPr>
              <w:t>即可。</w:t>
            </w:r>
          </w:p>
          <w:p>
            <w:pPr>
              <w:spacing w:line="360" w:lineRule="auto"/>
              <w:ind w:firstLine="2168" w:firstLineChars="900"/>
              <w:rPr>
                <w:bCs/>
                <w:color w:val="000000" w:themeColor="text1"/>
                <w:kern w:val="0"/>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6</w:t>
            </w:r>
            <w:r>
              <w:rPr>
                <w:rFonts w:hint="eastAsia"/>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 xml:space="preserve"> 原辅材料</w:t>
            </w:r>
            <w:r>
              <w:rPr>
                <w:rFonts w:hint="eastAsia"/>
                <w:b/>
                <w:color w:val="000000" w:themeColor="text1"/>
                <w:sz w:val="24"/>
                <w14:textFill>
                  <w14:solidFill>
                    <w14:schemeClr w14:val="tx1"/>
                  </w14:solidFill>
                </w14:textFill>
              </w:rPr>
              <w:t>成分</w:t>
            </w:r>
            <w:r>
              <w:rPr>
                <w:b/>
                <w:color w:val="000000" w:themeColor="text1"/>
                <w:sz w:val="24"/>
                <w14:textFill>
                  <w14:solidFill>
                    <w14:schemeClr w14:val="tx1"/>
                  </w14:solidFill>
                </w14:textFill>
              </w:rPr>
              <w:t>理化性质一览表</w:t>
            </w:r>
          </w:p>
          <w:tbl>
            <w:tblPr>
              <w:tblStyle w:val="23"/>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4057"/>
              <w:gridCol w:w="151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Align w:val="center"/>
                </w:tcPr>
                <w:p>
                  <w:pPr>
                    <w:jc w:val="center"/>
                    <w:rPr>
                      <w:bCs/>
                      <w:color w:val="000000" w:themeColor="text1"/>
                      <w:kern w:val="0"/>
                      <w14:textFill>
                        <w14:solidFill>
                          <w14:schemeClr w14:val="tx1"/>
                        </w14:solidFill>
                      </w14:textFill>
                    </w:rPr>
                  </w:pPr>
                  <w:r>
                    <w:rPr>
                      <w:b/>
                      <w:bCs/>
                      <w:color w:val="000000" w:themeColor="text1"/>
                      <w:kern w:val="0"/>
                      <w:szCs w:val="21"/>
                      <w14:textFill>
                        <w14:solidFill>
                          <w14:schemeClr w14:val="tx1"/>
                        </w14:solidFill>
                      </w14:textFill>
                    </w:rPr>
                    <w:t>名称</w:t>
                  </w:r>
                </w:p>
              </w:tc>
              <w:tc>
                <w:tcPr>
                  <w:tcW w:w="4057" w:type="dxa"/>
                  <w:vAlign w:val="center"/>
                </w:tcPr>
                <w:p>
                  <w:pPr>
                    <w:adjustRightInd w:val="0"/>
                    <w:snapToGrid w:val="0"/>
                    <w:jc w:val="center"/>
                    <w:rPr>
                      <w:bCs/>
                      <w:color w:val="000000" w:themeColor="text1"/>
                      <w:kern w:val="0"/>
                      <w14:textFill>
                        <w14:solidFill>
                          <w14:schemeClr w14:val="tx1"/>
                        </w14:solidFill>
                      </w14:textFill>
                    </w:rPr>
                  </w:pPr>
                  <w:r>
                    <w:rPr>
                      <w:rFonts w:hint="eastAsia"/>
                      <w:b/>
                      <w:bCs/>
                      <w:color w:val="000000" w:themeColor="text1"/>
                      <w:kern w:val="0"/>
                      <w:szCs w:val="21"/>
                      <w14:textFill>
                        <w14:solidFill>
                          <w14:schemeClr w14:val="tx1"/>
                        </w14:solidFill>
                      </w14:textFill>
                    </w:rPr>
                    <w:t>成分</w:t>
                  </w:r>
                </w:p>
              </w:tc>
              <w:tc>
                <w:tcPr>
                  <w:tcW w:w="1515" w:type="dxa"/>
                  <w:vAlign w:val="center"/>
                </w:tcPr>
                <w:p>
                  <w:pPr>
                    <w:jc w:val="center"/>
                    <w:rPr>
                      <w:bCs/>
                      <w:color w:val="000000" w:themeColor="text1"/>
                      <w:kern w:val="0"/>
                      <w14:textFill>
                        <w14:solidFill>
                          <w14:schemeClr w14:val="tx1"/>
                        </w14:solidFill>
                      </w14:textFill>
                    </w:rPr>
                  </w:pPr>
                  <w:r>
                    <w:rPr>
                      <w:rFonts w:hint="eastAsia"/>
                      <w:b/>
                      <w:bCs/>
                      <w:color w:val="000000" w:themeColor="text1"/>
                      <w:szCs w:val="21"/>
                      <w14:textFill>
                        <w14:solidFill>
                          <w14:schemeClr w14:val="tx1"/>
                        </w14:solidFill>
                      </w14:textFill>
                    </w:rPr>
                    <w:t>燃烧爆炸性</w:t>
                  </w:r>
                </w:p>
              </w:tc>
              <w:tc>
                <w:tcPr>
                  <w:tcW w:w="1455" w:type="dxa"/>
                  <w:vAlign w:val="center"/>
                </w:tcPr>
                <w:p>
                  <w:pPr>
                    <w:jc w:val="center"/>
                    <w:rPr>
                      <w:bCs/>
                      <w:color w:val="000000" w:themeColor="text1"/>
                      <w:kern w:val="0"/>
                      <w14:textFill>
                        <w14:solidFill>
                          <w14:schemeClr w14:val="tx1"/>
                        </w14:solidFill>
                      </w14:textFill>
                    </w:rPr>
                  </w:pPr>
                  <w:r>
                    <w:rPr>
                      <w:b/>
                      <w:bCs/>
                      <w:color w:val="000000" w:themeColor="text1"/>
                      <w:kern w:val="0"/>
                      <w:szCs w:val="21"/>
                      <w14:textFill>
                        <w14:solidFill>
                          <w14:schemeClr w14:val="tx1"/>
                        </w14:solidFill>
                      </w14:textFill>
                    </w:rPr>
                    <w:t>毒理特性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油漆</w:t>
                  </w:r>
                </w:p>
              </w:tc>
              <w:tc>
                <w:tcPr>
                  <w:tcW w:w="4057"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醇酸树脂</w:t>
                  </w:r>
                  <w:r>
                    <w:rPr>
                      <w:rFonts w:hint="eastAsia"/>
                      <w:color w:val="000000" w:themeColor="text1"/>
                      <w:szCs w:val="21"/>
                      <w14:textFill>
                        <w14:solidFill>
                          <w14:schemeClr w14:val="tx1"/>
                        </w14:solidFill>
                      </w14:textFill>
                    </w:rPr>
                    <w:t>72.3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钛白粉</w:t>
                  </w:r>
                  <w:r>
                    <w:rPr>
                      <w:rFonts w:hint="eastAsia"/>
                      <w:color w:val="000000" w:themeColor="text1"/>
                      <w:szCs w:val="21"/>
                      <w14:textFill>
                        <w14:solidFill>
                          <w14:schemeClr w14:val="tx1"/>
                        </w14:solidFill>
                      </w14:textFill>
                    </w:rPr>
                    <w:t>7.8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二甲苯</w:t>
                  </w:r>
                  <w:r>
                    <w:rPr>
                      <w:rFonts w:hint="eastAsia"/>
                      <w:color w:val="000000" w:themeColor="text1"/>
                      <w:szCs w:val="21"/>
                      <w14:textFill>
                        <w14:solidFill>
                          <w14:schemeClr w14:val="tx1"/>
                        </w14:solidFill>
                      </w14:textFill>
                    </w:rPr>
                    <w:t>6.3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乙酸丁酯</w:t>
                  </w:r>
                  <w:r>
                    <w:rPr>
                      <w:rFonts w:hint="eastAsia"/>
                      <w:color w:val="000000" w:themeColor="text1"/>
                      <w:szCs w:val="21"/>
                      <w14:textFill>
                        <w14:solidFill>
                          <w14:schemeClr w14:val="tx1"/>
                        </w14:solidFill>
                      </w14:textFill>
                    </w:rPr>
                    <w:t>6.3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环己酮</w:t>
                  </w:r>
                  <w:r>
                    <w:rPr>
                      <w:rFonts w:hint="eastAsia"/>
                      <w:color w:val="000000" w:themeColor="text1"/>
                      <w:szCs w:val="21"/>
                      <w14:textFill>
                        <w14:solidFill>
                          <w14:schemeClr w14:val="tx1"/>
                        </w14:solidFill>
                      </w14:textFill>
                    </w:rPr>
                    <w:t>6.3</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消泡剂0.5%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流平剂0.5%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具体见附件</w:t>
                  </w:r>
                </w:p>
              </w:tc>
              <w:tc>
                <w:tcPr>
                  <w:tcW w:w="1515" w:type="dxa"/>
                  <w:vAlign w:val="center"/>
                </w:tcPr>
                <w:p>
                  <w:pPr>
                    <w:autoSpaceDE w:val="0"/>
                    <w:autoSpaceDN w:val="0"/>
                    <w:adjustRightInd w:val="0"/>
                    <w:spacing w:before="100" w:beforeAutospacing="1"/>
                    <w:jc w:val="center"/>
                    <w:rPr>
                      <w:bCs/>
                      <w:color w:val="000000" w:themeColor="text1"/>
                      <w:kern w:val="0"/>
                      <w14:textFill>
                        <w14:solidFill>
                          <w14:schemeClr w14:val="tx1"/>
                        </w14:solidFill>
                      </w14:textFill>
                    </w:rPr>
                  </w:pPr>
                  <w:r>
                    <w:rPr>
                      <w:color w:val="000000" w:themeColor="text1"/>
                      <w:szCs w:val="21"/>
                      <w14:textFill>
                        <w14:solidFill>
                          <w14:schemeClr w14:val="tx1"/>
                        </w14:solidFill>
                      </w14:textFill>
                    </w:rPr>
                    <w:t>可燃</w:t>
                  </w:r>
                  <w:r>
                    <w:rPr>
                      <w:rFonts w:hint="eastAsia"/>
                      <w:color w:val="000000" w:themeColor="text1"/>
                      <w:szCs w:val="21"/>
                      <w14:textFill>
                        <w14:solidFill>
                          <w14:schemeClr w14:val="tx1"/>
                        </w14:solidFill>
                      </w14:textFill>
                    </w:rPr>
                    <w:t>，不易爆</w:t>
                  </w:r>
                </w:p>
              </w:tc>
              <w:tc>
                <w:tcPr>
                  <w:tcW w:w="1455" w:type="dxa"/>
                  <w:vAlign w:val="center"/>
                </w:tcPr>
                <w:p>
                  <w:pPr>
                    <w:autoSpaceDE w:val="0"/>
                    <w:autoSpaceDN w:val="0"/>
                    <w:adjustRightInd w:val="0"/>
                    <w:spacing w:before="100" w:beforeAutospacing="1"/>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有毒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918" w:type="dxa"/>
                  <w:vAlign w:val="center"/>
                </w:tcPr>
                <w:p>
                  <w:pPr>
                    <w:pStyle w:val="43"/>
                    <w:spacing w:line="240" w:lineRule="auto"/>
                    <w:rPr>
                      <w:bCs/>
                      <w:color w:val="000000" w:themeColor="text1"/>
                      <w:kern w:val="0"/>
                      <w:szCs w:val="18"/>
                      <w14:textFill>
                        <w14:solidFill>
                          <w14:schemeClr w14:val="tx1"/>
                        </w14:solidFill>
                      </w14:textFill>
                    </w:rPr>
                  </w:pPr>
                  <w:r>
                    <w:rPr>
                      <w:rFonts w:ascii="宋体" w:hAnsi="宋体" w:cs="宋体"/>
                      <w:color w:val="000000" w:themeColor="text1"/>
                      <w:szCs w:val="21"/>
                      <w14:textFill>
                        <w14:solidFill>
                          <w14:schemeClr w14:val="tx1"/>
                        </w14:solidFill>
                      </w14:textFill>
                    </w:rPr>
                    <w:t>固化剂</w:t>
                  </w:r>
                </w:p>
              </w:tc>
              <w:tc>
                <w:tcPr>
                  <w:tcW w:w="4057" w:type="dxa"/>
                  <w:vAlign w:val="center"/>
                </w:tcPr>
                <w:p>
                  <w:pPr>
                    <w:pStyle w:val="2"/>
                    <w:spacing w:before="0" w:after="0" w:line="240" w:lineRule="auto"/>
                    <w:jc w:val="center"/>
                    <w:rPr>
                      <w:bCs/>
                      <w:color w:val="000000" w:themeColor="text1"/>
                      <w:sz w:val="21"/>
                      <w:szCs w:val="18"/>
                      <w14:textFill>
                        <w14:solidFill>
                          <w14:schemeClr w14:val="tx1"/>
                        </w14:solidFill>
                      </w14:textFill>
                    </w:rPr>
                  </w:pPr>
                  <w:r>
                    <w:rPr>
                      <w:rFonts w:hint="eastAsia"/>
                      <w:bCs/>
                      <w:color w:val="000000" w:themeColor="text1"/>
                      <w:sz w:val="21"/>
                      <w:szCs w:val="18"/>
                      <w14:textFill>
                        <w14:solidFill>
                          <w14:schemeClr w14:val="tx1"/>
                        </w14:solidFill>
                      </w14:textFill>
                    </w:rPr>
                    <w:t>MDI（三聚体）65%、二甲苯25%、乙酸丁酯5%、乙酸乙酯5%，</w:t>
                  </w:r>
                  <w:r>
                    <w:rPr>
                      <w:color w:val="000000" w:themeColor="text1"/>
                      <w:sz w:val="21"/>
                      <w:szCs w:val="21"/>
                      <w14:textFill>
                        <w14:solidFill>
                          <w14:schemeClr w14:val="tx1"/>
                        </w14:solidFill>
                      </w14:textFill>
                    </w:rPr>
                    <w:t>具体见附件</w:t>
                  </w:r>
                </w:p>
              </w:tc>
              <w:tc>
                <w:tcPr>
                  <w:tcW w:w="1515" w:type="dxa"/>
                  <w:vAlign w:val="center"/>
                </w:tcPr>
                <w:p>
                  <w:pPr>
                    <w:pStyle w:val="2"/>
                    <w:spacing w:line="240" w:lineRule="auto"/>
                    <w:jc w:val="center"/>
                    <w:rPr>
                      <w:bCs/>
                      <w:color w:val="000000" w:themeColor="text1"/>
                      <w:sz w:val="21"/>
                      <w:szCs w:val="18"/>
                      <w14:textFill>
                        <w14:solidFill>
                          <w14:schemeClr w14:val="tx1"/>
                        </w14:solidFill>
                      </w14:textFill>
                    </w:rPr>
                  </w:pPr>
                  <w:r>
                    <w:rPr>
                      <w:color w:val="000000" w:themeColor="text1"/>
                      <w:sz w:val="21"/>
                      <w:szCs w:val="21"/>
                      <w14:textFill>
                        <w14:solidFill>
                          <w14:schemeClr w14:val="tx1"/>
                        </w14:solidFill>
                      </w14:textFill>
                    </w:rPr>
                    <w:t>可</w:t>
                  </w:r>
                  <w:r>
                    <w:rPr>
                      <w:color w:val="000000" w:themeColor="text1"/>
                      <w:kern w:val="2"/>
                      <w:sz w:val="21"/>
                      <w:szCs w:val="21"/>
                      <w14:textFill>
                        <w14:solidFill>
                          <w14:schemeClr w14:val="tx1"/>
                        </w14:solidFill>
                      </w14:textFill>
                    </w:rPr>
                    <w:t>燃</w:t>
                  </w:r>
                  <w:r>
                    <w:rPr>
                      <w:rFonts w:hint="eastAsia"/>
                      <w:color w:val="000000" w:themeColor="text1"/>
                      <w:kern w:val="2"/>
                      <w:sz w:val="21"/>
                      <w:szCs w:val="21"/>
                      <w14:textFill>
                        <w14:solidFill>
                          <w14:schemeClr w14:val="tx1"/>
                        </w14:solidFill>
                      </w14:textFill>
                    </w:rPr>
                    <w:t>，不易爆</w:t>
                  </w:r>
                </w:p>
              </w:tc>
              <w:tc>
                <w:tcPr>
                  <w:tcW w:w="1455" w:type="dxa"/>
                  <w:vAlign w:val="center"/>
                </w:tcPr>
                <w:p>
                  <w:pPr>
                    <w:pStyle w:val="2"/>
                    <w:spacing w:line="240" w:lineRule="auto"/>
                    <w:jc w:val="center"/>
                    <w:rPr>
                      <w:bCs/>
                      <w:color w:val="000000" w:themeColor="text1"/>
                      <w:sz w:val="21"/>
                      <w:szCs w:val="18"/>
                      <w14:textFill>
                        <w14:solidFill>
                          <w14:schemeClr w14:val="tx1"/>
                        </w14:solidFill>
                      </w14:textFill>
                    </w:rPr>
                  </w:pPr>
                  <w:r>
                    <w:rPr>
                      <w:bCs/>
                      <w:color w:val="000000" w:themeColor="text1"/>
                      <w:sz w:val="21"/>
                      <w:szCs w:val="18"/>
                      <w14:textFill>
                        <w14:solidFill>
                          <w14:schemeClr w14:val="tx1"/>
                        </w14:solidFill>
                      </w14:textFill>
                    </w:rPr>
                    <w:t>有毒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8" w:type="dxa"/>
                  <w:vAlign w:val="center"/>
                </w:tcPr>
                <w:p>
                  <w:pPr>
                    <w:jc w:val="center"/>
                    <w:rPr>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稀释剂</w:t>
                  </w:r>
                </w:p>
              </w:tc>
              <w:tc>
                <w:tcPr>
                  <w:tcW w:w="4057" w:type="dxa"/>
                  <w:vAlign w:val="center"/>
                </w:tcPr>
                <w:p>
                  <w:pPr>
                    <w:autoSpaceDE w:val="0"/>
                    <w:autoSpaceDN w:val="0"/>
                    <w:adjustRightInd w:val="0"/>
                    <w:spacing w:before="100" w:beforeAutospacing="1"/>
                    <w:jc w:val="center"/>
                    <w:rPr>
                      <w:bCs/>
                      <w:color w:val="000000" w:themeColor="text1"/>
                      <w:kern w:val="0"/>
                      <w:szCs w:val="18"/>
                      <w14:textFill>
                        <w14:solidFill>
                          <w14:schemeClr w14:val="tx1"/>
                        </w14:solidFill>
                      </w14:textFill>
                    </w:rPr>
                  </w:pPr>
                  <w:r>
                    <w:rPr>
                      <w:rFonts w:hint="eastAsia"/>
                      <w:bCs/>
                      <w:color w:val="000000" w:themeColor="text1"/>
                      <w:kern w:val="0"/>
                      <w:szCs w:val="18"/>
                      <w14:textFill>
                        <w14:solidFill>
                          <w14:schemeClr w14:val="tx1"/>
                        </w14:solidFill>
                      </w14:textFill>
                    </w:rPr>
                    <w:t>乙酸丁酯10-30%、二甲苯10-15%、环己酮0-10%、丙二醇甲醚醋酸酯10-30%、碳酸二甲酯0-20%，</w:t>
                  </w:r>
                  <w:r>
                    <w:rPr>
                      <w:color w:val="000000" w:themeColor="text1"/>
                      <w:szCs w:val="21"/>
                      <w14:textFill>
                        <w14:solidFill>
                          <w14:schemeClr w14:val="tx1"/>
                        </w14:solidFill>
                      </w14:textFill>
                    </w:rPr>
                    <w:t>具体见附件</w:t>
                  </w:r>
                </w:p>
              </w:tc>
              <w:tc>
                <w:tcPr>
                  <w:tcW w:w="1515" w:type="dxa"/>
                  <w:vAlign w:val="center"/>
                </w:tcPr>
                <w:p>
                  <w:pPr>
                    <w:autoSpaceDE w:val="0"/>
                    <w:autoSpaceDN w:val="0"/>
                    <w:adjustRightInd w:val="0"/>
                    <w:spacing w:before="100" w:beforeAutospacing="1"/>
                    <w:jc w:val="center"/>
                    <w:rPr>
                      <w:rFonts w:ascii="宋体" w:hAnsi="宋体" w:cs="宋体"/>
                      <w:color w:val="000000" w:themeColor="text1"/>
                      <w:sz w:val="24"/>
                      <w14:textFill>
                        <w14:solidFill>
                          <w14:schemeClr w14:val="tx1"/>
                        </w14:solidFill>
                      </w14:textFill>
                    </w:rPr>
                  </w:pPr>
                  <w:r>
                    <w:rPr>
                      <w:color w:val="000000" w:themeColor="text1"/>
                      <w:szCs w:val="21"/>
                      <w14:textFill>
                        <w14:solidFill>
                          <w14:schemeClr w14:val="tx1"/>
                        </w14:solidFill>
                      </w14:textFill>
                    </w:rPr>
                    <w:t>可燃</w:t>
                  </w:r>
                  <w:r>
                    <w:rPr>
                      <w:rFonts w:hint="eastAsia"/>
                      <w:color w:val="000000" w:themeColor="text1"/>
                      <w:szCs w:val="21"/>
                      <w14:textFill>
                        <w14:solidFill>
                          <w14:schemeClr w14:val="tx1"/>
                        </w14:solidFill>
                      </w14:textFill>
                    </w:rPr>
                    <w:t>，不易爆</w:t>
                  </w:r>
                </w:p>
              </w:tc>
              <w:tc>
                <w:tcPr>
                  <w:tcW w:w="1455" w:type="dxa"/>
                  <w:vAlign w:val="center"/>
                </w:tcPr>
                <w:p>
                  <w:pPr>
                    <w:autoSpaceDE w:val="0"/>
                    <w:autoSpaceDN w:val="0"/>
                    <w:adjustRightInd w:val="0"/>
                    <w:spacing w:before="100" w:beforeAutospacing="1"/>
                    <w:jc w:val="center"/>
                    <w:rPr>
                      <w:bCs/>
                      <w:color w:val="000000" w:themeColor="text1"/>
                      <w:kern w:val="0"/>
                      <w:szCs w:val="18"/>
                      <w14:textFill>
                        <w14:solidFill>
                          <w14:schemeClr w14:val="tx1"/>
                        </w14:solidFill>
                      </w14:textFill>
                    </w:rPr>
                  </w:pPr>
                  <w:r>
                    <w:rPr>
                      <w:bCs/>
                      <w:color w:val="000000" w:themeColor="text1"/>
                      <w:kern w:val="0"/>
                      <w:szCs w:val="18"/>
                      <w14:textFill>
                        <w14:solidFill>
                          <w14:schemeClr w14:val="tx1"/>
                        </w14:solidFill>
                      </w14:textFill>
                    </w:rPr>
                    <w:t>有毒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8" w:type="dxa"/>
                  <w:vAlign w:val="center"/>
                </w:tcPr>
                <w:p>
                  <w:pPr>
                    <w:autoSpaceDE w:val="0"/>
                    <w:autoSpaceDN w:val="0"/>
                    <w:adjustRightInd w:val="0"/>
                    <w:spacing w:before="100" w:beforeAutospacing="1"/>
                    <w:jc w:val="center"/>
                    <w:rPr>
                      <w:bCs/>
                      <w:color w:val="000000" w:themeColor="text1"/>
                      <w:kern w:val="0"/>
                      <w:szCs w:val="18"/>
                      <w14:textFill>
                        <w14:solidFill>
                          <w14:schemeClr w14:val="tx1"/>
                        </w14:solidFill>
                      </w14:textFill>
                    </w:rPr>
                  </w:pPr>
                  <w:r>
                    <w:rPr>
                      <w:rFonts w:ascii="宋体" w:hAnsi="宋体" w:cs="宋体"/>
                      <w:color w:val="000000" w:themeColor="text1"/>
                      <w:szCs w:val="21"/>
                      <w14:textFill>
                        <w14:solidFill>
                          <w14:schemeClr w14:val="tx1"/>
                        </w14:solidFill>
                      </w14:textFill>
                    </w:rPr>
                    <w:t>热熔胶</w:t>
                  </w:r>
                </w:p>
              </w:tc>
              <w:tc>
                <w:tcPr>
                  <w:tcW w:w="4057" w:type="dxa"/>
                  <w:vAlign w:val="center"/>
                </w:tcPr>
                <w:p>
                  <w:pPr>
                    <w:pStyle w:val="43"/>
                    <w:spacing w:line="240" w:lineRule="auto"/>
                    <w:rPr>
                      <w:bCs/>
                      <w:color w:val="000000" w:themeColor="text1"/>
                      <w:kern w:val="0"/>
                      <w:szCs w:val="18"/>
                      <w14:textFill>
                        <w14:solidFill>
                          <w14:schemeClr w14:val="tx1"/>
                        </w14:solidFill>
                      </w14:textFill>
                    </w:rPr>
                  </w:pPr>
                  <w:r>
                    <w:rPr>
                      <w:color w:val="000000" w:themeColor="text1"/>
                      <w:szCs w:val="21"/>
                      <w14:textFill>
                        <w14:solidFill>
                          <w14:schemeClr w14:val="tx1"/>
                        </w14:solidFill>
                      </w14:textFill>
                    </w:rPr>
                    <w:t>EVA30-35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萜烯树脂6-15%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微晶蜡/石蜡3-8%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邻苯二甲酸二丁酯1-4%</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碳酸钙25-35%</w:t>
                  </w:r>
                </w:p>
              </w:tc>
              <w:tc>
                <w:tcPr>
                  <w:tcW w:w="1515" w:type="dxa"/>
                  <w:vAlign w:val="center"/>
                </w:tcPr>
                <w:p>
                  <w:pPr>
                    <w:pStyle w:val="2"/>
                    <w:spacing w:line="240" w:lineRule="auto"/>
                    <w:jc w:val="center"/>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可燃</w:t>
                  </w:r>
                  <w:r>
                    <w:rPr>
                      <w:rFonts w:hint="eastAsia"/>
                      <w:color w:val="000000" w:themeColor="text1"/>
                      <w:kern w:val="2"/>
                      <w:sz w:val="21"/>
                      <w:szCs w:val="21"/>
                      <w14:textFill>
                        <w14:solidFill>
                          <w14:schemeClr w14:val="tx1"/>
                        </w14:solidFill>
                      </w14:textFill>
                    </w:rPr>
                    <w:t>，不爆</w:t>
                  </w:r>
                </w:p>
              </w:tc>
              <w:tc>
                <w:tcPr>
                  <w:tcW w:w="1455" w:type="dxa"/>
                  <w:vAlign w:val="center"/>
                </w:tcPr>
                <w:p>
                  <w:pPr>
                    <w:pStyle w:val="2"/>
                    <w:spacing w:line="240" w:lineRule="auto"/>
                    <w:jc w:val="center"/>
                    <w:rPr>
                      <w:color w:val="000000" w:themeColor="text1"/>
                      <w:kern w:val="2"/>
                      <w:sz w:val="21"/>
                      <w:szCs w:val="21"/>
                      <w14:textFill>
                        <w14:solidFill>
                          <w14:schemeClr w14:val="tx1"/>
                        </w14:solidFill>
                      </w14:textFill>
                    </w:rPr>
                  </w:pPr>
                  <w:r>
                    <w:rPr>
                      <w:color w:val="000000" w:themeColor="text1"/>
                      <w:kern w:val="2"/>
                      <w:sz w:val="21"/>
                      <w:szCs w:val="21"/>
                      <w14:textFill>
                        <w14:solidFill>
                          <w14:schemeClr w14:val="tx1"/>
                        </w14:solidFill>
                      </w14:textFill>
                    </w:rPr>
                    <w:t>无毒</w:t>
                  </w:r>
                </w:p>
              </w:tc>
            </w:tr>
          </w:tbl>
          <w:p>
            <w:pPr>
              <w:ind w:firstLine="480" w:firstLineChars="200"/>
              <w:rPr>
                <w:sz w:val="24"/>
              </w:rPr>
            </w:pPr>
            <w:r>
              <w:rPr>
                <w:sz w:val="24"/>
              </w:rPr>
              <w:t>本项目</w:t>
            </w:r>
            <w:r>
              <w:rPr>
                <w:rFonts w:ascii="宋体" w:hAnsi="宋体" w:cs="宋体"/>
                <w:sz w:val="24"/>
              </w:rPr>
              <w:t>涂漆只涂一层面漆</w:t>
            </w:r>
            <w:r>
              <w:rPr>
                <w:rFonts w:hint="eastAsia" w:ascii="宋体" w:hAnsi="宋体" w:cs="宋体"/>
                <w:sz w:val="24"/>
              </w:rPr>
              <w:t>，</w:t>
            </w:r>
            <w:r>
              <w:rPr>
                <w:rFonts w:hint="eastAsia"/>
                <w:sz w:val="24"/>
              </w:rPr>
              <w:t>油漆</w:t>
            </w:r>
            <w:r>
              <w:rPr>
                <w:sz w:val="24"/>
              </w:rPr>
              <w:t>参数</w:t>
            </w:r>
            <w:r>
              <w:rPr>
                <w:rFonts w:hint="eastAsia"/>
                <w:sz w:val="24"/>
              </w:rPr>
              <w:t>要求及喷漆面积等要求</w:t>
            </w:r>
            <w:r>
              <w:rPr>
                <w:sz w:val="24"/>
              </w:rPr>
              <w:t>见</w:t>
            </w:r>
            <w:r>
              <w:rPr>
                <w:rFonts w:hint="eastAsia"/>
                <w:sz w:val="24"/>
              </w:rPr>
              <w:t>下</w:t>
            </w:r>
            <w:r>
              <w:rPr>
                <w:sz w:val="24"/>
              </w:rPr>
              <w:t>表。</w:t>
            </w:r>
          </w:p>
          <w:p>
            <w:pPr>
              <w:jc w:val="center"/>
              <w:rPr>
                <w:b/>
                <w:sz w:val="24"/>
              </w:rPr>
            </w:pPr>
            <w:r>
              <w:rPr>
                <w:b/>
                <w:sz w:val="24"/>
              </w:rPr>
              <w:t>表2</w:t>
            </w:r>
            <w:r>
              <w:rPr>
                <w:rFonts w:hint="eastAsia"/>
                <w:b/>
                <w:sz w:val="24"/>
              </w:rPr>
              <w:t>-</w:t>
            </w:r>
            <w:r>
              <w:rPr>
                <w:rFonts w:hint="eastAsia"/>
                <w:b/>
                <w:sz w:val="24"/>
                <w:lang w:val="en-US" w:eastAsia="zh-CN"/>
              </w:rPr>
              <w:t>7</w:t>
            </w:r>
            <w:r>
              <w:rPr>
                <w:b/>
                <w:sz w:val="24"/>
              </w:rPr>
              <w:t xml:space="preserve">  油漆用量计算一览表</w:t>
            </w:r>
          </w:p>
          <w:tbl>
            <w:tblPr>
              <w:tblStyle w:val="22"/>
              <w:tblW w:w="7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91"/>
              <w:gridCol w:w="1155"/>
              <w:gridCol w:w="1875"/>
              <w:gridCol w:w="1011"/>
              <w:gridCol w:w="1011"/>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674" w:type="dxa"/>
                  <w:vAlign w:val="center"/>
                </w:tcPr>
                <w:p>
                  <w:pPr>
                    <w:jc w:val="center"/>
                    <w:rPr>
                      <w:szCs w:val="21"/>
                      <w:lang w:val="zh-CN"/>
                    </w:rPr>
                  </w:pPr>
                  <w:r>
                    <w:rPr>
                      <w:szCs w:val="21"/>
                      <w:lang w:val="zh-CN"/>
                    </w:rPr>
                    <w:t>类型</w:t>
                  </w:r>
                </w:p>
              </w:tc>
              <w:tc>
                <w:tcPr>
                  <w:tcW w:w="1191" w:type="dxa"/>
                  <w:vAlign w:val="center"/>
                </w:tcPr>
                <w:p>
                  <w:pPr>
                    <w:jc w:val="center"/>
                    <w:rPr>
                      <w:szCs w:val="21"/>
                      <w:lang w:val="zh-CN"/>
                    </w:rPr>
                  </w:pPr>
                  <w:r>
                    <w:rPr>
                      <w:szCs w:val="21"/>
                    </w:rPr>
                    <w:t>油漆密度（g/cm</w:t>
                  </w:r>
                  <w:r>
                    <w:rPr>
                      <w:szCs w:val="21"/>
                      <w:vertAlign w:val="superscript"/>
                    </w:rPr>
                    <w:t>3</w:t>
                  </w:r>
                  <w:r>
                    <w:rPr>
                      <w:szCs w:val="21"/>
                    </w:rPr>
                    <w:t>）</w:t>
                  </w:r>
                </w:p>
              </w:tc>
              <w:tc>
                <w:tcPr>
                  <w:tcW w:w="1155" w:type="dxa"/>
                  <w:vAlign w:val="center"/>
                </w:tcPr>
                <w:p>
                  <w:pPr>
                    <w:jc w:val="center"/>
                    <w:rPr>
                      <w:szCs w:val="21"/>
                    </w:rPr>
                  </w:pPr>
                  <w:r>
                    <w:rPr>
                      <w:szCs w:val="21"/>
                    </w:rPr>
                    <w:t>涂层厚度</w:t>
                  </w:r>
                </w:p>
                <w:p>
                  <w:pPr>
                    <w:jc w:val="center"/>
                    <w:rPr>
                      <w:szCs w:val="21"/>
                      <w:lang w:val="zh-CN"/>
                    </w:rPr>
                  </w:pPr>
                  <w:r>
                    <w:rPr>
                      <w:szCs w:val="21"/>
                    </w:rPr>
                    <w:t>（</w:t>
                  </w:r>
                  <w:r>
                    <w:rPr>
                      <w:bCs/>
                      <w:kern w:val="0"/>
                      <w:szCs w:val="21"/>
                    </w:rPr>
                    <w:t>μ</w:t>
                  </w:r>
                  <w:r>
                    <w:rPr>
                      <w:kern w:val="0"/>
                      <w:szCs w:val="21"/>
                      <w:lang w:val="zh-CN"/>
                    </w:rPr>
                    <w:t>m</w:t>
                  </w:r>
                  <w:r>
                    <w:rPr>
                      <w:szCs w:val="21"/>
                    </w:rPr>
                    <w:t>）</w:t>
                  </w:r>
                </w:p>
              </w:tc>
              <w:tc>
                <w:tcPr>
                  <w:tcW w:w="1875" w:type="dxa"/>
                  <w:vAlign w:val="center"/>
                </w:tcPr>
                <w:p>
                  <w:pPr>
                    <w:jc w:val="center"/>
                    <w:rPr>
                      <w:szCs w:val="21"/>
                      <w:lang w:val="zh-CN"/>
                    </w:rPr>
                  </w:pPr>
                  <w:r>
                    <w:rPr>
                      <w:szCs w:val="21"/>
                      <w:lang w:val="zh-CN"/>
                    </w:rPr>
                    <w:t>油漆中（工作液）的固体份（%）</w:t>
                  </w:r>
                </w:p>
              </w:tc>
              <w:tc>
                <w:tcPr>
                  <w:tcW w:w="1011" w:type="dxa"/>
                  <w:vAlign w:val="center"/>
                </w:tcPr>
                <w:p>
                  <w:pPr>
                    <w:jc w:val="center"/>
                    <w:rPr>
                      <w:szCs w:val="21"/>
                      <w:lang w:val="zh-CN"/>
                    </w:rPr>
                  </w:pPr>
                  <w:r>
                    <w:rPr>
                      <w:szCs w:val="21"/>
                      <w:lang w:val="zh-CN"/>
                    </w:rPr>
                    <w:t>上漆率（%）</w:t>
                  </w:r>
                </w:p>
              </w:tc>
              <w:tc>
                <w:tcPr>
                  <w:tcW w:w="1011" w:type="dxa"/>
                </w:tcPr>
                <w:p>
                  <w:pPr>
                    <w:jc w:val="center"/>
                    <w:rPr>
                      <w:szCs w:val="21"/>
                      <w:lang w:val="zh-CN"/>
                    </w:rPr>
                  </w:pPr>
                  <w:r>
                    <w:rPr>
                      <w:szCs w:val="21"/>
                      <w:lang w:val="zh-CN"/>
                    </w:rPr>
                    <w:t>涂装面积（m</w:t>
                  </w:r>
                  <w:r>
                    <w:rPr>
                      <w:szCs w:val="21"/>
                      <w:vertAlign w:val="superscript"/>
                      <w:lang w:val="zh-CN"/>
                    </w:rPr>
                    <w:t>2</w:t>
                  </w:r>
                  <w:r>
                    <w:rPr>
                      <w:szCs w:val="21"/>
                      <w:lang w:val="zh-CN"/>
                    </w:rPr>
                    <w:t>）</w:t>
                  </w:r>
                </w:p>
              </w:tc>
              <w:tc>
                <w:tcPr>
                  <w:tcW w:w="1015" w:type="dxa"/>
                </w:tcPr>
                <w:p>
                  <w:pPr>
                    <w:jc w:val="center"/>
                    <w:rPr>
                      <w:szCs w:val="21"/>
                      <w:lang w:val="zh-CN"/>
                    </w:rPr>
                  </w:pPr>
                  <w:r>
                    <w:rPr>
                      <w:szCs w:val="21"/>
                      <w:lang w:val="zh-CN"/>
                    </w:rPr>
                    <w:t>工作液</w:t>
                  </w:r>
                </w:p>
                <w:p>
                  <w:pPr>
                    <w:jc w:val="center"/>
                    <w:rPr>
                      <w:szCs w:val="21"/>
                      <w:lang w:val="zh-CN"/>
                    </w:rPr>
                  </w:pPr>
                  <w:r>
                    <w:rPr>
                      <w:szCs w:val="21"/>
                      <w:lang w:val="zh-CN"/>
                    </w:rPr>
                    <w:t>用量（t）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674" w:type="dxa"/>
                  <w:vAlign w:val="center"/>
                </w:tcPr>
                <w:p>
                  <w:pPr>
                    <w:jc w:val="center"/>
                    <w:rPr>
                      <w:szCs w:val="21"/>
                      <w:lang w:val="zh-CN"/>
                    </w:rPr>
                  </w:pPr>
                  <w:r>
                    <w:rPr>
                      <w:rFonts w:hint="eastAsia"/>
                      <w:szCs w:val="21"/>
                    </w:rPr>
                    <w:t>面</w:t>
                  </w:r>
                  <w:r>
                    <w:rPr>
                      <w:szCs w:val="21"/>
                      <w:lang w:val="zh-CN"/>
                    </w:rPr>
                    <w:t>漆</w:t>
                  </w:r>
                </w:p>
              </w:tc>
              <w:tc>
                <w:tcPr>
                  <w:tcW w:w="1191" w:type="dxa"/>
                  <w:vAlign w:val="center"/>
                </w:tcPr>
                <w:p>
                  <w:pPr>
                    <w:jc w:val="center"/>
                    <w:rPr>
                      <w:szCs w:val="21"/>
                    </w:rPr>
                  </w:pPr>
                  <w:r>
                    <w:rPr>
                      <w:kern w:val="0"/>
                      <w:szCs w:val="21"/>
                    </w:rPr>
                    <w:t>1.</w:t>
                  </w:r>
                  <w:r>
                    <w:rPr>
                      <w:rFonts w:hint="eastAsia"/>
                      <w:kern w:val="0"/>
                      <w:szCs w:val="21"/>
                    </w:rPr>
                    <w:t>043</w:t>
                  </w:r>
                </w:p>
              </w:tc>
              <w:tc>
                <w:tcPr>
                  <w:tcW w:w="1155" w:type="dxa"/>
                  <w:vAlign w:val="center"/>
                </w:tcPr>
                <w:p>
                  <w:pPr>
                    <w:widowControl/>
                    <w:jc w:val="center"/>
                    <w:textAlignment w:val="center"/>
                    <w:rPr>
                      <w:szCs w:val="21"/>
                      <w:lang w:val="zh-CN"/>
                    </w:rPr>
                  </w:pPr>
                  <w:r>
                    <w:rPr>
                      <w:kern w:val="0"/>
                      <w:szCs w:val="21"/>
                      <w:lang w:bidi="ar"/>
                    </w:rPr>
                    <w:t>50</w:t>
                  </w:r>
                </w:p>
              </w:tc>
              <w:tc>
                <w:tcPr>
                  <w:tcW w:w="1875" w:type="dxa"/>
                  <w:vAlign w:val="center"/>
                </w:tcPr>
                <w:p>
                  <w:pPr>
                    <w:jc w:val="center"/>
                    <w:rPr>
                      <w:rFonts w:hint="default" w:eastAsia="宋体"/>
                      <w:szCs w:val="21"/>
                      <w:lang w:val="en-US" w:eastAsia="zh-CN"/>
                    </w:rPr>
                  </w:pPr>
                  <w:r>
                    <w:rPr>
                      <w:rFonts w:hint="eastAsia"/>
                      <w:szCs w:val="21"/>
                      <w:lang w:val="en-US" w:eastAsia="zh-CN"/>
                    </w:rPr>
                    <w:t>63.1</w:t>
                  </w:r>
                </w:p>
              </w:tc>
              <w:tc>
                <w:tcPr>
                  <w:tcW w:w="1011" w:type="dxa"/>
                  <w:vAlign w:val="center"/>
                </w:tcPr>
                <w:p>
                  <w:pPr>
                    <w:jc w:val="center"/>
                    <w:rPr>
                      <w:szCs w:val="21"/>
                    </w:rPr>
                  </w:pPr>
                  <w:r>
                    <w:rPr>
                      <w:kern w:val="0"/>
                      <w:szCs w:val="21"/>
                    </w:rPr>
                    <w:t>80</w:t>
                  </w:r>
                </w:p>
              </w:tc>
              <w:tc>
                <w:tcPr>
                  <w:tcW w:w="1011" w:type="dxa"/>
                  <w:vAlign w:val="center"/>
                </w:tcPr>
                <w:p>
                  <w:pPr>
                    <w:widowControl/>
                    <w:jc w:val="center"/>
                    <w:textAlignment w:val="center"/>
                    <w:rPr>
                      <w:szCs w:val="21"/>
                    </w:rPr>
                  </w:pPr>
                  <w:r>
                    <w:rPr>
                      <w:rFonts w:hint="eastAsia"/>
                      <w:kern w:val="0"/>
                      <w:szCs w:val="21"/>
                      <w:lang w:bidi="ar"/>
                    </w:rPr>
                    <w:t>15</w:t>
                  </w:r>
                  <w:r>
                    <w:rPr>
                      <w:kern w:val="0"/>
                      <w:szCs w:val="21"/>
                      <w:lang w:bidi="ar"/>
                    </w:rPr>
                    <w:t>00</w:t>
                  </w:r>
                </w:p>
              </w:tc>
              <w:tc>
                <w:tcPr>
                  <w:tcW w:w="1015" w:type="dxa"/>
                  <w:vAlign w:val="center"/>
                </w:tcPr>
                <w:p>
                  <w:pPr>
                    <w:widowControl/>
                    <w:jc w:val="center"/>
                    <w:textAlignment w:val="center"/>
                    <w:rPr>
                      <w:rFonts w:hint="default" w:eastAsia="宋体"/>
                      <w:szCs w:val="21"/>
                      <w:lang w:val="en-US" w:eastAsia="zh-CN"/>
                    </w:rPr>
                  </w:pPr>
                  <w:r>
                    <w:rPr>
                      <w:rFonts w:hint="eastAsia"/>
                      <w:color w:val="000000"/>
                      <w:kern w:val="0"/>
                      <w:sz w:val="22"/>
                      <w:szCs w:val="22"/>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7932" w:type="dxa"/>
                  <w:gridSpan w:val="7"/>
                  <w:vAlign w:val="center"/>
                </w:tcPr>
                <w:p>
                  <w:pPr>
                    <w:pStyle w:val="55"/>
                    <w:jc w:val="left"/>
                  </w:pPr>
                  <w:r>
                    <w:t>注：①</w:t>
                  </w:r>
                  <w:r>
                    <w:rPr>
                      <w:rFonts w:hint="eastAsia"/>
                    </w:rPr>
                    <w:t>油</w:t>
                  </w:r>
                  <w:r>
                    <w:t xml:space="preserve">漆配比 </w:t>
                  </w:r>
                  <w:r>
                    <w:rPr>
                      <w:rFonts w:hint="eastAsia"/>
                    </w:rPr>
                    <w:t>油漆</w:t>
                  </w:r>
                  <w:r>
                    <w:t>:稀释剂:固化剂=</w:t>
                  </w:r>
                  <w:r>
                    <w:rPr>
                      <w:rFonts w:hint="eastAsia"/>
                    </w:rPr>
                    <w:t>1</w:t>
                  </w:r>
                  <w:r>
                    <w:t>:</w:t>
                  </w:r>
                  <w:r>
                    <w:rPr>
                      <w:rFonts w:hint="eastAsia"/>
                    </w:rPr>
                    <w:t>0.</w:t>
                  </w:r>
                  <w:r>
                    <w:rPr>
                      <w:rFonts w:hint="eastAsia"/>
                      <w:lang w:val="en-US" w:eastAsia="zh-CN"/>
                    </w:rPr>
                    <w:t>3</w:t>
                  </w:r>
                  <w:r>
                    <w:t>:</w:t>
                  </w:r>
                  <w:r>
                    <w:rPr>
                      <w:rFonts w:hint="eastAsia"/>
                    </w:rPr>
                    <w:t>0.5</w:t>
                  </w:r>
                </w:p>
              </w:tc>
            </w:tr>
          </w:tbl>
          <w:p>
            <w:pPr>
              <w:pStyle w:val="57"/>
              <w:numPr>
                <w:ilvl w:val="0"/>
                <w:numId w:val="0"/>
              </w:numPr>
              <w:spacing w:line="240" w:lineRule="auto"/>
              <w:rPr>
                <w:rFonts w:ascii="宋体" w:hAnsi="宋体" w:cs="Times New Roman"/>
                <w:color w:val="auto"/>
                <w:sz w:val="24"/>
                <w:szCs w:val="24"/>
              </w:rPr>
            </w:pPr>
            <w:r>
              <w:rPr>
                <w:rFonts w:hint="eastAsia" w:ascii="宋体" w:hAnsi="宋体" w:cs="Times New Roman"/>
                <w:color w:val="auto"/>
                <w:sz w:val="24"/>
                <w:szCs w:val="24"/>
              </w:rPr>
              <w:t>表</w:t>
            </w:r>
            <w:r>
              <w:rPr>
                <w:rFonts w:ascii="Times New Roman" w:hAnsi="Times New Roman" w:cs="Times New Roman"/>
                <w:color w:val="auto"/>
                <w:sz w:val="24"/>
                <w:szCs w:val="24"/>
              </w:rPr>
              <w:t>2</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8</w:t>
            </w:r>
            <w:r>
              <w:rPr>
                <w:rFonts w:ascii="宋体" w:hAnsi="宋体" w:cs="Times New Roman"/>
                <w:color w:val="auto"/>
                <w:sz w:val="24"/>
                <w:szCs w:val="24"/>
              </w:rPr>
              <w:t xml:space="preserve">  油漆混合液主要成分分析</w:t>
            </w:r>
          </w:p>
          <w:tbl>
            <w:tblPr>
              <w:tblStyle w:val="23"/>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324"/>
              <w:gridCol w:w="132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1324" w:type="dxa"/>
                  <w:vMerge w:val="restart"/>
                  <w:vAlign w:val="center"/>
                </w:tcPr>
                <w:p>
                  <w:pPr>
                    <w:pStyle w:val="55"/>
                  </w:pPr>
                  <w:r>
                    <w:t>涂料</w:t>
                  </w:r>
                </w:p>
                <w:p>
                  <w:pPr>
                    <w:pStyle w:val="55"/>
                    <w:rPr>
                      <w:sz w:val="24"/>
                      <w:szCs w:val="24"/>
                    </w:rPr>
                  </w:pPr>
                  <w:r>
                    <w:t>类别</w:t>
                  </w:r>
                </w:p>
              </w:tc>
              <w:tc>
                <w:tcPr>
                  <w:tcW w:w="1324" w:type="dxa"/>
                  <w:vAlign w:val="center"/>
                </w:tcPr>
                <w:p>
                  <w:pPr>
                    <w:pStyle w:val="55"/>
                    <w:rPr>
                      <w:sz w:val="24"/>
                      <w:szCs w:val="24"/>
                    </w:rPr>
                  </w:pPr>
                  <w:r>
                    <w:t>涂料名称</w:t>
                  </w:r>
                </w:p>
              </w:tc>
              <w:tc>
                <w:tcPr>
                  <w:tcW w:w="1324" w:type="dxa"/>
                  <w:vAlign w:val="center"/>
                </w:tcPr>
                <w:p>
                  <w:pPr>
                    <w:pStyle w:val="55"/>
                    <w:rPr>
                      <w:sz w:val="24"/>
                      <w:szCs w:val="24"/>
                    </w:rPr>
                  </w:pPr>
                  <w:r>
                    <w:t>用量t/a</w:t>
                  </w:r>
                </w:p>
              </w:tc>
              <w:tc>
                <w:tcPr>
                  <w:tcW w:w="1324" w:type="dxa"/>
                  <w:vAlign w:val="center"/>
                </w:tcPr>
                <w:p>
                  <w:pPr>
                    <w:pStyle w:val="55"/>
                    <w:rPr>
                      <w:sz w:val="24"/>
                      <w:szCs w:val="24"/>
                    </w:rPr>
                  </w:pPr>
                  <w:r>
                    <w:t>成分组成</w:t>
                  </w:r>
                </w:p>
              </w:tc>
              <w:tc>
                <w:tcPr>
                  <w:tcW w:w="1324" w:type="dxa"/>
                  <w:vMerge w:val="restart"/>
                  <w:vAlign w:val="center"/>
                </w:tcPr>
                <w:p>
                  <w:pPr>
                    <w:pStyle w:val="55"/>
                    <w:rPr>
                      <w:sz w:val="24"/>
                      <w:szCs w:val="24"/>
                    </w:rPr>
                  </w:pPr>
                  <w:r>
                    <w:t>调漆后成分配比</w:t>
                  </w:r>
                </w:p>
              </w:tc>
              <w:tc>
                <w:tcPr>
                  <w:tcW w:w="1325" w:type="dxa"/>
                  <w:vMerge w:val="restart"/>
                  <w:vAlign w:val="center"/>
                </w:tcPr>
                <w:p>
                  <w:pPr>
                    <w:pStyle w:val="55"/>
                    <w:rPr>
                      <w:sz w:val="24"/>
                      <w:szCs w:val="24"/>
                    </w:rPr>
                  </w:pPr>
                  <w:r>
                    <w:t>调漆后VOCs含量g/L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restart"/>
                  <w:vAlign w:val="center"/>
                </w:tcPr>
                <w:p>
                  <w:pPr>
                    <w:pStyle w:val="55"/>
                    <w:rPr>
                      <w:sz w:val="24"/>
                      <w:szCs w:val="24"/>
                    </w:rPr>
                  </w:pPr>
                  <w:r>
                    <w:rPr>
                      <w:rFonts w:hint="eastAsia"/>
                    </w:rPr>
                    <w:t>面</w:t>
                  </w:r>
                  <w:r>
                    <w:t>漆</w:t>
                  </w:r>
                </w:p>
              </w:tc>
              <w:tc>
                <w:tcPr>
                  <w:tcW w:w="1324" w:type="dxa"/>
                  <w:vAlign w:val="center"/>
                </w:tcPr>
                <w:p>
                  <w:pPr>
                    <w:pStyle w:val="55"/>
                    <w:rPr>
                      <w:sz w:val="24"/>
                      <w:szCs w:val="24"/>
                    </w:rPr>
                  </w:pPr>
                  <w:r>
                    <w:rPr>
                      <w:kern w:val="0"/>
                      <w:lang w:bidi="ar"/>
                    </w:rPr>
                    <w:t>油漆</w:t>
                  </w:r>
                </w:p>
              </w:tc>
              <w:tc>
                <w:tcPr>
                  <w:tcW w:w="1324" w:type="dxa"/>
                  <w:vAlign w:val="center"/>
                </w:tcPr>
                <w:p>
                  <w:pPr>
                    <w:pStyle w:val="55"/>
                    <w:rPr>
                      <w:rFonts w:hint="default" w:eastAsia="宋体"/>
                      <w:sz w:val="24"/>
                      <w:szCs w:val="24"/>
                      <w:lang w:val="en-US" w:eastAsia="zh-CN"/>
                    </w:rPr>
                  </w:pPr>
                  <w:r>
                    <w:rPr>
                      <w:rFonts w:hint="eastAsia"/>
                      <w:kern w:val="0"/>
                      <w:lang w:val="en-US" w:eastAsia="zh-CN" w:bidi="ar"/>
                    </w:rPr>
                    <w:t>1.2</w:t>
                  </w:r>
                </w:p>
              </w:tc>
              <w:tc>
                <w:tcPr>
                  <w:tcW w:w="1324" w:type="dxa"/>
                  <w:vAlign w:val="center"/>
                </w:tcPr>
                <w:p>
                  <w:pPr>
                    <w:pStyle w:val="55"/>
                  </w:pPr>
                  <w:r>
                    <w:t>VOCs：</w:t>
                  </w:r>
                  <w:r>
                    <w:rPr>
                      <w:rFonts w:hint="eastAsia"/>
                    </w:rPr>
                    <w:t>18.9</w:t>
                  </w:r>
                  <w:r>
                    <w:t>%</w:t>
                  </w:r>
                </w:p>
                <w:p>
                  <w:pPr>
                    <w:pStyle w:val="55"/>
                    <w:rPr>
                      <w:sz w:val="24"/>
                      <w:szCs w:val="24"/>
                    </w:rPr>
                  </w:pPr>
                  <w:r>
                    <w:t>固体份：</w:t>
                  </w:r>
                  <w:r>
                    <w:rPr>
                      <w:rFonts w:hint="eastAsia"/>
                    </w:rPr>
                    <w:t>8</w:t>
                  </w:r>
                  <w:r>
                    <w:rPr>
                      <w:rFonts w:hint="eastAsia"/>
                      <w:lang w:val="en-US" w:eastAsia="zh-CN"/>
                    </w:rPr>
                    <w:t>1.1</w:t>
                  </w:r>
                  <w:r>
                    <w:t>%</w:t>
                  </w:r>
                </w:p>
              </w:tc>
              <w:tc>
                <w:tcPr>
                  <w:tcW w:w="1324" w:type="dxa"/>
                  <w:vMerge w:val="restart"/>
                  <w:vAlign w:val="center"/>
                </w:tcPr>
                <w:p>
                  <w:pPr>
                    <w:pStyle w:val="55"/>
                  </w:pPr>
                  <w:r>
                    <w:rPr>
                      <w:rFonts w:hint="eastAsia"/>
                    </w:rPr>
                    <w:t>VOCs：</w:t>
                  </w:r>
                  <w:r>
                    <w:rPr>
                      <w:rFonts w:hint="eastAsia"/>
                      <w:lang w:val="en-US" w:eastAsia="zh-CN"/>
                    </w:rPr>
                    <w:t>36.9</w:t>
                  </w:r>
                  <w:r>
                    <w:rPr>
                      <w:rFonts w:hint="eastAsia"/>
                    </w:rPr>
                    <w:t>%</w:t>
                  </w:r>
                </w:p>
                <w:p>
                  <w:pPr>
                    <w:pStyle w:val="55"/>
                  </w:pPr>
                  <w:r>
                    <w:rPr>
                      <w:rFonts w:hint="eastAsia"/>
                    </w:rPr>
                    <w:t>固体份：</w:t>
                  </w:r>
                  <w:r>
                    <w:rPr>
                      <w:rFonts w:hint="eastAsia"/>
                      <w:lang w:val="en-US" w:eastAsia="zh-CN"/>
                    </w:rPr>
                    <w:t>63.1</w:t>
                  </w:r>
                  <w:r>
                    <w:rPr>
                      <w:rFonts w:hint="eastAsia"/>
                    </w:rPr>
                    <w:t>%</w:t>
                  </w:r>
                </w:p>
              </w:tc>
              <w:tc>
                <w:tcPr>
                  <w:tcW w:w="1325" w:type="dxa"/>
                  <w:vMerge w:val="restart"/>
                  <w:vAlign w:val="center"/>
                </w:tcPr>
                <w:p>
                  <w:pPr>
                    <w:pStyle w:val="55"/>
                    <w:rPr>
                      <w:rFonts w:hint="default" w:eastAsia="宋体"/>
                      <w:lang w:val="en-US" w:eastAsia="zh-CN"/>
                    </w:rPr>
                  </w:pPr>
                  <w:r>
                    <w:rPr>
                      <w:rFonts w:hint="eastAsia"/>
                      <w:lang w:val="en-US" w:eastAsia="zh-CN"/>
                    </w:rPr>
                    <w:t>391.14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vAlign w:val="center"/>
                </w:tcPr>
                <w:p>
                  <w:pPr>
                    <w:pStyle w:val="55"/>
                    <w:rPr>
                      <w:sz w:val="24"/>
                      <w:szCs w:val="24"/>
                    </w:rPr>
                  </w:pPr>
                </w:p>
              </w:tc>
              <w:tc>
                <w:tcPr>
                  <w:tcW w:w="1324" w:type="dxa"/>
                  <w:vAlign w:val="center"/>
                </w:tcPr>
                <w:p>
                  <w:pPr>
                    <w:pStyle w:val="55"/>
                    <w:rPr>
                      <w:sz w:val="24"/>
                      <w:szCs w:val="24"/>
                    </w:rPr>
                  </w:pPr>
                  <w:r>
                    <w:t>稀释剂</w:t>
                  </w:r>
                </w:p>
              </w:tc>
              <w:tc>
                <w:tcPr>
                  <w:tcW w:w="1324" w:type="dxa"/>
                  <w:vAlign w:val="center"/>
                </w:tcPr>
                <w:p>
                  <w:pPr>
                    <w:pStyle w:val="55"/>
                    <w:rPr>
                      <w:rFonts w:hint="default" w:eastAsia="宋体"/>
                      <w:sz w:val="24"/>
                      <w:szCs w:val="24"/>
                      <w:lang w:val="en-US" w:eastAsia="zh-CN"/>
                    </w:rPr>
                  </w:pPr>
                  <w:r>
                    <w:rPr>
                      <w:rFonts w:hint="eastAsia"/>
                      <w:lang w:val="en-US" w:eastAsia="zh-CN"/>
                    </w:rPr>
                    <w:t>0.36</w:t>
                  </w:r>
                </w:p>
              </w:tc>
              <w:tc>
                <w:tcPr>
                  <w:tcW w:w="1324" w:type="dxa"/>
                  <w:vAlign w:val="center"/>
                </w:tcPr>
                <w:p>
                  <w:pPr>
                    <w:pStyle w:val="55"/>
                    <w:rPr>
                      <w:sz w:val="24"/>
                      <w:szCs w:val="24"/>
                    </w:rPr>
                  </w:pPr>
                  <w:r>
                    <w:t>VOCs：100%</w:t>
                  </w:r>
                </w:p>
              </w:tc>
              <w:tc>
                <w:tcPr>
                  <w:tcW w:w="1324" w:type="dxa"/>
                  <w:vMerge w:val="continue"/>
                  <w:vAlign w:val="center"/>
                </w:tcPr>
                <w:p>
                  <w:pPr>
                    <w:pStyle w:val="55"/>
                    <w:rPr>
                      <w:sz w:val="24"/>
                      <w:szCs w:val="24"/>
                    </w:rPr>
                  </w:pPr>
                </w:p>
              </w:tc>
              <w:tc>
                <w:tcPr>
                  <w:tcW w:w="1325" w:type="dxa"/>
                  <w:vMerge w:val="continue"/>
                  <w:vAlign w:val="center"/>
                </w:tcPr>
                <w:p>
                  <w:pPr>
                    <w:pStyle w:val="55"/>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vAlign w:val="center"/>
                </w:tcPr>
                <w:p>
                  <w:pPr>
                    <w:pStyle w:val="55"/>
                    <w:rPr>
                      <w:sz w:val="24"/>
                      <w:szCs w:val="24"/>
                    </w:rPr>
                  </w:pPr>
                </w:p>
              </w:tc>
              <w:tc>
                <w:tcPr>
                  <w:tcW w:w="1324" w:type="dxa"/>
                  <w:vAlign w:val="center"/>
                </w:tcPr>
                <w:p>
                  <w:pPr>
                    <w:pStyle w:val="55"/>
                    <w:rPr>
                      <w:sz w:val="24"/>
                      <w:szCs w:val="24"/>
                    </w:rPr>
                  </w:pPr>
                  <w:r>
                    <w:t>固化剂</w:t>
                  </w:r>
                </w:p>
              </w:tc>
              <w:tc>
                <w:tcPr>
                  <w:tcW w:w="1324" w:type="dxa"/>
                  <w:vAlign w:val="center"/>
                </w:tcPr>
                <w:p>
                  <w:pPr>
                    <w:pStyle w:val="55"/>
                    <w:rPr>
                      <w:rFonts w:hint="default" w:eastAsia="宋体"/>
                      <w:sz w:val="24"/>
                      <w:szCs w:val="24"/>
                      <w:lang w:val="en-US" w:eastAsia="zh-CN"/>
                    </w:rPr>
                  </w:pPr>
                  <w:r>
                    <w:rPr>
                      <w:rFonts w:hint="eastAsia"/>
                      <w:lang w:val="en-US" w:eastAsia="zh-CN"/>
                    </w:rPr>
                    <w:t>0.6</w:t>
                  </w:r>
                </w:p>
              </w:tc>
              <w:tc>
                <w:tcPr>
                  <w:tcW w:w="1324" w:type="dxa"/>
                  <w:vAlign w:val="center"/>
                </w:tcPr>
                <w:p>
                  <w:pPr>
                    <w:pStyle w:val="55"/>
                  </w:pPr>
                  <w:r>
                    <w:t>VOCs：</w:t>
                  </w:r>
                  <w:r>
                    <w:rPr>
                      <w:rFonts w:hint="eastAsia"/>
                    </w:rPr>
                    <w:t>35</w:t>
                  </w:r>
                  <w:r>
                    <w:t>%</w:t>
                  </w:r>
                </w:p>
                <w:p>
                  <w:pPr>
                    <w:pStyle w:val="55"/>
                    <w:rPr>
                      <w:sz w:val="24"/>
                      <w:szCs w:val="24"/>
                    </w:rPr>
                  </w:pPr>
                  <w:r>
                    <w:t>固体份：</w:t>
                  </w:r>
                  <w:r>
                    <w:rPr>
                      <w:rFonts w:hint="eastAsia"/>
                    </w:rPr>
                    <w:t>65</w:t>
                  </w:r>
                  <w:r>
                    <w:t>%</w:t>
                  </w:r>
                </w:p>
              </w:tc>
              <w:tc>
                <w:tcPr>
                  <w:tcW w:w="1324" w:type="dxa"/>
                  <w:vMerge w:val="continue"/>
                  <w:vAlign w:val="center"/>
                </w:tcPr>
                <w:p>
                  <w:pPr>
                    <w:pStyle w:val="55"/>
                    <w:rPr>
                      <w:sz w:val="24"/>
                      <w:szCs w:val="24"/>
                    </w:rPr>
                  </w:pPr>
                </w:p>
              </w:tc>
              <w:tc>
                <w:tcPr>
                  <w:tcW w:w="1325" w:type="dxa"/>
                  <w:vMerge w:val="continue"/>
                  <w:vAlign w:val="center"/>
                </w:tcPr>
                <w:p>
                  <w:pPr>
                    <w:pStyle w:val="55"/>
                    <w:rPr>
                      <w:sz w:val="24"/>
                      <w:szCs w:val="24"/>
                    </w:rPr>
                  </w:pPr>
                </w:p>
              </w:tc>
            </w:tr>
          </w:tbl>
          <w:p>
            <w:pPr>
              <w:spacing w:line="360" w:lineRule="auto"/>
              <w:ind w:firstLine="480" w:firstLineChars="200"/>
              <w:rPr>
                <w:b/>
                <w:kern w:val="0"/>
                <w:sz w:val="24"/>
              </w:rPr>
            </w:pPr>
            <w:r>
              <w:rPr>
                <w:sz w:val="24"/>
              </w:rPr>
              <w:t>本项目</w:t>
            </w:r>
            <w:r>
              <w:rPr>
                <w:rFonts w:hint="eastAsia"/>
                <w:sz w:val="24"/>
              </w:rPr>
              <w:t>油漆</w:t>
            </w:r>
            <w:r>
              <w:rPr>
                <w:sz w:val="24"/>
              </w:rPr>
              <w:t>为溶剂型涂料</w:t>
            </w:r>
            <w:r>
              <w:rPr>
                <w:rFonts w:hint="eastAsia"/>
                <w:sz w:val="24"/>
              </w:rPr>
              <w:t>，</w:t>
            </w:r>
            <w:r>
              <w:rPr>
                <w:sz w:val="24"/>
              </w:rPr>
              <w:t>与稀释剂</w:t>
            </w:r>
            <w:r>
              <w:rPr>
                <w:rFonts w:hint="eastAsia"/>
                <w:sz w:val="24"/>
              </w:rPr>
              <w:t>、</w:t>
            </w:r>
            <w:r>
              <w:rPr>
                <w:sz w:val="24"/>
              </w:rPr>
              <w:t>固化剂混合后</w:t>
            </w:r>
            <w:r>
              <w:rPr>
                <w:rFonts w:hint="eastAsia"/>
                <w:sz w:val="24"/>
              </w:rPr>
              <w:t>，</w:t>
            </w:r>
            <w:r>
              <w:rPr>
                <w:sz w:val="24"/>
              </w:rPr>
              <w:t>VOCs含量</w:t>
            </w:r>
            <w:r>
              <w:rPr>
                <w:rFonts w:hint="eastAsia"/>
                <w:sz w:val="24"/>
              </w:rPr>
              <w:t>满足《低挥发性有机化合物含量涂料产品技术要求》（G</w:t>
            </w:r>
            <w:r>
              <w:rPr>
                <w:sz w:val="24"/>
              </w:rPr>
              <w:t>B/T 38597-2020</w:t>
            </w:r>
            <w:r>
              <w:rPr>
                <w:rFonts w:hint="eastAsia"/>
                <w:sz w:val="24"/>
              </w:rPr>
              <w:t>）</w:t>
            </w:r>
            <w:r>
              <w:rPr>
                <w:sz w:val="24"/>
              </w:rPr>
              <w:t>表</w:t>
            </w:r>
            <w:r>
              <w:rPr>
                <w:rFonts w:hint="eastAsia"/>
                <w:sz w:val="24"/>
              </w:rPr>
              <w:t>2中工业防护涂料（</w:t>
            </w:r>
            <w:r>
              <w:rPr>
                <w:rFonts w:ascii="宋体" w:hAnsi="宋体" w:cs="宋体"/>
                <w:sz w:val="24"/>
              </w:rPr>
              <w:t>木器</w:t>
            </w:r>
            <w:r>
              <w:rPr>
                <w:rFonts w:hint="eastAsia"/>
                <w:sz w:val="24"/>
              </w:rPr>
              <w:t>涂料）</w:t>
            </w:r>
            <w:r>
              <w:rPr>
                <w:sz w:val="24"/>
              </w:rPr>
              <w:t>VOCs≤420g/L</w:t>
            </w:r>
            <w:r>
              <w:rPr>
                <w:rFonts w:hint="eastAsia"/>
                <w:sz w:val="24"/>
              </w:rPr>
              <w:t>的要求</w:t>
            </w:r>
            <w:r>
              <w:rPr>
                <w:sz w:val="24"/>
              </w:rPr>
              <w:t>。</w:t>
            </w:r>
            <w:r>
              <w:rPr>
                <w:rFonts w:hint="eastAsia"/>
                <w:sz w:val="24"/>
              </w:rPr>
              <w:t>因此，</w:t>
            </w:r>
            <w:r>
              <w:rPr>
                <w:sz w:val="24"/>
              </w:rPr>
              <w:t>本项目所使用的涂料均为低挥发性有机物涂料</w:t>
            </w:r>
            <w:r>
              <w:rPr>
                <w:rFonts w:hint="eastAsia"/>
                <w:kern w:val="0"/>
                <w:sz w:val="24"/>
                <w:lang w:bidi="en-US"/>
              </w:rPr>
              <w:t>。</w:t>
            </w:r>
          </w:p>
          <w:p>
            <w:pPr>
              <w:pStyle w:val="8"/>
              <w:spacing w:line="360" w:lineRule="auto"/>
              <w:ind w:firstLine="482" w:firstLineChars="200"/>
              <w:rPr>
                <w:b/>
              </w:rPr>
            </w:pPr>
            <w:r>
              <w:rPr>
                <w:b/>
                <w:kern w:val="0"/>
                <w:sz w:val="24"/>
                <w:szCs w:val="24"/>
              </w:rPr>
              <w:t>五</w:t>
            </w:r>
            <w:r>
              <w:rPr>
                <w:rFonts w:hint="eastAsia"/>
                <w:b/>
                <w:kern w:val="0"/>
                <w:sz w:val="24"/>
                <w:szCs w:val="24"/>
              </w:rPr>
              <w:t>、</w:t>
            </w:r>
            <w:r>
              <w:rPr>
                <w:b/>
              </w:rPr>
              <w:t>劳动定员和</w:t>
            </w:r>
            <w:r>
              <w:rPr>
                <w:rFonts w:hint="eastAsia"/>
                <w:b/>
                <w:bCs/>
              </w:rPr>
              <w:t>工作制度</w:t>
            </w:r>
          </w:p>
          <w:p>
            <w:pPr>
              <w:autoSpaceDE w:val="0"/>
              <w:autoSpaceDN w:val="0"/>
              <w:adjustRightInd w:val="0"/>
              <w:spacing w:before="1" w:line="360" w:lineRule="auto"/>
              <w:ind w:right="286" w:firstLine="480" w:firstLineChars="200"/>
              <w:jc w:val="both"/>
              <w:rPr>
                <w:b/>
                <w:kern w:val="0"/>
                <w:sz w:val="24"/>
              </w:rPr>
            </w:pPr>
            <w:r>
              <w:rPr>
                <w:sz w:val="24"/>
              </w:rPr>
              <w:t>项目划劳动定员</w:t>
            </w:r>
            <w:r>
              <w:rPr>
                <w:rFonts w:hint="eastAsia"/>
                <w:sz w:val="24"/>
                <w:lang w:val="en-US" w:eastAsia="zh-CN"/>
              </w:rPr>
              <w:t>2</w:t>
            </w:r>
            <w:r>
              <w:rPr>
                <w:sz w:val="24"/>
              </w:rPr>
              <w:t>5人，</w:t>
            </w:r>
            <w:r>
              <w:rPr>
                <w:bCs/>
                <w:kern w:val="0"/>
                <w:sz w:val="24"/>
              </w:rPr>
              <w:t>年工作日300天，1班制，每班</w:t>
            </w:r>
            <w:r>
              <w:rPr>
                <w:rFonts w:hint="eastAsia"/>
                <w:bCs/>
                <w:kern w:val="0"/>
                <w:sz w:val="24"/>
              </w:rPr>
              <w:t>8</w:t>
            </w:r>
            <w:r>
              <w:rPr>
                <w:bCs/>
                <w:kern w:val="0"/>
                <w:sz w:val="24"/>
              </w:rPr>
              <w:t>小时。</w:t>
            </w:r>
          </w:p>
          <w:p>
            <w:pPr>
              <w:autoSpaceDE w:val="0"/>
              <w:autoSpaceDN w:val="0"/>
              <w:adjustRightInd w:val="0"/>
              <w:spacing w:before="1" w:line="360" w:lineRule="auto"/>
              <w:ind w:right="286" w:firstLine="482" w:firstLineChars="200"/>
              <w:rPr>
                <w:b/>
                <w:kern w:val="0"/>
                <w:sz w:val="24"/>
              </w:rPr>
            </w:pPr>
            <w:r>
              <w:rPr>
                <w:b/>
                <w:kern w:val="0"/>
                <w:sz w:val="24"/>
                <w:szCs w:val="24"/>
              </w:rPr>
              <w:t>六</w:t>
            </w:r>
            <w:r>
              <w:rPr>
                <w:rFonts w:hint="eastAsia"/>
                <w:b/>
                <w:kern w:val="0"/>
                <w:sz w:val="24"/>
                <w:szCs w:val="24"/>
              </w:rPr>
              <w:t>、</w:t>
            </w:r>
            <w:r>
              <w:rPr>
                <w:b/>
                <w:kern w:val="0"/>
                <w:sz w:val="24"/>
                <w:szCs w:val="24"/>
              </w:rPr>
              <w:t>项目用</w:t>
            </w:r>
            <w:r>
              <w:rPr>
                <w:b/>
                <w:kern w:val="0"/>
                <w:sz w:val="24"/>
              </w:rPr>
              <w:t>水情况</w:t>
            </w:r>
          </w:p>
          <w:p>
            <w:pPr>
              <w:spacing w:line="360" w:lineRule="auto"/>
              <w:ind w:firstLine="480" w:firstLineChars="200"/>
              <w:rPr>
                <w:bCs/>
                <w:sz w:val="24"/>
              </w:rPr>
            </w:pPr>
            <w:r>
              <w:rPr>
                <w:rFonts w:hint="eastAsia"/>
                <w:sz w:val="24"/>
                <w:szCs w:val="24"/>
              </w:rPr>
              <w:t>1、</w:t>
            </w:r>
            <w:r>
              <w:rPr>
                <w:bCs/>
                <w:sz w:val="24"/>
                <w:szCs w:val="24"/>
              </w:rPr>
              <w:t>该</w:t>
            </w:r>
            <w:r>
              <w:rPr>
                <w:bCs/>
                <w:sz w:val="24"/>
              </w:rPr>
              <w:t>项目营运期用水主要为员工生活用水。</w:t>
            </w:r>
          </w:p>
          <w:p>
            <w:pPr>
              <w:spacing w:line="360" w:lineRule="auto"/>
              <w:ind w:firstLine="480" w:firstLineChars="200"/>
              <w:rPr>
                <w:sz w:val="24"/>
              </w:rPr>
            </w:pPr>
            <w:r>
              <w:rPr>
                <w:bCs/>
                <w:sz w:val="24"/>
              </w:rPr>
              <w:t>生活用水：</w:t>
            </w:r>
            <w:r>
              <w:rPr>
                <w:sz w:val="24"/>
              </w:rPr>
              <w:t>项目劳动定员人数</w:t>
            </w:r>
            <w:r>
              <w:rPr>
                <w:rFonts w:hint="eastAsia"/>
                <w:sz w:val="24"/>
                <w:lang w:val="en-US" w:eastAsia="zh-CN"/>
              </w:rPr>
              <w:t>2</w:t>
            </w:r>
            <w:r>
              <w:rPr>
                <w:rFonts w:hint="eastAsia"/>
                <w:sz w:val="24"/>
              </w:rPr>
              <w:t>5</w:t>
            </w:r>
            <w:r>
              <w:rPr>
                <w:sz w:val="24"/>
              </w:rPr>
              <w:t>人，均不在厂区食宿，用水标准参考《安徽省行业用水定额》（DB34/T679-2019），人均用水量按</w:t>
            </w:r>
            <w:r>
              <w:rPr>
                <w:rFonts w:hint="eastAsia"/>
                <w:sz w:val="24"/>
              </w:rPr>
              <w:t>60</w:t>
            </w:r>
            <w:r>
              <w:rPr>
                <w:sz w:val="24"/>
              </w:rPr>
              <w:t>L/d计，则年用水量</w:t>
            </w:r>
            <w:r>
              <w:rPr>
                <w:rFonts w:hint="eastAsia"/>
                <w:sz w:val="24"/>
                <w:lang w:val="en-US" w:eastAsia="zh-CN"/>
              </w:rPr>
              <w:t>45</w:t>
            </w:r>
            <w:r>
              <w:rPr>
                <w:rFonts w:hint="eastAsia"/>
                <w:sz w:val="24"/>
              </w:rPr>
              <w:t>0</w:t>
            </w:r>
            <w:r>
              <w:rPr>
                <w:sz w:val="24"/>
              </w:rPr>
              <w:t>t/a，废水产生系数取0.8，则废水产生量为</w:t>
            </w:r>
            <w:r>
              <w:rPr>
                <w:rFonts w:hint="eastAsia"/>
                <w:sz w:val="24"/>
                <w:lang w:val="en-US" w:eastAsia="zh-CN"/>
              </w:rPr>
              <w:t>360</w:t>
            </w:r>
            <w:r>
              <w:rPr>
                <w:sz w:val="24"/>
              </w:rPr>
              <w:t>t/a。</w:t>
            </w:r>
          </w:p>
          <w:p>
            <w:pPr>
              <w:numPr>
                <w:ilvl w:val="0"/>
                <w:numId w:val="3"/>
              </w:numPr>
              <w:spacing w:line="360" w:lineRule="auto"/>
              <w:ind w:left="420" w:leftChars="200"/>
              <w:outlineLvl w:val="0"/>
              <w:rPr>
                <w:sz w:val="24"/>
                <w:szCs w:val="24"/>
              </w:rPr>
            </w:pPr>
            <w:r>
              <w:rPr>
                <w:bCs/>
                <w:color w:val="000000"/>
                <w:sz w:val="24"/>
                <w:szCs w:val="24"/>
              </w:rPr>
              <w:t>项目</w:t>
            </w:r>
            <w:r>
              <w:rPr>
                <w:sz w:val="24"/>
                <w:szCs w:val="24"/>
              </w:rPr>
              <w:t>用水一览表</w:t>
            </w:r>
          </w:p>
          <w:p>
            <w:pPr>
              <w:spacing w:line="360" w:lineRule="auto"/>
              <w:ind w:firstLine="482" w:firstLineChars="200"/>
              <w:jc w:val="center"/>
              <w:rPr>
                <w:b/>
                <w:color w:val="000000"/>
                <w:sz w:val="24"/>
                <w:szCs w:val="24"/>
              </w:rPr>
            </w:pPr>
            <w:r>
              <w:rPr>
                <w:b/>
                <w:color w:val="000000"/>
                <w:sz w:val="24"/>
                <w:szCs w:val="24"/>
              </w:rPr>
              <w:t>表</w:t>
            </w:r>
            <w:r>
              <w:rPr>
                <w:rFonts w:hint="eastAsia"/>
                <w:b/>
                <w:color w:val="000000"/>
                <w:sz w:val="24"/>
                <w:szCs w:val="24"/>
              </w:rPr>
              <w:t>2</w:t>
            </w:r>
            <w:r>
              <w:rPr>
                <w:b/>
                <w:color w:val="000000"/>
                <w:sz w:val="24"/>
                <w:szCs w:val="24"/>
              </w:rPr>
              <w:t>-</w:t>
            </w:r>
            <w:r>
              <w:rPr>
                <w:rFonts w:hint="eastAsia"/>
                <w:b/>
                <w:color w:val="000000"/>
                <w:sz w:val="24"/>
                <w:szCs w:val="24"/>
                <w:lang w:val="en-US" w:eastAsia="zh-CN"/>
              </w:rPr>
              <w:t>9</w:t>
            </w:r>
            <w:r>
              <w:rPr>
                <w:b/>
                <w:color w:val="000000"/>
                <w:sz w:val="24"/>
                <w:szCs w:val="24"/>
              </w:rPr>
              <w:t xml:space="preserve">  项目用水一览表  单位：t/a</w:t>
            </w:r>
          </w:p>
          <w:tbl>
            <w:tblPr>
              <w:tblStyle w:val="22"/>
              <w:tblW w:w="5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1303"/>
              <w:gridCol w:w="102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2591" w:type="dxa"/>
                  <w:vAlign w:val="center"/>
                </w:tcPr>
                <w:p>
                  <w:pPr>
                    <w:spacing w:line="240" w:lineRule="atLeast"/>
                    <w:jc w:val="center"/>
                    <w:rPr>
                      <w:b/>
                      <w:sz w:val="21"/>
                      <w:szCs w:val="18"/>
                    </w:rPr>
                  </w:pPr>
                  <w:r>
                    <w:rPr>
                      <w:b/>
                      <w:sz w:val="21"/>
                      <w:szCs w:val="18"/>
                    </w:rPr>
                    <w:t>用排水环节</w:t>
                  </w:r>
                </w:p>
              </w:tc>
              <w:tc>
                <w:tcPr>
                  <w:tcW w:w="1303" w:type="dxa"/>
                  <w:vAlign w:val="center"/>
                </w:tcPr>
                <w:p>
                  <w:pPr>
                    <w:spacing w:line="240" w:lineRule="atLeast"/>
                    <w:jc w:val="center"/>
                    <w:rPr>
                      <w:b/>
                      <w:sz w:val="21"/>
                      <w:szCs w:val="18"/>
                    </w:rPr>
                  </w:pPr>
                  <w:r>
                    <w:rPr>
                      <w:b/>
                      <w:sz w:val="21"/>
                      <w:szCs w:val="18"/>
                    </w:rPr>
                    <w:t>用水指标</w:t>
                  </w:r>
                </w:p>
              </w:tc>
              <w:tc>
                <w:tcPr>
                  <w:tcW w:w="1022" w:type="dxa"/>
                  <w:vAlign w:val="center"/>
                </w:tcPr>
                <w:p>
                  <w:pPr>
                    <w:spacing w:line="240" w:lineRule="atLeast"/>
                    <w:jc w:val="center"/>
                    <w:rPr>
                      <w:b/>
                      <w:sz w:val="21"/>
                      <w:szCs w:val="18"/>
                    </w:rPr>
                  </w:pPr>
                  <w:r>
                    <w:rPr>
                      <w:b/>
                      <w:sz w:val="21"/>
                      <w:szCs w:val="18"/>
                    </w:rPr>
                    <w:t>数量</w:t>
                  </w:r>
                </w:p>
              </w:tc>
              <w:tc>
                <w:tcPr>
                  <w:tcW w:w="1023" w:type="dxa"/>
                  <w:vAlign w:val="center"/>
                </w:tcPr>
                <w:p>
                  <w:pPr>
                    <w:spacing w:line="240" w:lineRule="atLeast"/>
                    <w:jc w:val="center"/>
                    <w:rPr>
                      <w:b/>
                      <w:sz w:val="21"/>
                      <w:szCs w:val="18"/>
                    </w:rPr>
                  </w:pPr>
                  <w:r>
                    <w:rPr>
                      <w:b/>
                      <w:sz w:val="21"/>
                      <w:szCs w:val="18"/>
                    </w:rPr>
                    <w:t>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blHeader/>
                <w:jc w:val="center"/>
              </w:trPr>
              <w:tc>
                <w:tcPr>
                  <w:tcW w:w="2591" w:type="dxa"/>
                  <w:vAlign w:val="center"/>
                </w:tcPr>
                <w:p>
                  <w:pPr>
                    <w:spacing w:line="240" w:lineRule="atLeast"/>
                    <w:jc w:val="center"/>
                    <w:rPr>
                      <w:bCs/>
                      <w:sz w:val="21"/>
                      <w:szCs w:val="21"/>
                    </w:rPr>
                  </w:pPr>
                  <w:r>
                    <w:rPr>
                      <w:bCs/>
                      <w:sz w:val="21"/>
                      <w:szCs w:val="21"/>
                    </w:rPr>
                    <w:t>生活用水</w:t>
                  </w:r>
                </w:p>
              </w:tc>
              <w:tc>
                <w:tcPr>
                  <w:tcW w:w="1303" w:type="dxa"/>
                  <w:vAlign w:val="center"/>
                </w:tcPr>
                <w:p>
                  <w:pPr>
                    <w:spacing w:line="240" w:lineRule="atLeast"/>
                    <w:jc w:val="center"/>
                    <w:rPr>
                      <w:bCs/>
                      <w:sz w:val="21"/>
                      <w:szCs w:val="21"/>
                    </w:rPr>
                  </w:pPr>
                  <w:r>
                    <w:rPr>
                      <w:bCs/>
                      <w:sz w:val="21"/>
                      <w:szCs w:val="21"/>
                    </w:rPr>
                    <w:t>60L/人</w:t>
                  </w:r>
                </w:p>
              </w:tc>
              <w:tc>
                <w:tcPr>
                  <w:tcW w:w="1022" w:type="dxa"/>
                  <w:vAlign w:val="center"/>
                </w:tcPr>
                <w:p>
                  <w:pPr>
                    <w:spacing w:line="240" w:lineRule="atLeast"/>
                    <w:jc w:val="center"/>
                    <w:rPr>
                      <w:rFonts w:ascii="Times New Roman" w:hAnsi="Times New Roman" w:eastAsia="宋体" w:cs="Times New Roman"/>
                      <w:bCs/>
                      <w:sz w:val="21"/>
                      <w:szCs w:val="21"/>
                    </w:rPr>
                  </w:pPr>
                  <w:r>
                    <w:rPr>
                      <w:rFonts w:hint="eastAsia" w:cs="Times New Roman"/>
                      <w:bCs/>
                      <w:sz w:val="21"/>
                      <w:szCs w:val="21"/>
                      <w:lang w:val="en-US" w:eastAsia="zh-CN"/>
                    </w:rPr>
                    <w:t>2</w:t>
                  </w:r>
                  <w:r>
                    <w:rPr>
                      <w:rFonts w:hint="eastAsia" w:ascii="Times New Roman" w:hAnsi="Times New Roman" w:eastAsia="宋体" w:cs="Times New Roman"/>
                      <w:bCs/>
                      <w:sz w:val="21"/>
                      <w:szCs w:val="21"/>
                    </w:rPr>
                    <w:t>5</w:t>
                  </w:r>
                  <w:r>
                    <w:rPr>
                      <w:rFonts w:ascii="Times New Roman" w:hAnsi="Times New Roman" w:eastAsia="宋体" w:cs="Times New Roman"/>
                      <w:bCs/>
                      <w:sz w:val="21"/>
                      <w:szCs w:val="21"/>
                    </w:rPr>
                    <w:t>人</w:t>
                  </w:r>
                </w:p>
              </w:tc>
              <w:tc>
                <w:tcPr>
                  <w:tcW w:w="1023" w:type="dxa"/>
                  <w:vAlign w:val="center"/>
                </w:tcPr>
                <w:p>
                  <w:pPr>
                    <w:spacing w:line="240" w:lineRule="atLeast"/>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4916" w:type="dxa"/>
                  <w:gridSpan w:val="3"/>
                  <w:vAlign w:val="center"/>
                </w:tcPr>
                <w:p>
                  <w:pPr>
                    <w:spacing w:line="240" w:lineRule="atLeast"/>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合计</w:t>
                  </w:r>
                </w:p>
              </w:tc>
              <w:tc>
                <w:tcPr>
                  <w:tcW w:w="1023" w:type="dxa"/>
                  <w:vAlign w:val="center"/>
                </w:tcPr>
                <w:p>
                  <w:pPr>
                    <w:spacing w:line="240" w:lineRule="atLeast"/>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360</w:t>
                  </w:r>
                </w:p>
              </w:tc>
            </w:tr>
          </w:tbl>
          <w:p>
            <w:pPr>
              <w:spacing w:line="360" w:lineRule="auto"/>
              <w:ind w:firstLine="480" w:firstLineChars="200"/>
              <w:rPr>
                <w:rFonts w:hint="eastAsia" w:eastAsia="宋体"/>
                <w:bCs/>
                <w:sz w:val="24"/>
                <w:szCs w:val="24"/>
                <w:lang w:val="en-US" w:eastAsia="zh-CN"/>
              </w:rPr>
            </w:pPr>
            <w:r>
              <w:rPr>
                <w:rFonts w:hint="eastAsia"/>
                <w:sz w:val="24"/>
                <w:szCs w:val="24"/>
              </w:rPr>
              <w:t>3、</w:t>
            </w:r>
            <w:r>
              <w:rPr>
                <w:sz w:val="24"/>
                <w:szCs w:val="24"/>
              </w:rPr>
              <w:t>项目水平衡图</w:t>
            </w:r>
          </w:p>
          <w:p>
            <w:pPr>
              <w:spacing w:line="360" w:lineRule="auto"/>
              <w:rPr>
                <w:b/>
                <w:kern w:val="0"/>
                <w:sz w:val="24"/>
              </w:rPr>
            </w:pPr>
            <w:r>
              <w:rPr>
                <w:b/>
                <w:kern w:val="0"/>
                <w:sz w:val="24"/>
              </w:rPr>
              <w:drawing>
                <wp:inline distT="0" distB="0" distL="114300" distR="114300">
                  <wp:extent cx="5041265" cy="1308735"/>
                  <wp:effectExtent l="0" t="0" r="0" b="0"/>
                  <wp:docPr id="22" name="ECB019B1-382A-4266-B25C-5B523AA43C14-1" descr="C:/Users/86136/AppData/Local/Temp/wps.YBATuT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C:/Users/86136/AppData/Local/Temp/wps.YBATuTwps"/>
                          <pic:cNvPicPr>
                            <a:picLocks noChangeAspect="1"/>
                          </pic:cNvPicPr>
                        </pic:nvPicPr>
                        <pic:blipFill>
                          <a:blip r:embed="rId10"/>
                          <a:stretch>
                            <a:fillRect/>
                          </a:stretch>
                        </pic:blipFill>
                        <pic:spPr>
                          <a:xfrm>
                            <a:off x="0" y="0"/>
                            <a:ext cx="5041265" cy="1308735"/>
                          </a:xfrm>
                          <a:prstGeom prst="rect">
                            <a:avLst/>
                          </a:prstGeom>
                        </pic:spPr>
                      </pic:pic>
                    </a:graphicData>
                  </a:graphic>
                </wp:inline>
              </w:drawing>
            </w:r>
          </w:p>
          <w:p>
            <w:pPr>
              <w:autoSpaceDE w:val="0"/>
              <w:autoSpaceDN w:val="0"/>
              <w:adjustRightInd w:val="0"/>
              <w:spacing w:before="1" w:line="360" w:lineRule="auto"/>
              <w:ind w:right="286"/>
              <w:jc w:val="center"/>
              <w:rPr>
                <w:sz w:val="24"/>
              </w:rPr>
            </w:pPr>
            <w:r>
              <w:rPr>
                <w:b/>
                <w:sz w:val="24"/>
              </w:rPr>
              <w:t>图2-</w:t>
            </w:r>
            <w:r>
              <w:rPr>
                <w:rFonts w:hint="eastAsia"/>
                <w:b/>
                <w:sz w:val="24"/>
                <w:lang w:val="en-US" w:eastAsia="zh-CN"/>
              </w:rPr>
              <w:t>2</w:t>
            </w:r>
            <w:r>
              <w:rPr>
                <w:b/>
                <w:sz w:val="24"/>
              </w:rPr>
              <w:t xml:space="preserve">  项目水平衡图  单位：t/</w:t>
            </w:r>
            <w:r>
              <w:rPr>
                <w:rFonts w:hint="eastAsia"/>
                <w:b/>
                <w:sz w:val="24"/>
              </w:rPr>
              <w:t>a</w:t>
            </w:r>
          </w:p>
          <w:p>
            <w:pPr>
              <w:spacing w:line="360" w:lineRule="auto"/>
              <w:ind w:firstLine="482" w:firstLineChars="200"/>
              <w:jc w:val="left"/>
              <w:rPr>
                <w:b/>
                <w:sz w:val="24"/>
              </w:rPr>
            </w:pPr>
            <w:r>
              <w:rPr>
                <w:b/>
                <w:bCs/>
                <w:sz w:val="24"/>
                <w:szCs w:val="24"/>
              </w:rPr>
              <w:t>七</w:t>
            </w:r>
            <w:r>
              <w:rPr>
                <w:rFonts w:hint="eastAsia"/>
                <w:b/>
                <w:bCs/>
                <w:sz w:val="24"/>
                <w:szCs w:val="24"/>
              </w:rPr>
              <w:t>、</w:t>
            </w:r>
            <w:r>
              <w:rPr>
                <w:b/>
                <w:color w:val="000000"/>
                <w:kern w:val="0"/>
                <w:sz w:val="24"/>
                <w:szCs w:val="24"/>
              </w:rPr>
              <w:t>总</w:t>
            </w:r>
            <w:r>
              <w:rPr>
                <w:b/>
                <w:color w:val="000000"/>
                <w:kern w:val="0"/>
                <w:sz w:val="24"/>
              </w:rPr>
              <w:t>平面布</w:t>
            </w:r>
            <w:r>
              <w:rPr>
                <w:b/>
                <w:kern w:val="0"/>
                <w:sz w:val="24"/>
              </w:rPr>
              <w:t>置合理性分析</w:t>
            </w:r>
          </w:p>
          <w:p>
            <w:pPr>
              <w:spacing w:line="360" w:lineRule="auto"/>
              <w:ind w:firstLine="480" w:firstLineChars="200"/>
              <w:rPr>
                <w:sz w:val="24"/>
              </w:rPr>
            </w:pPr>
            <w:r>
              <w:rPr>
                <w:sz w:val="24"/>
              </w:rPr>
              <w:t>项目位于宿州市泗县刘圩镇工业园区金光大道</w:t>
            </w:r>
            <w:r>
              <w:rPr>
                <w:rFonts w:ascii="宋体" w:hAnsi="宋体" w:eastAsia="宋体" w:cs="宋体"/>
                <w:sz w:val="24"/>
                <w:szCs w:val="24"/>
              </w:rPr>
              <w:t>西</w:t>
            </w:r>
            <w:r>
              <w:rPr>
                <w:rFonts w:hint="default" w:ascii="Times New Roman" w:hAnsi="Times New Roman" w:eastAsia="宋体" w:cs="Times New Roman"/>
                <w:sz w:val="24"/>
                <w:szCs w:val="24"/>
              </w:rPr>
              <w:t>侧变电所南50米</w:t>
            </w:r>
            <w:r>
              <w:rPr>
                <w:rFonts w:hint="eastAsia" w:cs="Times New Roman"/>
                <w:sz w:val="24"/>
                <w:szCs w:val="24"/>
                <w:lang w:val="en-US" w:eastAsia="zh-CN"/>
              </w:rPr>
              <w:t>处</w:t>
            </w:r>
            <w:r>
              <w:rPr>
                <w:sz w:val="24"/>
              </w:rPr>
              <w:t>，总建筑面积</w:t>
            </w:r>
            <w:r>
              <w:rPr>
                <w:rFonts w:hint="eastAsia"/>
                <w:sz w:val="24"/>
                <w:lang w:val="en-US" w:eastAsia="zh-CN"/>
              </w:rPr>
              <w:t>260</w:t>
            </w:r>
            <w:r>
              <w:rPr>
                <w:sz w:val="24"/>
              </w:rPr>
              <w:t>0m</w:t>
            </w:r>
            <w:r>
              <w:rPr>
                <w:sz w:val="24"/>
                <w:vertAlign w:val="superscript"/>
              </w:rPr>
              <w:t>2</w:t>
            </w:r>
            <w:r>
              <w:rPr>
                <w:sz w:val="24"/>
              </w:rPr>
              <w:t>，厂区正中央设置下料区，安装</w:t>
            </w:r>
            <w:r>
              <w:rPr>
                <w:rFonts w:hint="eastAsia" w:ascii="Times New Roman" w:hAnsi="Times New Roman" w:eastAsia="宋体" w:cs="Times New Roman"/>
                <w:sz w:val="24"/>
                <w:szCs w:val="24"/>
                <w:lang w:val="en-US" w:eastAsia="zh-CN"/>
              </w:rPr>
              <w:t>大型台锯</w:t>
            </w:r>
            <w:r>
              <w:rPr>
                <w:rFonts w:hint="default" w:ascii="Times New Roman" w:hAnsi="Times New Roman" w:eastAsia="宋体" w:cs="Times New Roman"/>
                <w:sz w:val="24"/>
                <w:szCs w:val="24"/>
              </w:rPr>
              <w:t>，</w:t>
            </w:r>
            <w:r>
              <w:rPr>
                <w:sz w:val="24"/>
              </w:rPr>
              <w:t>用于板材的切割，厂区</w:t>
            </w:r>
            <w:r>
              <w:rPr>
                <w:rFonts w:hint="eastAsia"/>
                <w:sz w:val="24"/>
                <w:lang w:val="en-US" w:eastAsia="zh-CN"/>
              </w:rPr>
              <w:t>南</w:t>
            </w:r>
            <w:r>
              <w:rPr>
                <w:sz w:val="24"/>
              </w:rPr>
              <w:t>侧设置雕刻区</w:t>
            </w:r>
            <w:r>
              <w:rPr>
                <w:rFonts w:hint="eastAsia"/>
                <w:sz w:val="24"/>
                <w:lang w:eastAsia="zh-CN"/>
              </w:rPr>
              <w:t>、</w:t>
            </w:r>
            <w:r>
              <w:rPr>
                <w:sz w:val="24"/>
              </w:rPr>
              <w:t>封边区</w:t>
            </w:r>
            <w:r>
              <w:rPr>
                <w:rFonts w:hint="eastAsia"/>
                <w:sz w:val="24"/>
                <w:lang w:eastAsia="zh-CN"/>
              </w:rPr>
              <w:t>、</w:t>
            </w:r>
            <w:r>
              <w:rPr>
                <w:rFonts w:hint="eastAsia"/>
                <w:sz w:val="24"/>
                <w:lang w:val="en-US" w:eastAsia="zh-CN"/>
              </w:rPr>
              <w:t>修</w:t>
            </w:r>
            <w:r>
              <w:rPr>
                <w:sz w:val="24"/>
              </w:rPr>
              <w:t>边区，安装轴雕刻机</w:t>
            </w:r>
            <w:r>
              <w:rPr>
                <w:rFonts w:hint="eastAsia"/>
                <w:sz w:val="24"/>
                <w:lang w:eastAsia="zh-CN"/>
              </w:rPr>
              <w:t>、</w:t>
            </w:r>
            <w:r>
              <w:rPr>
                <w:sz w:val="24"/>
              </w:rPr>
              <w:t>封边机</w:t>
            </w:r>
            <w:r>
              <w:rPr>
                <w:rFonts w:hint="eastAsia"/>
                <w:sz w:val="24"/>
                <w:lang w:eastAsia="zh-CN"/>
              </w:rPr>
              <w:t>、</w:t>
            </w:r>
            <w:r>
              <w:rPr>
                <w:rFonts w:hint="eastAsia"/>
                <w:sz w:val="24"/>
                <w:lang w:val="en-US" w:eastAsia="zh-CN"/>
              </w:rPr>
              <w:t>修</w:t>
            </w:r>
            <w:r>
              <w:rPr>
                <w:sz w:val="24"/>
              </w:rPr>
              <w:t>边机，用于板材雕刻</w:t>
            </w:r>
            <w:r>
              <w:rPr>
                <w:rFonts w:hint="eastAsia"/>
                <w:sz w:val="24"/>
                <w:lang w:eastAsia="zh-CN"/>
              </w:rPr>
              <w:t>、</w:t>
            </w:r>
            <w:r>
              <w:rPr>
                <w:sz w:val="24"/>
              </w:rPr>
              <w:t>封边</w:t>
            </w:r>
            <w:r>
              <w:rPr>
                <w:rFonts w:hint="eastAsia"/>
                <w:sz w:val="24"/>
                <w:lang w:eastAsia="zh-CN"/>
              </w:rPr>
              <w:t>、</w:t>
            </w:r>
            <w:r>
              <w:rPr>
                <w:rFonts w:hint="eastAsia"/>
                <w:sz w:val="24"/>
                <w:lang w:val="en-US" w:eastAsia="zh-CN"/>
              </w:rPr>
              <w:t>修</w:t>
            </w:r>
            <w:r>
              <w:rPr>
                <w:sz w:val="24"/>
              </w:rPr>
              <w:t>边，厂区北侧设置组装区，用于艺术切片家居座椅组装，厂区西侧设置喷漆房，用于产品喷漆</w:t>
            </w:r>
            <w:r>
              <w:rPr>
                <w:bCs/>
                <w:kern w:val="0"/>
                <w:sz w:val="24"/>
              </w:rPr>
              <w:t>。</w:t>
            </w:r>
            <w:r>
              <w:rPr>
                <w:sz w:val="24"/>
              </w:rPr>
              <w:t>项目平面布置满足生产人流、物流分离、互不交叉干扰的原则（具体见附图</w:t>
            </w:r>
            <w:r>
              <w:rPr>
                <w:rFonts w:hint="eastAsia"/>
                <w:sz w:val="24"/>
              </w:rPr>
              <w:t>3 项目平面位置图</w:t>
            </w:r>
            <w:r>
              <w:rPr>
                <w:sz w:val="24"/>
              </w:rPr>
              <w:t>）</w:t>
            </w:r>
          </w:p>
          <w:p>
            <w:pPr>
              <w:spacing w:line="360" w:lineRule="auto"/>
              <w:ind w:firstLine="480" w:firstLineChars="200"/>
              <w:rPr>
                <w:bCs/>
                <w:szCs w:val="21"/>
              </w:rPr>
            </w:pPr>
            <w:r>
              <w:rPr>
                <w:sz w:val="24"/>
              </w:rPr>
              <w:t>综上所述，本项目厂区平面布局较合理</w:t>
            </w:r>
            <w:r>
              <w:rPr>
                <w:rFonts w:hint="eastAsia"/>
                <w:sz w:val="24"/>
              </w:rPr>
              <w:t>。</w:t>
            </w:r>
          </w:p>
          <w:p>
            <w:pPr>
              <w:spacing w:line="360" w:lineRule="auto"/>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823" w:type="dxa"/>
            <w:vAlign w:val="center"/>
          </w:tcPr>
          <w:p>
            <w:pPr>
              <w:pStyle w:val="18"/>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工艺流程和产排污环节</w:t>
            </w:r>
          </w:p>
        </w:tc>
        <w:tc>
          <w:tcPr>
            <w:tcW w:w="8161" w:type="dxa"/>
          </w:tcPr>
          <w:p>
            <w:pPr>
              <w:spacing w:line="360" w:lineRule="auto"/>
              <w:ind w:firstLine="482" w:firstLineChars="200"/>
              <w:outlineLvl w:val="0"/>
              <w:rPr>
                <w:b/>
                <w:bCs/>
                <w:sz w:val="24"/>
              </w:rPr>
            </w:pPr>
            <w:r>
              <w:rPr>
                <w:b/>
                <w:bCs/>
                <w:sz w:val="24"/>
              </w:rPr>
              <w:t>本项目</w:t>
            </w:r>
            <w:r>
              <w:rPr>
                <w:rFonts w:ascii="宋体" w:hAnsi="宋体" w:cs="宋体"/>
                <w:b/>
                <w:bCs/>
                <w:sz w:val="24"/>
              </w:rPr>
              <w:t>的产品主要</w:t>
            </w:r>
            <w:r>
              <w:rPr>
                <w:b/>
                <w:bCs/>
                <w:sz w:val="24"/>
              </w:rPr>
              <w:t>为</w:t>
            </w:r>
            <w:r>
              <w:rPr>
                <w:rFonts w:ascii="宋体" w:hAnsi="宋体" w:cs="宋体"/>
                <w:b/>
                <w:bCs/>
                <w:sz w:val="24"/>
              </w:rPr>
              <w:t>艺术切片家居座椅</w:t>
            </w:r>
            <w:r>
              <w:rPr>
                <w:b/>
                <w:bCs/>
                <w:sz w:val="24"/>
              </w:rPr>
              <w:t>。</w:t>
            </w:r>
          </w:p>
          <w:p>
            <w:pPr>
              <w:spacing w:line="360" w:lineRule="auto"/>
              <w:ind w:firstLine="482" w:firstLineChars="200"/>
              <w:outlineLvl w:val="0"/>
              <w:rPr>
                <w:b/>
                <w:bCs/>
                <w:sz w:val="24"/>
              </w:rPr>
            </w:pPr>
            <w:r>
              <w:rPr>
                <w:rFonts w:ascii="宋体" w:hAnsi="宋体" w:cs="宋体"/>
                <w:b/>
                <w:bCs/>
                <w:sz w:val="24"/>
              </w:rPr>
              <w:t>艺术切片家居座椅</w:t>
            </w:r>
            <w:r>
              <w:rPr>
                <w:b/>
                <w:bCs/>
                <w:sz w:val="24"/>
              </w:rPr>
              <w:t>工艺流程及产污节点图如下：</w:t>
            </w:r>
          </w:p>
          <w:p>
            <w:pPr>
              <w:adjustRightInd w:val="0"/>
              <w:snapToGrid w:val="0"/>
              <w:spacing w:line="360" w:lineRule="auto"/>
              <w:rPr>
                <w:bCs/>
                <w:szCs w:val="21"/>
              </w:rPr>
            </w:pPr>
            <w:r>
              <w:rPr>
                <w:rFonts w:hint="eastAsia"/>
                <w:bCs/>
                <w:szCs w:val="21"/>
              </w:rPr>
              <w:t xml:space="preserve">           </w:t>
            </w:r>
            <w:r>
              <w:rPr>
                <w:bCs/>
                <w:szCs w:val="21"/>
              </w:rPr>
              <w:drawing>
                <wp:inline distT="0" distB="0" distL="114300" distR="114300">
                  <wp:extent cx="3680460" cy="5499100"/>
                  <wp:effectExtent l="0" t="0" r="0" b="0"/>
                  <wp:docPr id="13" name="ECB019B1-382A-4266-B25C-5B523AA43C14-2" descr="C:/Users/86136/AppData/Local/Temp/wps.mJzEbu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B019B1-382A-4266-B25C-5B523AA43C14-2" descr="C:/Users/86136/AppData/Local/Temp/wps.mJzEbuwps"/>
                          <pic:cNvPicPr>
                            <a:picLocks noChangeAspect="1"/>
                          </pic:cNvPicPr>
                        </pic:nvPicPr>
                        <pic:blipFill>
                          <a:blip r:embed="rId11"/>
                          <a:stretch>
                            <a:fillRect/>
                          </a:stretch>
                        </pic:blipFill>
                        <pic:spPr>
                          <a:xfrm>
                            <a:off x="0" y="0"/>
                            <a:ext cx="3680460" cy="5499100"/>
                          </a:xfrm>
                          <a:prstGeom prst="rect">
                            <a:avLst/>
                          </a:prstGeom>
                          <a:noFill/>
                          <a:ln>
                            <a:noFill/>
                          </a:ln>
                        </pic:spPr>
                      </pic:pic>
                    </a:graphicData>
                  </a:graphic>
                </wp:inline>
              </w:drawing>
            </w:r>
          </w:p>
          <w:p>
            <w:pPr>
              <w:spacing w:line="360" w:lineRule="auto"/>
              <w:jc w:val="center"/>
              <w:rPr>
                <w:bCs/>
                <w:szCs w:val="21"/>
              </w:rPr>
            </w:pPr>
            <w:r>
              <w:rPr>
                <w:b/>
                <w:bCs/>
                <w:sz w:val="24"/>
              </w:rPr>
              <w:t>图2-</w:t>
            </w:r>
            <w:r>
              <w:rPr>
                <w:rFonts w:hint="eastAsia"/>
                <w:b/>
                <w:bCs/>
                <w:sz w:val="24"/>
                <w:lang w:val="en-US" w:eastAsia="zh-CN"/>
              </w:rPr>
              <w:t>3</w:t>
            </w:r>
            <w:r>
              <w:rPr>
                <w:b/>
                <w:bCs/>
                <w:sz w:val="24"/>
              </w:rPr>
              <w:t xml:space="preserve">  </w:t>
            </w:r>
            <w:r>
              <w:rPr>
                <w:b/>
                <w:bCs/>
                <w:color w:val="000000" w:themeColor="text1"/>
                <w:sz w:val="24"/>
                <w14:textFill>
                  <w14:solidFill>
                    <w14:schemeClr w14:val="tx1"/>
                  </w14:solidFill>
                </w14:textFill>
              </w:rPr>
              <w:t>艺术切片家居座椅工</w:t>
            </w:r>
            <w:r>
              <w:rPr>
                <w:b/>
                <w:bCs/>
                <w:sz w:val="24"/>
              </w:rPr>
              <w:t>艺流程示意图及产污环节图</w:t>
            </w:r>
          </w:p>
          <w:p>
            <w:pPr>
              <w:spacing w:line="360" w:lineRule="auto"/>
              <w:ind w:firstLine="482" w:firstLineChars="200"/>
              <w:rPr>
                <w:sz w:val="24"/>
              </w:rPr>
            </w:pPr>
            <w:r>
              <w:rPr>
                <w:b/>
                <w:bCs/>
                <w:sz w:val="24"/>
              </w:rPr>
              <w:t>工艺流程简述</w:t>
            </w:r>
            <w:r>
              <w:rPr>
                <w:sz w:val="24"/>
              </w:rPr>
              <w:t>：</w:t>
            </w:r>
          </w:p>
          <w:p>
            <w:pPr>
              <w:numPr>
                <w:ilvl w:val="0"/>
                <w:numId w:val="4"/>
              </w:numPr>
              <w:spacing w:line="360" w:lineRule="auto"/>
              <w:ind w:firstLine="480" w:firstLineChars="200"/>
              <w:rPr>
                <w:rFonts w:hint="default" w:ascii="Times New Roman" w:hAnsi="Times New Roman" w:cs="Times New Roman"/>
                <w:sz w:val="24"/>
              </w:rPr>
            </w:pPr>
            <w:r>
              <w:rPr>
                <w:sz w:val="24"/>
              </w:rPr>
              <w:t>下料：</w:t>
            </w:r>
            <w:r>
              <w:rPr>
                <w:rFonts w:ascii="宋体" w:hAnsi="宋体" w:cs="宋体"/>
                <w:sz w:val="24"/>
              </w:rPr>
              <w:t>使用切割机将板材分块切割</w:t>
            </w:r>
            <w:r>
              <w:rPr>
                <w:sz w:val="24"/>
              </w:rPr>
              <w:t>。该工序</w:t>
            </w:r>
            <w:r>
              <w:rPr>
                <w:rFonts w:hint="eastAsia"/>
                <w:sz w:val="24"/>
                <w:lang w:val="en-US" w:eastAsia="zh-CN"/>
              </w:rPr>
              <w:t>会</w:t>
            </w:r>
            <w:r>
              <w:rPr>
                <w:sz w:val="24"/>
              </w:rPr>
              <w:t>产生污染物粉尘</w:t>
            </w:r>
            <w:r>
              <w:rPr>
                <w:rFonts w:hint="eastAsia"/>
                <w:sz w:val="24"/>
                <w:lang w:val="en-US" w:eastAsia="zh-CN"/>
              </w:rPr>
              <w:t>G1</w:t>
            </w:r>
            <w:r>
              <w:rPr>
                <w:rFonts w:hint="eastAsia" w:ascii="宋体" w:hAnsi="宋体" w:cs="宋体"/>
                <w:color w:val="323232"/>
                <w:sz w:val="24"/>
              </w:rPr>
              <w:t>、废</w:t>
            </w:r>
            <w:r>
              <w:rPr>
                <w:rFonts w:hint="eastAsia"/>
                <w:sz w:val="24"/>
              </w:rPr>
              <w:t>边角料</w:t>
            </w:r>
            <w:r>
              <w:rPr>
                <w:rFonts w:hint="default" w:ascii="Times New Roman" w:hAnsi="Times New Roman" w:cs="Times New Roman"/>
                <w:color w:val="323232"/>
                <w:sz w:val="24"/>
                <w:lang w:val="en-US" w:eastAsia="zh-CN"/>
              </w:rPr>
              <w:t>S1</w:t>
            </w:r>
            <w:r>
              <w:rPr>
                <w:rFonts w:hint="default" w:ascii="Times New Roman" w:hAnsi="Times New Roman" w:cs="Times New Roman"/>
                <w:sz w:val="24"/>
              </w:rPr>
              <w:t>和噪声</w:t>
            </w:r>
            <w:r>
              <w:rPr>
                <w:rFonts w:hint="default" w:ascii="Times New Roman" w:hAnsi="Times New Roman" w:cs="Times New Roman"/>
                <w:sz w:val="24"/>
                <w:lang w:val="en-US" w:eastAsia="zh-CN"/>
              </w:rPr>
              <w:t>N1</w:t>
            </w:r>
            <w:r>
              <w:rPr>
                <w:rFonts w:hint="default" w:ascii="Times New Roman" w:hAnsi="Times New Roman" w:cs="Times New Roman"/>
                <w:sz w:val="24"/>
              </w:rPr>
              <w:t>。</w:t>
            </w:r>
          </w:p>
          <w:p>
            <w:pPr>
              <w:numPr>
                <w:ilvl w:val="0"/>
                <w:numId w:val="4"/>
              </w:numPr>
              <w:spacing w:line="360" w:lineRule="auto"/>
              <w:ind w:firstLine="480" w:firstLineChars="200"/>
              <w:rPr>
                <w:sz w:val="24"/>
              </w:rPr>
            </w:pPr>
            <w:r>
              <w:rPr>
                <w:rFonts w:ascii="宋体" w:hAnsi="宋体" w:cs="宋体"/>
                <w:sz w:val="24"/>
              </w:rPr>
              <w:t>雕刻</w:t>
            </w:r>
            <w:r>
              <w:rPr>
                <w:sz w:val="24"/>
              </w:rPr>
              <w:t>：</w:t>
            </w:r>
            <w:r>
              <w:rPr>
                <w:rFonts w:ascii="宋体" w:hAnsi="宋体" w:cs="宋体"/>
                <w:sz w:val="24"/>
              </w:rPr>
              <w:t>使用五轴雕刻机对分块的板材进行雕刻</w:t>
            </w:r>
            <w:r>
              <w:rPr>
                <w:sz w:val="24"/>
              </w:rPr>
              <w:t>。该工序</w:t>
            </w:r>
            <w:r>
              <w:rPr>
                <w:rFonts w:hint="eastAsia"/>
                <w:sz w:val="24"/>
                <w:lang w:val="en-US" w:eastAsia="zh-CN"/>
              </w:rPr>
              <w:t>会</w:t>
            </w:r>
            <w:r>
              <w:rPr>
                <w:sz w:val="24"/>
              </w:rPr>
              <w:t>产生污染物粉尘</w:t>
            </w:r>
            <w:r>
              <w:rPr>
                <w:rFonts w:hint="eastAsia"/>
                <w:sz w:val="24"/>
                <w:lang w:val="en-US" w:eastAsia="zh-CN"/>
              </w:rPr>
              <w:t>G2、</w:t>
            </w:r>
            <w:r>
              <w:rPr>
                <w:rFonts w:hint="eastAsia" w:ascii="宋体" w:hAnsi="宋体" w:cs="宋体"/>
                <w:color w:val="323232"/>
                <w:sz w:val="24"/>
              </w:rPr>
              <w:t>废</w:t>
            </w:r>
            <w:r>
              <w:rPr>
                <w:rFonts w:ascii="宋体" w:hAnsi="宋体" w:eastAsia="宋体" w:cs="宋体"/>
                <w:sz w:val="24"/>
                <w:szCs w:val="24"/>
              </w:rPr>
              <w:t>边角料</w:t>
            </w:r>
            <w:r>
              <w:rPr>
                <w:rFonts w:hint="default" w:ascii="Times New Roman" w:hAnsi="Times New Roman" w:cs="Times New Roman"/>
                <w:color w:val="323232"/>
                <w:sz w:val="24"/>
                <w:lang w:val="en-US" w:eastAsia="zh-CN"/>
              </w:rPr>
              <w:t>S</w:t>
            </w:r>
            <w:r>
              <w:rPr>
                <w:rFonts w:hint="eastAsia" w:cs="Times New Roman"/>
                <w:color w:val="323232"/>
                <w:sz w:val="24"/>
                <w:lang w:val="en-US" w:eastAsia="zh-CN"/>
              </w:rPr>
              <w:t>2</w:t>
            </w:r>
            <w:r>
              <w:rPr>
                <w:sz w:val="24"/>
              </w:rPr>
              <w:t>和噪声</w:t>
            </w:r>
            <w:r>
              <w:rPr>
                <w:rFonts w:hint="eastAsia"/>
                <w:sz w:val="24"/>
                <w:lang w:val="en-US" w:eastAsia="zh-CN"/>
              </w:rPr>
              <w:t>N2</w:t>
            </w:r>
            <w:r>
              <w:rPr>
                <w:sz w:val="24"/>
              </w:rPr>
              <w:t>。</w:t>
            </w:r>
          </w:p>
          <w:p>
            <w:pPr>
              <w:numPr>
                <w:ilvl w:val="0"/>
                <w:numId w:val="4"/>
              </w:numPr>
              <w:spacing w:line="360" w:lineRule="auto"/>
              <w:ind w:firstLine="480" w:firstLineChars="200"/>
              <w:rPr>
                <w:sz w:val="24"/>
              </w:rPr>
            </w:pPr>
            <w:r>
              <w:rPr>
                <w:rFonts w:ascii="宋体" w:hAnsi="宋体" w:cs="宋体"/>
                <w:sz w:val="24"/>
              </w:rPr>
              <w:t>封边</w:t>
            </w:r>
            <w:r>
              <w:rPr>
                <w:sz w:val="24"/>
              </w:rPr>
              <w:t>：</w:t>
            </w:r>
            <w:r>
              <w:rPr>
                <w:rFonts w:ascii="宋体" w:hAnsi="宋体" w:cs="宋体"/>
                <w:sz w:val="24"/>
              </w:rPr>
              <w:t>使用封边机</w:t>
            </w:r>
            <w:r>
              <w:rPr>
                <w:rFonts w:hint="default" w:ascii="Times New Roman" w:hAnsi="Times New Roman" w:cs="Times New Roman"/>
                <w:sz w:val="24"/>
              </w:rPr>
              <w:t>和热熔胶将木边封在雕刻完的板材上。</w:t>
            </w:r>
            <w:r>
              <w:rPr>
                <w:sz w:val="24"/>
              </w:rPr>
              <w:t>该工序</w:t>
            </w:r>
            <w:r>
              <w:rPr>
                <w:rFonts w:hint="eastAsia"/>
                <w:sz w:val="24"/>
                <w:lang w:val="en-US" w:eastAsia="zh-CN"/>
              </w:rPr>
              <w:t>会</w:t>
            </w:r>
            <w:r>
              <w:rPr>
                <w:sz w:val="24"/>
              </w:rPr>
              <w:t>产生污染物</w:t>
            </w:r>
            <w:r>
              <w:rPr>
                <w:rFonts w:hint="default" w:ascii="Times New Roman" w:hAnsi="Times New Roman" w:cs="Times New Roman"/>
                <w:sz w:val="24"/>
              </w:rPr>
              <w:t>非甲烷总烃</w:t>
            </w:r>
            <w:r>
              <w:rPr>
                <w:rFonts w:hint="default" w:ascii="Times New Roman" w:hAnsi="Times New Roman" w:cs="Times New Roman"/>
                <w:sz w:val="24"/>
                <w:lang w:val="en-US" w:eastAsia="zh-CN"/>
              </w:rPr>
              <w:t>G3</w:t>
            </w:r>
            <w:r>
              <w:rPr>
                <w:rFonts w:hint="eastAsia" w:cs="Times New Roman"/>
                <w:sz w:val="24"/>
                <w:lang w:val="en-US" w:eastAsia="zh-CN"/>
              </w:rPr>
              <w:t>、</w:t>
            </w:r>
            <w:r>
              <w:rPr>
                <w:rFonts w:hint="eastAsia" w:ascii="宋体" w:hAnsi="宋体" w:cs="宋体"/>
                <w:color w:val="323232"/>
                <w:sz w:val="24"/>
              </w:rPr>
              <w:t>废</w:t>
            </w:r>
            <w:r>
              <w:rPr>
                <w:rFonts w:ascii="宋体" w:hAnsi="宋体" w:eastAsia="宋体" w:cs="宋体"/>
                <w:sz w:val="24"/>
                <w:szCs w:val="24"/>
              </w:rPr>
              <w:t>边角料</w:t>
            </w:r>
            <w:r>
              <w:rPr>
                <w:rFonts w:hint="default" w:ascii="Times New Roman" w:hAnsi="Times New Roman" w:cs="Times New Roman"/>
                <w:color w:val="323232"/>
                <w:sz w:val="24"/>
                <w:lang w:val="en-US" w:eastAsia="zh-CN"/>
              </w:rPr>
              <w:t>S</w:t>
            </w:r>
            <w:r>
              <w:rPr>
                <w:rFonts w:hint="eastAsia" w:cs="Times New Roman"/>
                <w:color w:val="323232"/>
                <w:sz w:val="24"/>
                <w:lang w:val="en-US" w:eastAsia="zh-CN"/>
              </w:rPr>
              <w:t>3</w:t>
            </w:r>
            <w:r>
              <w:rPr>
                <w:rFonts w:hint="default" w:ascii="Times New Roman" w:hAnsi="Times New Roman" w:cs="Times New Roman"/>
                <w:sz w:val="24"/>
              </w:rPr>
              <w:t>和噪</w:t>
            </w:r>
            <w:r>
              <w:rPr>
                <w:sz w:val="24"/>
              </w:rPr>
              <w:t>声</w:t>
            </w:r>
            <w:r>
              <w:rPr>
                <w:rFonts w:hint="eastAsia"/>
                <w:sz w:val="24"/>
                <w:lang w:val="en-US" w:eastAsia="zh-CN"/>
              </w:rPr>
              <w:t>N3</w:t>
            </w:r>
            <w:r>
              <w:rPr>
                <w:sz w:val="24"/>
              </w:rPr>
              <w:t>。</w:t>
            </w:r>
          </w:p>
          <w:p>
            <w:pPr>
              <w:numPr>
                <w:ilvl w:val="0"/>
                <w:numId w:val="4"/>
              </w:numPr>
              <w:spacing w:line="360" w:lineRule="auto"/>
              <w:ind w:firstLine="480" w:firstLineChars="200"/>
              <w:rPr>
                <w:sz w:val="24"/>
              </w:rPr>
            </w:pPr>
            <w:r>
              <w:rPr>
                <w:rFonts w:ascii="宋体" w:hAnsi="宋体" w:cs="宋体"/>
                <w:sz w:val="24"/>
              </w:rPr>
              <w:t>修边</w:t>
            </w:r>
            <w:r>
              <w:rPr>
                <w:sz w:val="24"/>
              </w:rPr>
              <w:t>：</w:t>
            </w:r>
            <w:r>
              <w:rPr>
                <w:rFonts w:ascii="宋体" w:hAnsi="宋体" w:cs="宋体"/>
                <w:sz w:val="24"/>
              </w:rPr>
              <w:t>使用修边机对封边完的板材进行修边</w:t>
            </w:r>
            <w:r>
              <w:rPr>
                <w:sz w:val="24"/>
              </w:rPr>
              <w:t>。该工序</w:t>
            </w:r>
            <w:r>
              <w:rPr>
                <w:rFonts w:hint="eastAsia"/>
                <w:sz w:val="24"/>
                <w:lang w:val="en-US" w:eastAsia="zh-CN"/>
              </w:rPr>
              <w:t>会</w:t>
            </w:r>
            <w:r>
              <w:rPr>
                <w:sz w:val="24"/>
              </w:rPr>
              <w:t>产生污染物</w:t>
            </w:r>
            <w:r>
              <w:rPr>
                <w:rFonts w:hint="eastAsia" w:ascii="宋体" w:hAnsi="宋体" w:cs="宋体"/>
                <w:color w:val="323232"/>
                <w:sz w:val="24"/>
              </w:rPr>
              <w:t>废</w:t>
            </w:r>
            <w:r>
              <w:rPr>
                <w:rFonts w:hint="eastAsia"/>
                <w:sz w:val="24"/>
              </w:rPr>
              <w:t>边角料</w:t>
            </w:r>
            <w:r>
              <w:rPr>
                <w:rFonts w:hint="default" w:ascii="Times New Roman" w:hAnsi="Times New Roman" w:cs="Times New Roman"/>
                <w:color w:val="323232"/>
                <w:sz w:val="24"/>
                <w:lang w:val="en-US" w:eastAsia="zh-CN"/>
              </w:rPr>
              <w:t>S</w:t>
            </w:r>
            <w:r>
              <w:rPr>
                <w:rFonts w:hint="eastAsia" w:cs="Times New Roman"/>
                <w:color w:val="323232"/>
                <w:sz w:val="24"/>
                <w:lang w:val="en-US" w:eastAsia="zh-CN"/>
              </w:rPr>
              <w:t>4</w:t>
            </w:r>
            <w:r>
              <w:rPr>
                <w:rFonts w:hint="default" w:ascii="Times New Roman" w:hAnsi="Times New Roman" w:cs="Times New Roman"/>
                <w:sz w:val="24"/>
              </w:rPr>
              <w:t>和噪</w:t>
            </w:r>
            <w:r>
              <w:rPr>
                <w:sz w:val="24"/>
              </w:rPr>
              <w:t>声</w:t>
            </w:r>
            <w:r>
              <w:rPr>
                <w:rFonts w:hint="eastAsia"/>
                <w:sz w:val="24"/>
                <w:lang w:val="en-US" w:eastAsia="zh-CN"/>
              </w:rPr>
              <w:t>N4</w:t>
            </w:r>
            <w:r>
              <w:rPr>
                <w:sz w:val="24"/>
              </w:rPr>
              <w:t>。</w:t>
            </w:r>
          </w:p>
          <w:p>
            <w:pPr>
              <w:numPr>
                <w:ilvl w:val="0"/>
                <w:numId w:val="4"/>
              </w:numPr>
              <w:spacing w:line="360" w:lineRule="auto"/>
              <w:ind w:firstLine="480" w:firstLineChars="200"/>
              <w:rPr>
                <w:sz w:val="24"/>
              </w:rPr>
            </w:pPr>
            <w:r>
              <w:rPr>
                <w:rFonts w:ascii="宋体" w:hAnsi="宋体" w:cs="宋体"/>
                <w:sz w:val="24"/>
              </w:rPr>
              <w:t>组装</w:t>
            </w:r>
            <w:r>
              <w:rPr>
                <w:sz w:val="24"/>
              </w:rPr>
              <w:t>：</w:t>
            </w:r>
            <w:r>
              <w:rPr>
                <w:rFonts w:ascii="宋体" w:hAnsi="宋体" w:cs="宋体"/>
                <w:sz w:val="24"/>
              </w:rPr>
              <w:t>将修</w:t>
            </w:r>
            <w:r>
              <w:rPr>
                <w:rFonts w:hint="eastAsia" w:ascii="宋体" w:hAnsi="宋体" w:cs="宋体"/>
                <w:sz w:val="24"/>
              </w:rPr>
              <w:t>过</w:t>
            </w:r>
            <w:r>
              <w:rPr>
                <w:rFonts w:ascii="宋体" w:hAnsi="宋体" w:cs="宋体"/>
                <w:sz w:val="24"/>
              </w:rPr>
              <w:t>边板材用钢筋进行串接组装</w:t>
            </w:r>
            <w:r>
              <w:rPr>
                <w:sz w:val="24"/>
              </w:rPr>
              <w:t>。该工序</w:t>
            </w:r>
            <w:r>
              <w:rPr>
                <w:rFonts w:hint="eastAsia"/>
                <w:sz w:val="24"/>
                <w:lang w:val="en-US" w:eastAsia="zh-CN"/>
              </w:rPr>
              <w:t>会</w:t>
            </w:r>
            <w:r>
              <w:rPr>
                <w:sz w:val="24"/>
              </w:rPr>
              <w:t>产生污染物</w:t>
            </w:r>
            <w:r>
              <w:rPr>
                <w:rFonts w:hint="eastAsia" w:ascii="宋体" w:hAnsi="宋体" w:cs="宋体"/>
                <w:color w:val="323232"/>
                <w:sz w:val="24"/>
              </w:rPr>
              <w:t>废</w:t>
            </w:r>
            <w:r>
              <w:rPr>
                <w:rFonts w:ascii="宋体" w:hAnsi="宋体" w:eastAsia="宋体" w:cs="宋体"/>
                <w:sz w:val="24"/>
                <w:szCs w:val="24"/>
              </w:rPr>
              <w:t>钢筋边角料</w:t>
            </w:r>
            <w:r>
              <w:rPr>
                <w:rFonts w:hint="default" w:ascii="Times New Roman" w:hAnsi="Times New Roman" w:cs="Times New Roman"/>
                <w:color w:val="323232"/>
                <w:sz w:val="24"/>
                <w:lang w:val="en-US" w:eastAsia="zh-CN"/>
              </w:rPr>
              <w:t>S</w:t>
            </w:r>
            <w:r>
              <w:rPr>
                <w:rFonts w:hint="eastAsia" w:ascii="Times New Roman" w:hAnsi="Times New Roman" w:cs="Times New Roman"/>
                <w:color w:val="323232"/>
                <w:sz w:val="24"/>
                <w:lang w:val="en-US" w:eastAsia="zh-CN"/>
              </w:rPr>
              <w:t>5</w:t>
            </w:r>
            <w:r>
              <w:rPr>
                <w:sz w:val="24"/>
              </w:rPr>
              <w:t>。</w:t>
            </w:r>
          </w:p>
          <w:p>
            <w:pPr>
              <w:numPr>
                <w:ilvl w:val="0"/>
                <w:numId w:val="4"/>
              </w:numPr>
              <w:spacing w:line="360" w:lineRule="auto"/>
              <w:ind w:firstLine="480" w:firstLineChars="200"/>
              <w:rPr>
                <w:sz w:val="24"/>
              </w:rPr>
            </w:pPr>
            <w:r>
              <w:rPr>
                <w:rFonts w:ascii="宋体" w:hAnsi="宋体" w:cs="宋体"/>
                <w:sz w:val="24"/>
              </w:rPr>
              <w:t>打</w:t>
            </w:r>
            <w:r>
              <w:rPr>
                <w:sz w:val="24"/>
              </w:rPr>
              <w:t>磨棱角：将组装好的艺术切片家居座椅放在打磨台上，然后工人使用砂纸少部分有木刺凸起的地方进行打磨。该工序</w:t>
            </w:r>
            <w:r>
              <w:rPr>
                <w:rFonts w:hint="eastAsia"/>
                <w:sz w:val="24"/>
                <w:lang w:val="en-US" w:eastAsia="zh-CN"/>
              </w:rPr>
              <w:t>会</w:t>
            </w:r>
            <w:r>
              <w:rPr>
                <w:sz w:val="24"/>
              </w:rPr>
              <w:t>产生污染物粉尘</w:t>
            </w:r>
            <w:r>
              <w:rPr>
                <w:rFonts w:hint="default" w:ascii="Times New Roman" w:hAnsi="Times New Roman" w:cs="Times New Roman"/>
                <w:sz w:val="24"/>
                <w:lang w:val="en-US" w:eastAsia="zh-CN"/>
              </w:rPr>
              <w:t>G</w:t>
            </w:r>
            <w:r>
              <w:rPr>
                <w:rFonts w:hint="eastAsia" w:ascii="Times New Roman" w:hAnsi="Times New Roman" w:cs="Times New Roman"/>
                <w:sz w:val="24"/>
                <w:lang w:val="en-US" w:eastAsia="zh-CN"/>
              </w:rPr>
              <w:t>4</w:t>
            </w:r>
            <w:r>
              <w:rPr>
                <w:rFonts w:hint="eastAsia" w:cs="Times New Roman"/>
                <w:sz w:val="24"/>
                <w:lang w:val="en-US" w:eastAsia="zh-CN"/>
              </w:rPr>
              <w:t>、</w:t>
            </w:r>
            <w:r>
              <w:rPr>
                <w:rFonts w:hint="eastAsia" w:ascii="宋体" w:hAnsi="宋体" w:cs="宋体"/>
                <w:color w:val="323232"/>
                <w:sz w:val="24"/>
              </w:rPr>
              <w:t>废</w:t>
            </w:r>
            <w:r>
              <w:rPr>
                <w:rFonts w:ascii="宋体" w:hAnsi="宋体" w:eastAsia="宋体" w:cs="宋体"/>
                <w:sz w:val="24"/>
                <w:szCs w:val="24"/>
              </w:rPr>
              <w:t>边角料</w:t>
            </w:r>
            <w:r>
              <w:rPr>
                <w:rFonts w:hint="default" w:ascii="Times New Roman" w:hAnsi="Times New Roman" w:cs="Times New Roman"/>
                <w:color w:val="323232"/>
                <w:sz w:val="24"/>
                <w:lang w:val="en-US" w:eastAsia="zh-CN"/>
              </w:rPr>
              <w:t>S</w:t>
            </w:r>
            <w:r>
              <w:rPr>
                <w:rFonts w:hint="eastAsia" w:cs="Times New Roman"/>
                <w:color w:val="323232"/>
                <w:sz w:val="24"/>
                <w:lang w:val="en-US" w:eastAsia="zh-CN"/>
              </w:rPr>
              <w:t>6</w:t>
            </w:r>
            <w:r>
              <w:rPr>
                <w:sz w:val="24"/>
              </w:rPr>
              <w:t>和噪声</w:t>
            </w:r>
            <w:r>
              <w:rPr>
                <w:rFonts w:hint="eastAsia"/>
                <w:sz w:val="24"/>
                <w:lang w:val="en-US" w:eastAsia="zh-CN"/>
              </w:rPr>
              <w:t>N5</w:t>
            </w:r>
            <w:r>
              <w:rPr>
                <w:sz w:val="24"/>
              </w:rPr>
              <w:t>。</w:t>
            </w:r>
          </w:p>
          <w:p>
            <w:pPr>
              <w:numPr>
                <w:ilvl w:val="0"/>
                <w:numId w:val="4"/>
              </w:num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调漆</w:t>
            </w:r>
            <w:r>
              <w:rPr>
                <w:color w:val="000000" w:themeColor="text1"/>
                <w:szCs w:val="21"/>
                <w14:textFill>
                  <w14:solidFill>
                    <w14:schemeClr w14:val="tx1"/>
                  </w14:solidFill>
                </w14:textFill>
              </w:rPr>
              <w:t>：</w:t>
            </w:r>
            <w:r>
              <w:rPr>
                <w:rFonts w:ascii="宋体" w:hAnsi="宋体" w:cs="宋体"/>
                <w:color w:val="000000" w:themeColor="text1"/>
                <w:sz w:val="24"/>
                <w14:textFill>
                  <w14:solidFill>
                    <w14:schemeClr w14:val="tx1"/>
                  </w14:solidFill>
                </w14:textFill>
              </w:rPr>
              <w:t>在喷漆房中向</w:t>
            </w:r>
            <w:r>
              <w:rPr>
                <w:rFonts w:hint="eastAsia" w:ascii="宋体" w:hAnsi="宋体" w:cs="宋体"/>
                <w:color w:val="000000" w:themeColor="text1"/>
                <w:sz w:val="24"/>
                <w14:textFill>
                  <w14:solidFill>
                    <w14:schemeClr w14:val="tx1"/>
                  </w14:solidFill>
                </w14:textFill>
              </w:rPr>
              <w:t>调漆</w:t>
            </w:r>
            <w:r>
              <w:rPr>
                <w:rFonts w:ascii="宋体" w:hAnsi="宋体" w:cs="宋体"/>
                <w:color w:val="000000" w:themeColor="text1"/>
                <w:sz w:val="24"/>
                <w14:textFill>
                  <w14:solidFill>
                    <w14:schemeClr w14:val="tx1"/>
                  </w14:solidFill>
                </w14:textFill>
              </w:rPr>
              <w:t>桶里先加入要使用的油漆再依次加入稀释剂</w:t>
            </w:r>
            <w:r>
              <w:rPr>
                <w:rFonts w:hint="eastAsia" w:ascii="宋体" w:hAnsi="宋体" w:cs="宋体"/>
                <w:color w:val="000000" w:themeColor="text1"/>
                <w:sz w:val="24"/>
                <w14:textFill>
                  <w14:solidFill>
                    <w14:schemeClr w14:val="tx1"/>
                  </w14:solidFill>
                </w14:textFill>
              </w:rPr>
              <w:t>和</w:t>
            </w:r>
            <w:r>
              <w:rPr>
                <w:rFonts w:ascii="宋体" w:hAnsi="宋体" w:cs="宋体"/>
                <w:color w:val="000000" w:themeColor="text1"/>
                <w:sz w:val="24"/>
                <w14:textFill>
                  <w14:solidFill>
                    <w14:schemeClr w14:val="tx1"/>
                  </w14:solidFill>
                </w14:textFill>
              </w:rPr>
              <w:t>固化剂，然后进行搅拌</w:t>
            </w: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比例为1：0.</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此过程产生的污染物为</w:t>
            </w:r>
            <w:r>
              <w:rPr>
                <w:rFonts w:hint="default" w:ascii="Times New Roman" w:hAnsi="Times New Roman" w:cs="Times New Roman"/>
                <w:sz w:val="24"/>
                <w:lang w:val="en-US" w:eastAsia="zh-CN"/>
              </w:rPr>
              <w:t>G</w:t>
            </w:r>
            <w:r>
              <w:rPr>
                <w:rFonts w:hint="eastAsia" w:ascii="Times New Roman" w:hAnsi="Times New Roman" w:cs="Times New Roman"/>
                <w:sz w:val="24"/>
                <w:lang w:val="en-US" w:eastAsia="zh-CN"/>
              </w:rPr>
              <w:t>5</w:t>
            </w:r>
            <w:r>
              <w:rPr>
                <w:rFonts w:hint="default" w:ascii="Times New Roman" w:hAnsi="Times New Roman" w:cs="Times New Roman"/>
                <w:sz w:val="24"/>
              </w:rPr>
              <w:t>非甲烷总烃</w:t>
            </w:r>
            <w:r>
              <w:rPr>
                <w:rFonts w:hint="eastAsia" w:ascii="Times New Roman" w:hAnsi="Times New Roman" w:eastAsia="宋体" w:cs="Times New Roman"/>
                <w:sz w:val="24"/>
                <w:lang w:val="en-US" w:eastAsia="zh-CN"/>
              </w:rPr>
              <w:t>和</w:t>
            </w:r>
            <w:r>
              <w:rPr>
                <w:rFonts w:hint="eastAsia" w:ascii="Times New Roman" w:hAnsi="Times New Roman" w:eastAsia="宋体" w:cs="Times New Roman"/>
                <w:sz w:val="24"/>
              </w:rPr>
              <w:t>二甲苯。</w:t>
            </w:r>
          </w:p>
          <w:p>
            <w:pPr>
              <w:numPr>
                <w:ilvl w:val="0"/>
                <w:numId w:val="4"/>
              </w:num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喷漆：</w:t>
            </w:r>
            <w:r>
              <w:rPr>
                <w:rFonts w:ascii="宋体" w:hAnsi="宋体" w:cs="宋体"/>
                <w:sz w:val="24"/>
              </w:rPr>
              <w:t>本项目喷漆只喷一层面漆即可</w:t>
            </w:r>
            <w:r>
              <w:rPr>
                <w:rFonts w:hint="eastAsia" w:ascii="宋体" w:hAnsi="宋体" w:cs="宋体"/>
                <w:sz w:val="24"/>
              </w:rPr>
              <w:t>，</w:t>
            </w:r>
            <w:r>
              <w:rPr>
                <w:color w:val="000000" w:themeColor="text1"/>
                <w:sz w:val="24"/>
                <w14:textFill>
                  <w14:solidFill>
                    <w14:schemeClr w14:val="tx1"/>
                  </w14:solidFill>
                </w14:textFill>
              </w:rPr>
              <w:t>在喷漆房内，使用喷漆设备对打磨好的艺术切片家居座椅进行喷漆，喷漆房内设置两个工位，喷漆房侧面设置有吸风，喷漆使用的是油性</w:t>
            </w:r>
            <w:r>
              <w:rPr>
                <w:rFonts w:hint="eastAsia" w:ascii="宋体" w:hAnsi="宋体" w:cs="宋体"/>
                <w:color w:val="000000" w:themeColor="text1"/>
                <w:sz w:val="24"/>
                <w14:textFill>
                  <w14:solidFill>
                    <w14:schemeClr w14:val="tx1"/>
                  </w14:solidFill>
                </w14:textFill>
              </w:rPr>
              <w:t>漆，</w:t>
            </w:r>
            <w:r>
              <w:rPr>
                <w:rFonts w:ascii="宋体" w:hAnsi="宋体" w:cs="宋体"/>
                <w:color w:val="000000" w:themeColor="text1"/>
                <w:sz w:val="24"/>
                <w14:textFill>
                  <w14:solidFill>
                    <w14:schemeClr w14:val="tx1"/>
                  </w14:solidFill>
                </w14:textFill>
              </w:rPr>
              <w:t>喷完漆后的</w:t>
            </w:r>
            <w:r>
              <w:rPr>
                <w:color w:val="000000" w:themeColor="text1"/>
                <w:sz w:val="24"/>
                <w14:textFill>
                  <w14:solidFill>
                    <w14:schemeClr w14:val="tx1"/>
                  </w14:solidFill>
                </w14:textFill>
              </w:rPr>
              <w:t>艺术切片家居座椅</w:t>
            </w:r>
            <w:r>
              <w:rPr>
                <w:rFonts w:ascii="宋体" w:hAnsi="宋体" w:cs="宋体"/>
                <w:color w:val="000000" w:themeColor="text1"/>
                <w:sz w:val="24"/>
                <w14:textFill>
                  <w14:solidFill>
                    <w14:schemeClr w14:val="tx1"/>
                  </w14:solidFill>
                </w14:textFill>
              </w:rPr>
              <w:t>放在喷漆房中进行自然风干，待风干后</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再对下一</w:t>
            </w:r>
            <w:r>
              <w:rPr>
                <w:rFonts w:hint="eastAsia" w:ascii="宋体" w:hAnsi="宋体" w:cs="宋体"/>
                <w:color w:val="000000" w:themeColor="text1"/>
                <w:sz w:val="24"/>
                <w14:textFill>
                  <w14:solidFill>
                    <w14:schemeClr w14:val="tx1"/>
                  </w14:solidFill>
                </w14:textFill>
              </w:rPr>
              <w:t>批</w:t>
            </w:r>
            <w:r>
              <w:rPr>
                <w:rFonts w:ascii="宋体" w:hAnsi="宋体" w:cs="宋体"/>
                <w:color w:val="000000" w:themeColor="text1"/>
                <w:sz w:val="24"/>
                <w14:textFill>
                  <w14:solidFill>
                    <w14:schemeClr w14:val="tx1"/>
                  </w14:solidFill>
                </w14:textFill>
              </w:rPr>
              <w:t>进行喷漆</w:t>
            </w:r>
            <w:r>
              <w:rPr>
                <w:rFonts w:hint="eastAsia" w:ascii="宋体" w:hAnsi="宋体" w:cs="宋体"/>
                <w:color w:val="000000" w:themeColor="text1"/>
                <w:sz w:val="24"/>
                <w14:textFill>
                  <w14:solidFill>
                    <w14:schemeClr w14:val="tx1"/>
                  </w14:solidFill>
                </w14:textFill>
              </w:rPr>
              <w:t>，此过程产生的主要污染物为喷漆产生</w:t>
            </w:r>
            <w:r>
              <w:rPr>
                <w:rFonts w:hint="eastAsia" w:ascii="宋体" w:hAnsi="宋体" w:cs="宋体"/>
                <w:color w:val="000000" w:themeColor="text1"/>
                <w:sz w:val="24"/>
                <w:szCs w:val="24"/>
                <w14:textFill>
                  <w14:solidFill>
                    <w14:schemeClr w14:val="tx1"/>
                  </w14:solidFill>
                </w14:textFill>
              </w:rPr>
              <w:t>的</w:t>
            </w:r>
            <w:r>
              <w:rPr>
                <w:rFonts w:hint="eastAsia"/>
                <w:sz w:val="24"/>
                <w:szCs w:val="24"/>
              </w:rPr>
              <w:t>漆渣</w:t>
            </w:r>
            <w:r>
              <w:rPr>
                <w:rFonts w:hint="default" w:ascii="Times New Roman" w:hAnsi="Times New Roman" w:cs="Times New Roman"/>
                <w:color w:val="323232"/>
                <w:sz w:val="24"/>
                <w:szCs w:val="24"/>
                <w:lang w:val="en-US" w:eastAsia="zh-CN"/>
              </w:rPr>
              <w:t>S</w:t>
            </w:r>
            <w:r>
              <w:rPr>
                <w:rFonts w:hint="eastAsia" w:cs="Times New Roman"/>
                <w:color w:val="323232"/>
                <w:sz w:val="24"/>
                <w:szCs w:val="24"/>
                <w:lang w:val="en-US" w:eastAsia="zh-CN"/>
              </w:rPr>
              <w:t>7</w:t>
            </w:r>
            <w:r>
              <w:rPr>
                <w:rFonts w:hint="eastAsia"/>
                <w:sz w:val="24"/>
                <w:szCs w:val="24"/>
                <w:lang w:eastAsia="zh-CN"/>
              </w:rPr>
              <w:t>、</w:t>
            </w:r>
            <w:r>
              <w:rPr>
                <w:rFonts w:hint="default" w:ascii="Times New Roman" w:hAnsi="Times New Roman" w:cs="Times New Roman"/>
                <w:sz w:val="24"/>
                <w:szCs w:val="24"/>
                <w:lang w:val="en-US" w:eastAsia="zh-CN"/>
              </w:rPr>
              <w:t>G</w:t>
            </w:r>
            <w:r>
              <w:rPr>
                <w:rFonts w:hint="eastAsia" w:ascii="Times New Roman" w:hAnsi="Times New Roman" w:cs="Times New Roman"/>
                <w:sz w:val="24"/>
                <w:lang w:val="en-US" w:eastAsia="zh-CN"/>
              </w:rPr>
              <w:t>6</w:t>
            </w:r>
            <w:r>
              <w:rPr>
                <w:rFonts w:hint="eastAsia" w:ascii="宋体" w:hAnsi="宋体" w:cs="宋体"/>
                <w:color w:val="000000" w:themeColor="text1"/>
                <w:sz w:val="24"/>
                <w14:textFill>
                  <w14:solidFill>
                    <w14:schemeClr w14:val="tx1"/>
                  </w14:solidFill>
                </w14:textFill>
              </w:rPr>
              <w:t>漆雾</w:t>
            </w:r>
            <w:r>
              <w:rPr>
                <w:rFonts w:hint="eastAsia" w:ascii="宋体" w:hAnsi="宋体" w:cs="宋体"/>
                <w:color w:val="000000" w:themeColor="text1"/>
                <w:sz w:val="24"/>
                <w:lang w:eastAsia="zh-CN"/>
                <w14:textFill>
                  <w14:solidFill>
                    <w14:schemeClr w14:val="tx1"/>
                  </w14:solidFill>
                </w14:textFill>
              </w:rPr>
              <w:t>、</w:t>
            </w:r>
            <w:r>
              <w:rPr>
                <w:rFonts w:hint="default" w:ascii="Times New Roman" w:hAnsi="Times New Roman" w:cs="Times New Roman"/>
                <w:sz w:val="24"/>
              </w:rPr>
              <w:t>非甲烷总烃</w:t>
            </w:r>
            <w:r>
              <w:rPr>
                <w:rFonts w:hint="eastAsia" w:ascii="Times New Roman" w:hAnsi="Times New Roman" w:eastAsia="宋体" w:cs="Times New Roman"/>
                <w:sz w:val="24"/>
                <w:lang w:val="en-US" w:eastAsia="zh-CN"/>
              </w:rPr>
              <w:t>和</w:t>
            </w:r>
            <w:r>
              <w:rPr>
                <w:rFonts w:hint="eastAsia" w:ascii="Times New Roman" w:hAnsi="Times New Roman" w:eastAsia="宋体" w:cs="Times New Roman"/>
                <w:sz w:val="24"/>
              </w:rPr>
              <w:t>二甲苯</w:t>
            </w:r>
            <w:r>
              <w:rPr>
                <w:color w:val="000000" w:themeColor="text1"/>
                <w:sz w:val="24"/>
                <w14:textFill>
                  <w14:solidFill>
                    <w14:schemeClr w14:val="tx1"/>
                  </w14:solidFill>
                </w14:textFill>
              </w:rPr>
              <w:t>。</w:t>
            </w:r>
          </w:p>
          <w:p>
            <w:pPr>
              <w:numPr>
                <w:ilvl w:val="0"/>
                <w:numId w:val="4"/>
              </w:numPr>
              <w:spacing w:line="360" w:lineRule="auto"/>
              <w:ind w:firstLine="480" w:firstLineChars="200"/>
              <w:rPr>
                <w:sz w:val="24"/>
              </w:rPr>
            </w:pPr>
            <w:r>
              <w:rPr>
                <w:sz w:val="24"/>
              </w:rPr>
              <w:t>包装入库：将各个</w:t>
            </w:r>
            <w:r>
              <w:rPr>
                <w:rFonts w:ascii="宋体" w:hAnsi="宋体" w:cs="宋体"/>
                <w:sz w:val="24"/>
              </w:rPr>
              <w:t>艺术切片家居座椅</w:t>
            </w:r>
            <w:r>
              <w:rPr>
                <w:sz w:val="24"/>
              </w:rPr>
              <w:t>配件包装入库。此工序无污染物产生。</w:t>
            </w:r>
          </w:p>
          <w:p>
            <w:pPr>
              <w:spacing w:line="360" w:lineRule="auto"/>
              <w:ind w:firstLine="480" w:firstLineChars="200"/>
              <w:rPr>
                <w:sz w:val="24"/>
              </w:rPr>
            </w:pPr>
            <w:r>
              <w:rPr>
                <w:sz w:val="24"/>
              </w:rPr>
              <w:t>产污环节简述：</w:t>
            </w:r>
          </w:p>
          <w:p>
            <w:pPr>
              <w:numPr>
                <w:ilvl w:val="0"/>
                <w:numId w:val="5"/>
              </w:numPr>
              <w:spacing w:line="360" w:lineRule="auto"/>
              <w:ind w:firstLine="480" w:firstLineChars="200"/>
              <w:rPr>
                <w:sz w:val="24"/>
              </w:rPr>
            </w:pPr>
            <w:r>
              <w:rPr>
                <w:sz w:val="24"/>
              </w:rPr>
              <w:t>废气</w:t>
            </w:r>
            <w:r>
              <w:rPr>
                <w:szCs w:val="21"/>
              </w:rPr>
              <w:t>：</w:t>
            </w:r>
            <w:r>
              <w:rPr>
                <w:sz w:val="24"/>
              </w:rPr>
              <w:t>下料、雕刻、</w:t>
            </w:r>
            <w:r>
              <w:rPr>
                <w:rFonts w:ascii="宋体" w:hAnsi="宋体" w:cs="宋体"/>
                <w:sz w:val="24"/>
              </w:rPr>
              <w:t>修边</w:t>
            </w:r>
            <w:r>
              <w:rPr>
                <w:sz w:val="24"/>
              </w:rPr>
              <w:t>、</w:t>
            </w:r>
            <w:r>
              <w:rPr>
                <w:rFonts w:ascii="宋体" w:hAnsi="宋体" w:cs="宋体"/>
                <w:sz w:val="24"/>
              </w:rPr>
              <w:t>打磨</w:t>
            </w:r>
            <w:r>
              <w:rPr>
                <w:sz w:val="24"/>
              </w:rPr>
              <w:t>产生的粉尘</w:t>
            </w:r>
            <w:r>
              <w:rPr>
                <w:rFonts w:hint="default" w:ascii="Times New Roman" w:hAnsi="Times New Roman" w:cs="Times New Roman"/>
                <w:sz w:val="24"/>
                <w:lang w:val="en-US" w:eastAsia="zh-CN"/>
              </w:rPr>
              <w:t>G</w:t>
            </w:r>
            <w:r>
              <w:rPr>
                <w:rFonts w:hint="eastAsia" w:ascii="Times New Roman" w:hAnsi="Times New Roman" w:cs="Times New Roman"/>
                <w:sz w:val="24"/>
                <w:lang w:val="en-US" w:eastAsia="zh-CN"/>
              </w:rPr>
              <w:t>1、</w:t>
            </w:r>
            <w:r>
              <w:rPr>
                <w:rFonts w:hint="default" w:ascii="Times New Roman" w:hAnsi="Times New Roman" w:cs="Times New Roman"/>
                <w:sz w:val="24"/>
                <w:lang w:val="en-US" w:eastAsia="zh-CN"/>
              </w:rPr>
              <w:t>G</w:t>
            </w:r>
            <w:r>
              <w:rPr>
                <w:rFonts w:hint="eastAsia" w:ascii="Times New Roman" w:hAnsi="Times New Roman" w:cs="Times New Roman"/>
                <w:sz w:val="24"/>
                <w:lang w:val="en-US" w:eastAsia="zh-CN"/>
              </w:rPr>
              <w:t>2、</w:t>
            </w:r>
            <w:r>
              <w:rPr>
                <w:rFonts w:hint="default" w:ascii="Times New Roman" w:hAnsi="Times New Roman" w:cs="Times New Roman"/>
                <w:sz w:val="24"/>
                <w:lang w:val="en-US" w:eastAsia="zh-CN"/>
              </w:rPr>
              <w:t>G</w:t>
            </w:r>
            <w:r>
              <w:rPr>
                <w:rFonts w:hint="eastAsia" w:ascii="Times New Roman" w:hAnsi="Times New Roman" w:cs="Times New Roman"/>
                <w:sz w:val="24"/>
                <w:lang w:val="en-US" w:eastAsia="zh-CN"/>
              </w:rPr>
              <w:t>4；</w:t>
            </w:r>
            <w:r>
              <w:rPr>
                <w:color w:val="000000" w:themeColor="text1"/>
                <w:sz w:val="24"/>
                <w14:textFill>
                  <w14:solidFill>
                    <w14:schemeClr w14:val="tx1"/>
                  </w14:solidFill>
                </w14:textFill>
              </w:rPr>
              <w:t>调漆</w:t>
            </w:r>
            <w:r>
              <w:rPr>
                <w:rFonts w:ascii="宋体" w:hAnsi="宋体" w:cs="宋体"/>
                <w:sz w:val="24"/>
              </w:rPr>
              <w:t>产生的</w:t>
            </w:r>
            <w:r>
              <w:rPr>
                <w:rFonts w:hint="default" w:ascii="Times New Roman" w:hAnsi="Times New Roman" w:cs="Times New Roman"/>
                <w:sz w:val="24"/>
                <w:lang w:val="en-US" w:eastAsia="zh-CN"/>
              </w:rPr>
              <w:t>G</w:t>
            </w:r>
            <w:r>
              <w:rPr>
                <w:rFonts w:hint="eastAsia" w:ascii="Times New Roman" w:hAnsi="Times New Roman" w:cs="Times New Roman"/>
                <w:sz w:val="24"/>
                <w:lang w:val="en-US" w:eastAsia="zh-CN"/>
              </w:rPr>
              <w:t>5</w:t>
            </w:r>
            <w:r>
              <w:rPr>
                <w:rFonts w:hint="default" w:ascii="Times New Roman" w:hAnsi="Times New Roman" w:cs="Times New Roman"/>
                <w:sz w:val="24"/>
              </w:rPr>
              <w:t>非甲烷总烃</w:t>
            </w:r>
            <w:r>
              <w:rPr>
                <w:rFonts w:hint="eastAsia" w:ascii="Times New Roman" w:hAnsi="Times New Roman" w:eastAsia="宋体" w:cs="Times New Roman"/>
                <w:sz w:val="24"/>
                <w:lang w:val="en-US" w:eastAsia="zh-CN"/>
              </w:rPr>
              <w:t>和</w:t>
            </w:r>
            <w:r>
              <w:rPr>
                <w:rFonts w:hint="eastAsia" w:ascii="Times New Roman" w:hAnsi="Times New Roman" w:eastAsia="宋体" w:cs="Times New Roman"/>
                <w:sz w:val="24"/>
              </w:rPr>
              <w:t>二甲苯</w:t>
            </w:r>
            <w:r>
              <w:rPr>
                <w:rFonts w:hint="eastAsia" w:ascii="Times New Roman" w:hAnsi="Times New Roman" w:eastAsia="宋体" w:cs="Times New Roman"/>
                <w:sz w:val="24"/>
                <w:lang w:eastAsia="zh-CN"/>
              </w:rPr>
              <w:t>；</w:t>
            </w:r>
            <w:r>
              <w:rPr>
                <w:rFonts w:ascii="宋体" w:hAnsi="宋体" w:cs="宋体"/>
                <w:sz w:val="24"/>
              </w:rPr>
              <w:t>喷漆产生的</w:t>
            </w:r>
            <w:r>
              <w:rPr>
                <w:rFonts w:hint="default" w:ascii="Times New Roman" w:hAnsi="Times New Roman" w:cs="Times New Roman"/>
                <w:sz w:val="24"/>
                <w:lang w:val="en-US" w:eastAsia="zh-CN"/>
              </w:rPr>
              <w:t>G</w:t>
            </w:r>
            <w:r>
              <w:rPr>
                <w:rFonts w:hint="eastAsia" w:ascii="Times New Roman" w:hAnsi="Times New Roman" w:cs="Times New Roman"/>
                <w:sz w:val="24"/>
                <w:lang w:val="en-US" w:eastAsia="zh-CN"/>
              </w:rPr>
              <w:t>6</w:t>
            </w:r>
            <w:r>
              <w:rPr>
                <w:rFonts w:hint="eastAsia" w:ascii="宋体" w:hAnsi="宋体" w:cs="宋体"/>
                <w:color w:val="000000" w:themeColor="text1"/>
                <w:sz w:val="24"/>
                <w14:textFill>
                  <w14:solidFill>
                    <w14:schemeClr w14:val="tx1"/>
                  </w14:solidFill>
                </w14:textFill>
              </w:rPr>
              <w:t>漆雾</w:t>
            </w:r>
            <w:r>
              <w:rPr>
                <w:rFonts w:hint="eastAsia" w:ascii="宋体" w:hAnsi="宋体" w:cs="宋体"/>
                <w:color w:val="000000" w:themeColor="text1"/>
                <w:sz w:val="24"/>
                <w:lang w:eastAsia="zh-CN"/>
                <w14:textFill>
                  <w14:solidFill>
                    <w14:schemeClr w14:val="tx1"/>
                  </w14:solidFill>
                </w14:textFill>
              </w:rPr>
              <w:t>、</w:t>
            </w:r>
            <w:r>
              <w:rPr>
                <w:rFonts w:hint="default" w:ascii="Times New Roman" w:hAnsi="Times New Roman" w:cs="Times New Roman"/>
                <w:sz w:val="24"/>
              </w:rPr>
              <w:t>非甲烷总烃</w:t>
            </w:r>
            <w:r>
              <w:rPr>
                <w:rFonts w:hint="eastAsia" w:ascii="Times New Roman" w:hAnsi="Times New Roman" w:eastAsia="宋体" w:cs="Times New Roman"/>
                <w:sz w:val="24"/>
                <w:lang w:val="en-US" w:eastAsia="zh-CN"/>
              </w:rPr>
              <w:t>和</w:t>
            </w:r>
            <w:r>
              <w:rPr>
                <w:rFonts w:hint="eastAsia" w:ascii="Times New Roman" w:hAnsi="Times New Roman" w:eastAsia="宋体" w:cs="Times New Roman"/>
                <w:sz w:val="24"/>
              </w:rPr>
              <w:t>二甲苯</w:t>
            </w:r>
            <w:r>
              <w:rPr>
                <w:sz w:val="24"/>
              </w:rPr>
              <w:t>；</w:t>
            </w:r>
            <w:r>
              <w:rPr>
                <w:rFonts w:ascii="宋体" w:hAnsi="宋体" w:cs="宋体"/>
                <w:sz w:val="24"/>
              </w:rPr>
              <w:t>封边产生的</w:t>
            </w:r>
            <w:r>
              <w:rPr>
                <w:rFonts w:hint="default" w:ascii="Times New Roman" w:hAnsi="Times New Roman" w:cs="Times New Roman"/>
                <w:sz w:val="24"/>
              </w:rPr>
              <w:t>非甲烷总烃</w:t>
            </w:r>
            <w:r>
              <w:rPr>
                <w:rFonts w:hint="default" w:ascii="Times New Roman" w:hAnsi="Times New Roman" w:cs="Times New Roman"/>
                <w:sz w:val="24"/>
                <w:lang w:val="en-US" w:eastAsia="zh-CN"/>
              </w:rPr>
              <w:t>G3</w:t>
            </w:r>
          </w:p>
          <w:p>
            <w:pPr>
              <w:numPr>
                <w:ilvl w:val="0"/>
                <w:numId w:val="5"/>
              </w:numPr>
              <w:spacing w:line="360" w:lineRule="auto"/>
              <w:ind w:firstLine="480" w:firstLineChars="200"/>
              <w:rPr>
                <w:sz w:val="24"/>
              </w:rPr>
            </w:pPr>
            <w:r>
              <w:rPr>
                <w:sz w:val="24"/>
              </w:rPr>
              <w:t>废水：生活污水；</w:t>
            </w:r>
          </w:p>
          <w:p>
            <w:pPr>
              <w:numPr>
                <w:ilvl w:val="0"/>
                <w:numId w:val="5"/>
              </w:numPr>
              <w:spacing w:line="360" w:lineRule="auto"/>
              <w:ind w:firstLine="480" w:firstLineChars="200"/>
              <w:rPr>
                <w:sz w:val="24"/>
              </w:rPr>
            </w:pPr>
            <w:r>
              <w:rPr>
                <w:sz w:val="24"/>
              </w:rPr>
              <w:t>噪声：设备运转噪声；</w:t>
            </w:r>
          </w:p>
          <w:p>
            <w:pPr>
              <w:numPr>
                <w:ilvl w:val="0"/>
                <w:numId w:val="5"/>
              </w:numPr>
              <w:spacing w:line="360" w:lineRule="auto"/>
              <w:ind w:firstLine="480" w:firstLineChars="200"/>
              <w:rPr>
                <w:sz w:val="24"/>
                <w:szCs w:val="24"/>
              </w:rPr>
            </w:pPr>
            <w:r>
              <w:rPr>
                <w:sz w:val="24"/>
              </w:rPr>
              <w:t>固废：生活垃圾、</w:t>
            </w:r>
            <w:r>
              <w:rPr>
                <w:rFonts w:hint="eastAsia"/>
                <w:sz w:val="24"/>
              </w:rPr>
              <w:t>废边角料</w:t>
            </w:r>
            <w:r>
              <w:rPr>
                <w:rFonts w:hint="default" w:ascii="Times New Roman" w:hAnsi="Times New Roman" w:cs="Times New Roman"/>
                <w:color w:val="323232"/>
                <w:sz w:val="24"/>
                <w:lang w:val="en-US" w:eastAsia="zh-CN"/>
              </w:rPr>
              <w:t>S1</w:t>
            </w:r>
            <w:r>
              <w:rPr>
                <w:rFonts w:hint="eastAsia" w:ascii="Times New Roman" w:hAnsi="Times New Roman" w:cs="Times New Roman"/>
                <w:color w:val="323232"/>
                <w:sz w:val="24"/>
                <w:lang w:val="en-US" w:eastAsia="zh-CN"/>
              </w:rPr>
              <w:t>、</w:t>
            </w:r>
            <w:r>
              <w:rPr>
                <w:rFonts w:hint="default" w:ascii="Times New Roman" w:hAnsi="Times New Roman" w:cs="Times New Roman"/>
                <w:color w:val="323232"/>
                <w:sz w:val="24"/>
                <w:lang w:val="en-US" w:eastAsia="zh-CN"/>
              </w:rPr>
              <w:t>S</w:t>
            </w:r>
            <w:r>
              <w:rPr>
                <w:rFonts w:hint="eastAsia" w:ascii="Times New Roman" w:hAnsi="Times New Roman" w:cs="Times New Roman"/>
                <w:color w:val="323232"/>
                <w:sz w:val="24"/>
                <w:lang w:val="en-US" w:eastAsia="zh-CN"/>
              </w:rPr>
              <w:t>2、</w:t>
            </w:r>
            <w:r>
              <w:rPr>
                <w:rFonts w:hint="default" w:ascii="Times New Roman" w:hAnsi="Times New Roman" w:cs="Times New Roman"/>
                <w:color w:val="323232"/>
                <w:sz w:val="24"/>
                <w:lang w:val="en-US" w:eastAsia="zh-CN"/>
              </w:rPr>
              <w:t>S</w:t>
            </w:r>
            <w:r>
              <w:rPr>
                <w:rFonts w:hint="eastAsia" w:ascii="Times New Roman" w:hAnsi="Times New Roman" w:cs="Times New Roman"/>
                <w:color w:val="323232"/>
                <w:sz w:val="24"/>
                <w:lang w:val="en-US" w:eastAsia="zh-CN"/>
              </w:rPr>
              <w:t>3、</w:t>
            </w:r>
            <w:r>
              <w:rPr>
                <w:rFonts w:hint="default" w:ascii="Times New Roman" w:hAnsi="Times New Roman" w:cs="Times New Roman"/>
                <w:color w:val="323232"/>
                <w:sz w:val="24"/>
                <w:lang w:val="en-US" w:eastAsia="zh-CN"/>
              </w:rPr>
              <w:t>S</w:t>
            </w:r>
            <w:r>
              <w:rPr>
                <w:rFonts w:hint="eastAsia" w:ascii="Times New Roman" w:hAnsi="Times New Roman" w:cs="Times New Roman"/>
                <w:color w:val="323232"/>
                <w:sz w:val="24"/>
                <w:lang w:val="en-US" w:eastAsia="zh-CN"/>
              </w:rPr>
              <w:t>4</w:t>
            </w:r>
            <w:r>
              <w:rPr>
                <w:rFonts w:hint="eastAsia" w:cs="Times New Roman"/>
                <w:color w:val="323232"/>
                <w:sz w:val="24"/>
                <w:lang w:val="en-US" w:eastAsia="zh-CN"/>
              </w:rPr>
              <w:t>、S6</w:t>
            </w:r>
            <w:r>
              <w:rPr>
                <w:rFonts w:hint="eastAsia"/>
                <w:sz w:val="24"/>
              </w:rPr>
              <w:t>、</w:t>
            </w:r>
            <w:r>
              <w:rPr>
                <w:rFonts w:hint="eastAsia" w:ascii="宋体" w:hAnsi="宋体" w:cs="宋体"/>
                <w:color w:val="323232"/>
                <w:sz w:val="24"/>
              </w:rPr>
              <w:t>废</w:t>
            </w:r>
            <w:r>
              <w:rPr>
                <w:rFonts w:ascii="宋体" w:hAnsi="宋体" w:eastAsia="宋体" w:cs="宋体"/>
                <w:sz w:val="24"/>
                <w:szCs w:val="24"/>
              </w:rPr>
              <w:t>钢筋边角料</w:t>
            </w:r>
            <w:r>
              <w:rPr>
                <w:rFonts w:hint="default" w:ascii="Times New Roman" w:hAnsi="Times New Roman" w:cs="Times New Roman"/>
                <w:color w:val="323232"/>
                <w:sz w:val="24"/>
                <w:lang w:val="en-US" w:eastAsia="zh-CN"/>
              </w:rPr>
              <w:t>S</w:t>
            </w:r>
            <w:r>
              <w:rPr>
                <w:rFonts w:hint="eastAsia" w:ascii="Times New Roman" w:hAnsi="Times New Roman" w:cs="Times New Roman"/>
                <w:color w:val="323232"/>
                <w:sz w:val="24"/>
                <w:lang w:val="en-US" w:eastAsia="zh-CN"/>
              </w:rPr>
              <w:t>5、</w:t>
            </w:r>
            <w:r>
              <w:rPr>
                <w:sz w:val="24"/>
              </w:rPr>
              <w:t>除尘器收集粉尘</w:t>
            </w:r>
            <w:r>
              <w:rPr>
                <w:rFonts w:hint="eastAsia"/>
                <w:sz w:val="24"/>
              </w:rPr>
              <w:t>、废过滤棉、废活性炭、废</w:t>
            </w:r>
            <w:r>
              <w:rPr>
                <w:rFonts w:hint="eastAsia"/>
                <w:sz w:val="24"/>
                <w:szCs w:val="24"/>
              </w:rPr>
              <w:t>包装桶、</w:t>
            </w:r>
            <w:r>
              <w:rPr>
                <w:rFonts w:ascii="宋体" w:hAnsi="宋体" w:cs="宋体"/>
                <w:sz w:val="24"/>
                <w:szCs w:val="24"/>
              </w:rPr>
              <w:t>漆渣</w:t>
            </w:r>
            <w:r>
              <w:rPr>
                <w:rFonts w:hint="default" w:ascii="Times New Roman" w:hAnsi="Times New Roman" w:cs="Times New Roman"/>
                <w:color w:val="323232"/>
                <w:sz w:val="24"/>
                <w:szCs w:val="24"/>
                <w:lang w:val="en-US" w:eastAsia="zh-CN"/>
              </w:rPr>
              <w:t>S</w:t>
            </w:r>
            <w:r>
              <w:rPr>
                <w:rFonts w:hint="eastAsia" w:cs="Times New Roman"/>
                <w:color w:val="323232"/>
                <w:sz w:val="24"/>
                <w:szCs w:val="24"/>
                <w:lang w:val="en-US" w:eastAsia="zh-CN"/>
              </w:rPr>
              <w:t>7</w:t>
            </w:r>
            <w:r>
              <w:rPr>
                <w:sz w:val="24"/>
                <w:szCs w:val="24"/>
              </w:rPr>
              <w:t>。</w:t>
            </w:r>
          </w:p>
          <w:p>
            <w:pPr>
              <w:spacing w:line="360" w:lineRule="auto"/>
              <w:jc w:val="center"/>
              <w:rPr>
                <w:b/>
                <w:bCs/>
                <w:sz w:val="24"/>
              </w:rPr>
            </w:pPr>
            <w:r>
              <w:rPr>
                <w:b/>
                <w:bCs/>
                <w:sz w:val="24"/>
              </w:rPr>
              <w:t>表2-</w:t>
            </w:r>
            <w:r>
              <w:rPr>
                <w:rFonts w:hint="eastAsia"/>
                <w:b/>
                <w:bCs/>
                <w:sz w:val="24"/>
                <w:lang w:val="en-US" w:eastAsia="zh-CN"/>
              </w:rPr>
              <w:t>10</w:t>
            </w:r>
            <w:r>
              <w:rPr>
                <w:b/>
                <w:bCs/>
                <w:sz w:val="24"/>
              </w:rPr>
              <w:t xml:space="preserve">  产污环节一览表</w:t>
            </w:r>
          </w:p>
          <w:tbl>
            <w:tblPr>
              <w:tblStyle w:val="22"/>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324"/>
              <w:gridCol w:w="1324"/>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jc w:val="center"/>
                    <w:rPr>
                      <w:bCs/>
                      <w:szCs w:val="21"/>
                    </w:rPr>
                  </w:pPr>
                  <w:r>
                    <w:rPr>
                      <w:b/>
                      <w:bCs/>
                      <w:szCs w:val="21"/>
                    </w:rPr>
                    <w:t>污染物类型</w:t>
                  </w:r>
                </w:p>
              </w:tc>
              <w:tc>
                <w:tcPr>
                  <w:tcW w:w="1324" w:type="dxa"/>
                  <w:vAlign w:val="center"/>
                </w:tcPr>
                <w:p>
                  <w:pPr>
                    <w:jc w:val="center"/>
                    <w:rPr>
                      <w:b/>
                      <w:bCs/>
                      <w:szCs w:val="21"/>
                    </w:rPr>
                  </w:pPr>
                  <w:r>
                    <w:rPr>
                      <w:rFonts w:ascii="宋体" w:hAnsi="宋体" w:cs="宋体"/>
                      <w:b/>
                      <w:bCs/>
                      <w:szCs w:val="21"/>
                    </w:rPr>
                    <w:t>污染物</w:t>
                  </w:r>
                  <w:r>
                    <w:rPr>
                      <w:rFonts w:hint="eastAsia" w:ascii="宋体" w:hAnsi="宋体" w:cs="宋体"/>
                      <w:b/>
                      <w:bCs/>
                      <w:szCs w:val="21"/>
                    </w:rPr>
                    <w:t>来源</w:t>
                  </w:r>
                </w:p>
              </w:tc>
              <w:tc>
                <w:tcPr>
                  <w:tcW w:w="1324" w:type="dxa"/>
                  <w:vAlign w:val="center"/>
                </w:tcPr>
                <w:p>
                  <w:pPr>
                    <w:jc w:val="center"/>
                    <w:rPr>
                      <w:bCs/>
                      <w:szCs w:val="21"/>
                    </w:rPr>
                  </w:pPr>
                  <w:r>
                    <w:rPr>
                      <w:b/>
                      <w:bCs/>
                      <w:szCs w:val="21"/>
                    </w:rPr>
                    <w:t>产污环节</w:t>
                  </w:r>
                </w:p>
              </w:tc>
              <w:tc>
                <w:tcPr>
                  <w:tcW w:w="1324" w:type="dxa"/>
                  <w:vAlign w:val="center"/>
                </w:tcPr>
                <w:p>
                  <w:pPr>
                    <w:jc w:val="center"/>
                    <w:rPr>
                      <w:b/>
                      <w:bCs/>
                      <w:szCs w:val="21"/>
                    </w:rPr>
                  </w:pPr>
                  <w:r>
                    <w:rPr>
                      <w:b/>
                      <w:bCs/>
                      <w:szCs w:val="21"/>
                    </w:rPr>
                    <w:t>污染因子</w:t>
                  </w:r>
                </w:p>
              </w:tc>
              <w:tc>
                <w:tcPr>
                  <w:tcW w:w="1324" w:type="dxa"/>
                  <w:vAlign w:val="center"/>
                </w:tcPr>
                <w:p>
                  <w:pPr>
                    <w:jc w:val="center"/>
                    <w:rPr>
                      <w:bCs/>
                      <w:szCs w:val="21"/>
                    </w:rPr>
                  </w:pPr>
                  <w:r>
                    <w:rPr>
                      <w:rFonts w:ascii="宋体" w:hAnsi="宋体" w:cs="宋体"/>
                      <w:b/>
                      <w:bCs/>
                      <w:szCs w:val="21"/>
                    </w:rPr>
                    <w:t>处理措施</w:t>
                  </w:r>
                </w:p>
              </w:tc>
              <w:tc>
                <w:tcPr>
                  <w:tcW w:w="1325" w:type="dxa"/>
                  <w:vAlign w:val="center"/>
                </w:tcPr>
                <w:p>
                  <w:pPr>
                    <w:jc w:val="center"/>
                    <w:rPr>
                      <w:b/>
                      <w:bCs/>
                      <w:szCs w:val="21"/>
                    </w:rPr>
                  </w:pPr>
                  <w:r>
                    <w:rPr>
                      <w:rFonts w:ascii="宋体" w:hAnsi="宋体" w:cs="宋体"/>
                      <w:b/>
                      <w:bCs/>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324" w:type="dxa"/>
                  <w:vMerge w:val="restart"/>
                  <w:vAlign w:val="center"/>
                </w:tcPr>
                <w:p>
                  <w:pPr>
                    <w:jc w:val="center"/>
                    <w:rPr>
                      <w:bCs/>
                      <w:szCs w:val="21"/>
                    </w:rPr>
                  </w:pPr>
                  <w:r>
                    <w:rPr>
                      <w:szCs w:val="21"/>
                    </w:rPr>
                    <w:t>废气</w:t>
                  </w:r>
                </w:p>
              </w:tc>
              <w:tc>
                <w:tcPr>
                  <w:tcW w:w="1324" w:type="dxa"/>
                  <w:vAlign w:val="center"/>
                </w:tcPr>
                <w:p>
                  <w:pPr>
                    <w:jc w:val="center"/>
                    <w:rPr>
                      <w:szCs w:val="21"/>
                    </w:rPr>
                  </w:pPr>
                  <w:r>
                    <w:rPr>
                      <w:rFonts w:hint="eastAsia"/>
                      <w:szCs w:val="21"/>
                      <w:lang w:val="en-US" w:eastAsia="zh-CN"/>
                    </w:rPr>
                    <w:t>大型台锯</w:t>
                  </w:r>
                  <w:r>
                    <w:rPr>
                      <w:rFonts w:hint="eastAsia"/>
                      <w:szCs w:val="21"/>
                    </w:rPr>
                    <w:t>、</w:t>
                  </w:r>
                  <w:r>
                    <w:rPr>
                      <w:szCs w:val="21"/>
                    </w:rPr>
                    <w:t>轴雕刻机</w:t>
                  </w:r>
                  <w:r>
                    <w:rPr>
                      <w:rFonts w:hint="eastAsia"/>
                      <w:szCs w:val="21"/>
                    </w:rPr>
                    <w:t>、</w:t>
                  </w:r>
                  <w:r>
                    <w:rPr>
                      <w:szCs w:val="21"/>
                    </w:rPr>
                    <w:t>修边机</w:t>
                  </w:r>
                </w:p>
              </w:tc>
              <w:tc>
                <w:tcPr>
                  <w:tcW w:w="1324" w:type="dxa"/>
                  <w:vAlign w:val="center"/>
                </w:tcPr>
                <w:p>
                  <w:pPr>
                    <w:jc w:val="center"/>
                    <w:rPr>
                      <w:szCs w:val="21"/>
                    </w:rPr>
                  </w:pPr>
                  <w:r>
                    <w:rPr>
                      <w:szCs w:val="21"/>
                    </w:rPr>
                    <w:t>下料、雕刻、修边、打磨</w:t>
                  </w:r>
                </w:p>
              </w:tc>
              <w:tc>
                <w:tcPr>
                  <w:tcW w:w="1324" w:type="dxa"/>
                  <w:vAlign w:val="center"/>
                </w:tcPr>
                <w:p>
                  <w:pPr>
                    <w:jc w:val="center"/>
                    <w:rPr>
                      <w:szCs w:val="21"/>
                    </w:rPr>
                  </w:pPr>
                  <w:r>
                    <w:rPr>
                      <w:szCs w:val="21"/>
                    </w:rPr>
                    <w:t>粉尘</w:t>
                  </w:r>
                </w:p>
              </w:tc>
              <w:tc>
                <w:tcPr>
                  <w:tcW w:w="1324" w:type="dxa"/>
                  <w:vAlign w:val="center"/>
                </w:tcPr>
                <w:p>
                  <w:pPr>
                    <w:jc w:val="center"/>
                    <w:rPr>
                      <w:bCs/>
                      <w:szCs w:val="21"/>
                    </w:rPr>
                  </w:pPr>
                  <w:r>
                    <w:rPr>
                      <w:szCs w:val="21"/>
                    </w:rPr>
                    <w:t>布袋除尘器+15米高排气筒</w:t>
                  </w:r>
                </w:p>
              </w:tc>
              <w:tc>
                <w:tcPr>
                  <w:tcW w:w="1325" w:type="dxa"/>
                  <w:vAlign w:val="center"/>
                </w:tcPr>
                <w:p>
                  <w:pPr>
                    <w:jc w:val="center"/>
                    <w:rPr>
                      <w:szCs w:val="21"/>
                    </w:rPr>
                  </w:pPr>
                  <w:r>
                    <w:rPr>
                      <w:rFonts w:hint="eastAsia" w:cs="Times New Roman"/>
                      <w:sz w:val="21"/>
                      <w:szCs w:val="21"/>
                      <w:lang w:val="en-US" w:eastAsia="zh-CN"/>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324" w:type="dxa"/>
                  <w:vMerge w:val="continue"/>
                  <w:vAlign w:val="center"/>
                </w:tcPr>
                <w:p>
                  <w:pPr>
                    <w:jc w:val="center"/>
                    <w:rPr>
                      <w:szCs w:val="21"/>
                    </w:rPr>
                  </w:pPr>
                </w:p>
              </w:tc>
              <w:tc>
                <w:tcPr>
                  <w:tcW w:w="1324" w:type="dxa"/>
                  <w:vMerge w:val="restart"/>
                  <w:vAlign w:val="center"/>
                </w:tcPr>
                <w:p>
                  <w:pPr>
                    <w:jc w:val="center"/>
                    <w:rPr>
                      <w:rFonts w:hint="eastAsia" w:ascii="宋体" w:hAnsi="宋体" w:eastAsia="宋体" w:cs="宋体"/>
                      <w:szCs w:val="21"/>
                      <w:lang w:val="en-US" w:eastAsia="zh-CN"/>
                    </w:rPr>
                  </w:pPr>
                  <w:r>
                    <w:rPr>
                      <w:rFonts w:ascii="宋体" w:hAnsi="宋体" w:cs="宋体"/>
                      <w:szCs w:val="21"/>
                    </w:rPr>
                    <w:t>喷漆</w:t>
                  </w:r>
                  <w:r>
                    <w:rPr>
                      <w:rFonts w:hint="eastAsia" w:ascii="宋体" w:hAnsi="宋体" w:cs="宋体"/>
                      <w:szCs w:val="21"/>
                    </w:rPr>
                    <w:t>房</w:t>
                  </w:r>
                  <w:r>
                    <w:rPr>
                      <w:rFonts w:hint="eastAsia" w:ascii="宋体" w:hAnsi="宋体" w:cs="宋体"/>
                      <w:szCs w:val="21"/>
                      <w:lang w:eastAsia="zh-CN"/>
                    </w:rPr>
                    <w:t>、</w:t>
                  </w:r>
                  <w:r>
                    <w:rPr>
                      <w:rFonts w:ascii="宋体" w:hAnsi="宋体" w:cs="宋体"/>
                      <w:szCs w:val="21"/>
                    </w:rPr>
                    <w:t>封边</w:t>
                  </w:r>
                  <w:r>
                    <w:rPr>
                      <w:rFonts w:hint="eastAsia" w:ascii="宋体" w:hAnsi="宋体" w:cs="宋体"/>
                      <w:szCs w:val="21"/>
                      <w:lang w:val="en-US" w:eastAsia="zh-CN"/>
                    </w:rPr>
                    <w:t>机</w:t>
                  </w:r>
                </w:p>
              </w:tc>
              <w:tc>
                <w:tcPr>
                  <w:tcW w:w="1324" w:type="dxa"/>
                  <w:vMerge w:val="restart"/>
                  <w:vAlign w:val="center"/>
                </w:tcPr>
                <w:p>
                  <w:pPr>
                    <w:jc w:val="center"/>
                    <w:rPr>
                      <w:rFonts w:ascii="宋体" w:hAnsi="宋体" w:cs="宋体"/>
                      <w:szCs w:val="21"/>
                    </w:rPr>
                  </w:pPr>
                  <w:r>
                    <w:rPr>
                      <w:rFonts w:ascii="宋体" w:hAnsi="宋体" w:cs="宋体"/>
                      <w:szCs w:val="21"/>
                    </w:rPr>
                    <w:t>喷漆</w:t>
                  </w:r>
                  <w:r>
                    <w:rPr>
                      <w:rFonts w:hint="eastAsia" w:ascii="宋体" w:hAnsi="宋体" w:cs="宋体"/>
                      <w:szCs w:val="21"/>
                      <w:lang w:eastAsia="zh-CN"/>
                    </w:rPr>
                    <w:t>、</w:t>
                  </w:r>
                  <w:r>
                    <w:rPr>
                      <w:rFonts w:ascii="宋体" w:hAnsi="宋体" w:cs="宋体"/>
                      <w:szCs w:val="21"/>
                    </w:rPr>
                    <w:t>封边</w:t>
                  </w:r>
                </w:p>
              </w:tc>
              <w:tc>
                <w:tcPr>
                  <w:tcW w:w="1324" w:type="dxa"/>
                  <w:vAlign w:val="center"/>
                </w:tcPr>
                <w:p>
                  <w:pPr>
                    <w:jc w:val="center"/>
                    <w:rPr>
                      <w:szCs w:val="21"/>
                    </w:rPr>
                  </w:pPr>
                  <w:r>
                    <w:rPr>
                      <w:rFonts w:ascii="宋体" w:hAnsi="宋体" w:cs="宋体"/>
                      <w:szCs w:val="21"/>
                    </w:rPr>
                    <w:t>非甲烷总烃</w:t>
                  </w:r>
                </w:p>
              </w:tc>
              <w:tc>
                <w:tcPr>
                  <w:tcW w:w="1324" w:type="dxa"/>
                  <w:vMerge w:val="restart"/>
                  <w:vAlign w:val="center"/>
                </w:tcPr>
                <w:p>
                  <w:pPr>
                    <w:jc w:val="center"/>
                    <w:rPr>
                      <w:bCs/>
                      <w:szCs w:val="21"/>
                    </w:rPr>
                  </w:pPr>
                  <w:r>
                    <w:rPr>
                      <w:szCs w:val="21"/>
                    </w:rPr>
                    <w:t>集气罩+</w:t>
                  </w:r>
                  <w:r>
                    <w:rPr>
                      <w:rFonts w:hint="eastAsia"/>
                      <w:szCs w:val="21"/>
                    </w:rPr>
                    <w:t>过滤棉</w:t>
                  </w:r>
                  <w:r>
                    <w:rPr>
                      <w:rFonts w:eastAsia="Times New Roman"/>
                      <w:szCs w:val="21"/>
                    </w:rPr>
                    <w:t>+</w:t>
                  </w:r>
                  <w:r>
                    <w:rPr>
                      <w:rFonts w:hint="eastAsia"/>
                      <w:szCs w:val="21"/>
                    </w:rPr>
                    <w:t>二</w:t>
                  </w:r>
                  <w:r>
                    <w:rPr>
                      <w:szCs w:val="21"/>
                    </w:rPr>
                    <w:t>活性炭吸附</w:t>
                  </w:r>
                </w:p>
              </w:tc>
              <w:tc>
                <w:tcPr>
                  <w:tcW w:w="1325" w:type="dxa"/>
                  <w:vMerge w:val="restart"/>
                  <w:vAlign w:val="center"/>
                </w:tcPr>
                <w:p>
                  <w:pPr>
                    <w:jc w:val="center"/>
                    <w:rPr>
                      <w:rFonts w:hint="default"/>
                      <w:szCs w:val="21"/>
                      <w:lang w:val="en-US"/>
                    </w:rPr>
                  </w:pPr>
                  <w:r>
                    <w:rPr>
                      <w:rFonts w:hint="eastAsia" w:cs="Times New Roman"/>
                      <w:sz w:val="21"/>
                      <w:szCs w:val="21"/>
                      <w:lang w:val="en-US" w:eastAsia="zh-CN"/>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324" w:type="dxa"/>
                  <w:vMerge w:val="continue"/>
                  <w:vAlign w:val="center"/>
                </w:tcPr>
                <w:p>
                  <w:pPr>
                    <w:jc w:val="center"/>
                    <w:rPr>
                      <w:szCs w:val="21"/>
                    </w:rPr>
                  </w:pPr>
                </w:p>
              </w:tc>
              <w:tc>
                <w:tcPr>
                  <w:tcW w:w="1324" w:type="dxa"/>
                  <w:vMerge w:val="continue"/>
                  <w:vAlign w:val="center"/>
                </w:tcPr>
                <w:p>
                  <w:pPr>
                    <w:jc w:val="center"/>
                    <w:rPr>
                      <w:rFonts w:ascii="宋体" w:hAnsi="宋体" w:cs="宋体"/>
                      <w:szCs w:val="21"/>
                    </w:rPr>
                  </w:pPr>
                </w:p>
              </w:tc>
              <w:tc>
                <w:tcPr>
                  <w:tcW w:w="1324" w:type="dxa"/>
                  <w:vMerge w:val="continue"/>
                  <w:vAlign w:val="center"/>
                </w:tcPr>
                <w:p>
                  <w:pPr>
                    <w:jc w:val="center"/>
                    <w:rPr>
                      <w:rFonts w:ascii="宋体" w:hAnsi="宋体" w:cs="宋体"/>
                      <w:szCs w:val="21"/>
                    </w:rPr>
                  </w:pPr>
                </w:p>
              </w:tc>
              <w:tc>
                <w:tcPr>
                  <w:tcW w:w="1324" w:type="dxa"/>
                  <w:vAlign w:val="center"/>
                </w:tcPr>
                <w:p>
                  <w:pPr>
                    <w:jc w:val="center"/>
                    <w:rPr>
                      <w:rFonts w:ascii="宋体" w:hAnsi="宋体" w:cs="宋体"/>
                      <w:szCs w:val="21"/>
                    </w:rPr>
                  </w:pPr>
                  <w:r>
                    <w:rPr>
                      <w:rFonts w:ascii="宋体" w:hAnsi="宋体" w:cs="宋体"/>
                      <w:szCs w:val="21"/>
                    </w:rPr>
                    <w:t>颗粒物</w:t>
                  </w:r>
                </w:p>
              </w:tc>
              <w:tc>
                <w:tcPr>
                  <w:tcW w:w="1324" w:type="dxa"/>
                  <w:vMerge w:val="continue"/>
                  <w:vAlign w:val="center"/>
                </w:tcPr>
                <w:p>
                  <w:pPr>
                    <w:jc w:val="center"/>
                    <w:rPr>
                      <w:szCs w:val="21"/>
                    </w:rPr>
                  </w:pPr>
                </w:p>
              </w:tc>
              <w:tc>
                <w:tcPr>
                  <w:tcW w:w="132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324" w:type="dxa"/>
                  <w:vMerge w:val="continue"/>
                  <w:vAlign w:val="center"/>
                </w:tcPr>
                <w:p>
                  <w:pPr>
                    <w:jc w:val="center"/>
                    <w:rPr>
                      <w:szCs w:val="21"/>
                    </w:rPr>
                  </w:pPr>
                </w:p>
              </w:tc>
              <w:tc>
                <w:tcPr>
                  <w:tcW w:w="1324" w:type="dxa"/>
                  <w:vMerge w:val="continue"/>
                  <w:vAlign w:val="center"/>
                </w:tcPr>
                <w:p>
                  <w:pPr>
                    <w:jc w:val="center"/>
                    <w:rPr>
                      <w:rFonts w:ascii="宋体" w:hAnsi="宋体" w:cs="宋体"/>
                      <w:szCs w:val="21"/>
                    </w:rPr>
                  </w:pPr>
                </w:p>
              </w:tc>
              <w:tc>
                <w:tcPr>
                  <w:tcW w:w="1324" w:type="dxa"/>
                  <w:vMerge w:val="continue"/>
                  <w:vAlign w:val="center"/>
                </w:tcPr>
                <w:p>
                  <w:pPr>
                    <w:jc w:val="center"/>
                    <w:rPr>
                      <w:rFonts w:ascii="宋体" w:hAnsi="宋体" w:cs="宋体"/>
                      <w:szCs w:val="21"/>
                    </w:rPr>
                  </w:pPr>
                </w:p>
              </w:tc>
              <w:tc>
                <w:tcPr>
                  <w:tcW w:w="1324" w:type="dxa"/>
                  <w:vAlign w:val="center"/>
                </w:tcPr>
                <w:p>
                  <w:pPr>
                    <w:jc w:val="center"/>
                    <w:rPr>
                      <w:rFonts w:ascii="宋体" w:hAnsi="宋体" w:cs="宋体"/>
                      <w:szCs w:val="21"/>
                    </w:rPr>
                  </w:pPr>
                  <w:r>
                    <w:rPr>
                      <w:rFonts w:ascii="宋体" w:hAnsi="宋体" w:cs="宋体"/>
                      <w:szCs w:val="21"/>
                    </w:rPr>
                    <w:t>二甲苯</w:t>
                  </w:r>
                </w:p>
              </w:tc>
              <w:tc>
                <w:tcPr>
                  <w:tcW w:w="1324" w:type="dxa"/>
                  <w:vMerge w:val="continue"/>
                  <w:vAlign w:val="center"/>
                </w:tcPr>
                <w:p>
                  <w:pPr>
                    <w:jc w:val="center"/>
                    <w:rPr>
                      <w:szCs w:val="21"/>
                    </w:rPr>
                  </w:pPr>
                </w:p>
              </w:tc>
              <w:tc>
                <w:tcPr>
                  <w:tcW w:w="132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jc w:val="center"/>
                    <w:rPr>
                      <w:bCs/>
                      <w:szCs w:val="21"/>
                    </w:rPr>
                  </w:pPr>
                  <w:r>
                    <w:rPr>
                      <w:szCs w:val="21"/>
                    </w:rPr>
                    <w:t>废水</w:t>
                  </w:r>
                </w:p>
              </w:tc>
              <w:tc>
                <w:tcPr>
                  <w:tcW w:w="1324" w:type="dxa"/>
                  <w:vAlign w:val="center"/>
                </w:tcPr>
                <w:p>
                  <w:pPr>
                    <w:jc w:val="center"/>
                    <w:rPr>
                      <w:szCs w:val="21"/>
                    </w:rPr>
                  </w:pPr>
                  <w:r>
                    <w:rPr>
                      <w:rFonts w:ascii="宋体" w:hAnsi="宋体" w:cs="宋体"/>
                      <w:szCs w:val="21"/>
                    </w:rPr>
                    <w:t>/</w:t>
                  </w:r>
                </w:p>
              </w:tc>
              <w:tc>
                <w:tcPr>
                  <w:tcW w:w="1324" w:type="dxa"/>
                  <w:vAlign w:val="center"/>
                </w:tcPr>
                <w:p>
                  <w:pPr>
                    <w:jc w:val="center"/>
                    <w:rPr>
                      <w:bCs/>
                      <w:szCs w:val="21"/>
                    </w:rPr>
                  </w:pPr>
                  <w:r>
                    <w:rPr>
                      <w:szCs w:val="21"/>
                    </w:rPr>
                    <w:t>生活污水</w:t>
                  </w:r>
                </w:p>
              </w:tc>
              <w:tc>
                <w:tcPr>
                  <w:tcW w:w="1324" w:type="dxa"/>
                  <w:vAlign w:val="center"/>
                </w:tcPr>
                <w:p>
                  <w:pPr>
                    <w:jc w:val="center"/>
                    <w:rPr>
                      <w:szCs w:val="21"/>
                    </w:rPr>
                  </w:pPr>
                  <w:r>
                    <w:rPr>
                      <w:rFonts w:hint="eastAsia"/>
                      <w:szCs w:val="21"/>
                      <w:lang w:val="en-US" w:eastAsia="zh-CN"/>
                    </w:rPr>
                    <w:t>pH、</w:t>
                  </w:r>
                  <w:r>
                    <w:rPr>
                      <w:rFonts w:hint="eastAsia"/>
                      <w:szCs w:val="21"/>
                    </w:rPr>
                    <w:t>C</w:t>
                  </w:r>
                  <w:r>
                    <w:rPr>
                      <w:szCs w:val="21"/>
                    </w:rPr>
                    <w:t>OD、BOD</w:t>
                  </w:r>
                  <w:r>
                    <w:rPr>
                      <w:rFonts w:hint="eastAsia"/>
                      <w:szCs w:val="21"/>
                      <w:vertAlign w:val="subscript"/>
                      <w:lang w:val="en-US" w:eastAsia="zh-CN"/>
                    </w:rPr>
                    <w:t>5</w:t>
                  </w:r>
                  <w:r>
                    <w:rPr>
                      <w:szCs w:val="21"/>
                    </w:rPr>
                    <w:t>、SS、NH</w:t>
                  </w:r>
                  <w:r>
                    <w:rPr>
                      <w:szCs w:val="21"/>
                      <w:vertAlign w:val="subscript"/>
                    </w:rPr>
                    <w:t>3</w:t>
                  </w:r>
                  <w:r>
                    <w:rPr>
                      <w:szCs w:val="21"/>
                    </w:rPr>
                    <w:t>-N</w:t>
                  </w:r>
                </w:p>
              </w:tc>
              <w:tc>
                <w:tcPr>
                  <w:tcW w:w="1324" w:type="dxa"/>
                  <w:vAlign w:val="center"/>
                </w:tcPr>
                <w:p>
                  <w:pPr>
                    <w:jc w:val="center"/>
                    <w:rPr>
                      <w:bCs/>
                      <w:szCs w:val="21"/>
                    </w:rPr>
                  </w:pPr>
                  <w:r>
                    <w:rPr>
                      <w:szCs w:val="21"/>
                    </w:rPr>
                    <w:t>化粪池</w:t>
                  </w:r>
                </w:p>
              </w:tc>
              <w:tc>
                <w:tcPr>
                  <w:tcW w:w="1325" w:type="dxa"/>
                  <w:vAlign w:val="center"/>
                </w:tcPr>
                <w:p>
                  <w:pPr>
                    <w:jc w:val="center"/>
                    <w:rPr>
                      <w:szCs w:val="21"/>
                    </w:rPr>
                  </w:pPr>
                  <w:r>
                    <w:rPr>
                      <w:rFonts w:ascii="宋体" w:hAnsi="宋体" w:cs="宋体"/>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jc w:val="center"/>
                    <w:rPr>
                      <w:bCs/>
                      <w:szCs w:val="21"/>
                    </w:rPr>
                  </w:pPr>
                  <w:r>
                    <w:rPr>
                      <w:szCs w:val="21"/>
                    </w:rPr>
                    <w:t>噪声</w:t>
                  </w:r>
                </w:p>
              </w:tc>
              <w:tc>
                <w:tcPr>
                  <w:tcW w:w="1324" w:type="dxa"/>
                  <w:vAlign w:val="center"/>
                </w:tcPr>
                <w:p>
                  <w:pPr>
                    <w:jc w:val="center"/>
                    <w:rPr>
                      <w:szCs w:val="21"/>
                    </w:rPr>
                  </w:pPr>
                  <w:r>
                    <w:rPr>
                      <w:rFonts w:ascii="宋体" w:hAnsi="宋体" w:cs="宋体"/>
                      <w:szCs w:val="21"/>
                    </w:rPr>
                    <w:t>切割机</w:t>
                  </w:r>
                  <w:r>
                    <w:rPr>
                      <w:rFonts w:hint="eastAsia" w:ascii="宋体" w:hAnsi="宋体" w:cs="宋体"/>
                      <w:szCs w:val="21"/>
                    </w:rPr>
                    <w:t>、</w:t>
                  </w:r>
                  <w:r>
                    <w:rPr>
                      <w:rFonts w:ascii="宋体" w:hAnsi="宋体" w:cs="宋体"/>
                      <w:szCs w:val="21"/>
                    </w:rPr>
                    <w:t>轴雕刻机</w:t>
                  </w:r>
                  <w:r>
                    <w:rPr>
                      <w:rFonts w:hint="eastAsia" w:ascii="宋体" w:hAnsi="宋体" w:cs="宋体"/>
                      <w:szCs w:val="21"/>
                    </w:rPr>
                    <w:t>、</w:t>
                  </w:r>
                  <w:r>
                    <w:rPr>
                      <w:rFonts w:ascii="宋体" w:hAnsi="宋体" w:cs="宋体"/>
                      <w:szCs w:val="21"/>
                    </w:rPr>
                    <w:t>修边机</w:t>
                  </w:r>
                </w:p>
              </w:tc>
              <w:tc>
                <w:tcPr>
                  <w:tcW w:w="1324" w:type="dxa"/>
                  <w:vAlign w:val="center"/>
                </w:tcPr>
                <w:p>
                  <w:pPr>
                    <w:jc w:val="center"/>
                    <w:rPr>
                      <w:bCs/>
                      <w:szCs w:val="21"/>
                    </w:rPr>
                  </w:pPr>
                  <w:r>
                    <w:rPr>
                      <w:szCs w:val="21"/>
                    </w:rPr>
                    <w:t>设备运转</w:t>
                  </w:r>
                </w:p>
              </w:tc>
              <w:tc>
                <w:tcPr>
                  <w:tcW w:w="1324" w:type="dxa"/>
                  <w:vAlign w:val="center"/>
                </w:tcPr>
                <w:p>
                  <w:pPr>
                    <w:jc w:val="center"/>
                    <w:rPr>
                      <w:szCs w:val="21"/>
                    </w:rPr>
                  </w:pPr>
                  <w:r>
                    <w:rPr>
                      <w:szCs w:val="21"/>
                    </w:rPr>
                    <w:t>/</w:t>
                  </w:r>
                </w:p>
              </w:tc>
              <w:tc>
                <w:tcPr>
                  <w:tcW w:w="1324" w:type="dxa"/>
                  <w:vAlign w:val="center"/>
                </w:tcPr>
                <w:p>
                  <w:pPr>
                    <w:jc w:val="center"/>
                    <w:rPr>
                      <w:bCs/>
                      <w:szCs w:val="21"/>
                    </w:rPr>
                  </w:pPr>
                  <w:r>
                    <w:rPr>
                      <w:szCs w:val="21"/>
                    </w:rPr>
                    <w:t>选用低噪声设备，并安装减振垫</w:t>
                  </w:r>
                </w:p>
              </w:tc>
              <w:tc>
                <w:tcPr>
                  <w:tcW w:w="1325"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restart"/>
                  <w:vAlign w:val="center"/>
                </w:tcPr>
                <w:p>
                  <w:pPr>
                    <w:jc w:val="center"/>
                    <w:rPr>
                      <w:bCs/>
                      <w:szCs w:val="21"/>
                    </w:rPr>
                  </w:pPr>
                  <w:r>
                    <w:rPr>
                      <w:szCs w:val="21"/>
                    </w:rPr>
                    <w:t>固废</w:t>
                  </w:r>
                </w:p>
              </w:tc>
              <w:tc>
                <w:tcPr>
                  <w:tcW w:w="1324" w:type="dxa"/>
                  <w:vMerge w:val="restart"/>
                  <w:vAlign w:val="center"/>
                </w:tcPr>
                <w:p>
                  <w:pPr>
                    <w:jc w:val="center"/>
                    <w:rPr>
                      <w:szCs w:val="21"/>
                    </w:rPr>
                  </w:pPr>
                  <w:r>
                    <w:rPr>
                      <w:rFonts w:ascii="宋体" w:hAnsi="宋体" w:cs="宋体"/>
                      <w:szCs w:val="21"/>
                    </w:rPr>
                    <w:t>/</w:t>
                  </w:r>
                </w:p>
              </w:tc>
              <w:tc>
                <w:tcPr>
                  <w:tcW w:w="1324" w:type="dxa"/>
                  <w:vAlign w:val="center"/>
                </w:tcPr>
                <w:p>
                  <w:pPr>
                    <w:jc w:val="center"/>
                    <w:rPr>
                      <w:bCs/>
                      <w:szCs w:val="21"/>
                    </w:rPr>
                  </w:pPr>
                  <w:r>
                    <w:rPr>
                      <w:szCs w:val="21"/>
                    </w:rPr>
                    <w:t>日常生活</w:t>
                  </w:r>
                </w:p>
              </w:tc>
              <w:tc>
                <w:tcPr>
                  <w:tcW w:w="1324" w:type="dxa"/>
                  <w:vAlign w:val="center"/>
                </w:tcPr>
                <w:p>
                  <w:pPr>
                    <w:jc w:val="center"/>
                    <w:rPr>
                      <w:szCs w:val="21"/>
                    </w:rPr>
                  </w:pPr>
                  <w:r>
                    <w:rPr>
                      <w:szCs w:val="21"/>
                    </w:rPr>
                    <w:t>生活垃圾</w:t>
                  </w:r>
                </w:p>
              </w:tc>
              <w:tc>
                <w:tcPr>
                  <w:tcW w:w="1324" w:type="dxa"/>
                  <w:vAlign w:val="center"/>
                </w:tcPr>
                <w:p>
                  <w:pPr>
                    <w:jc w:val="center"/>
                    <w:rPr>
                      <w:bCs/>
                      <w:szCs w:val="21"/>
                    </w:rPr>
                  </w:pPr>
                  <w:r>
                    <w:rPr>
                      <w:rFonts w:ascii="宋体" w:hAnsi="宋体" w:cs="宋体"/>
                      <w:szCs w:val="21"/>
                    </w:rPr>
                    <w:t>设置垃圾桶定期清理</w:t>
                  </w:r>
                </w:p>
              </w:tc>
              <w:tc>
                <w:tcPr>
                  <w:tcW w:w="1325" w:type="dxa"/>
                  <w:vAlign w:val="center"/>
                </w:tcPr>
                <w:p>
                  <w:pPr>
                    <w:jc w:val="center"/>
                    <w:rPr>
                      <w:szCs w:val="21"/>
                    </w:rPr>
                  </w:pPr>
                  <w:r>
                    <w:rPr>
                      <w:rFonts w:ascii="宋体" w:hAnsi="宋体" w:cs="宋体"/>
                      <w:szCs w:val="21"/>
                    </w:rPr>
                    <w:t>交由环卫部门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vAlign w:val="center"/>
                </w:tcPr>
                <w:p>
                  <w:pPr>
                    <w:jc w:val="center"/>
                    <w:rPr>
                      <w:szCs w:val="21"/>
                    </w:rPr>
                  </w:pPr>
                </w:p>
              </w:tc>
              <w:tc>
                <w:tcPr>
                  <w:tcW w:w="1324" w:type="dxa"/>
                  <w:vMerge w:val="continue"/>
                  <w:vAlign w:val="center"/>
                </w:tcPr>
                <w:p>
                  <w:pPr>
                    <w:jc w:val="center"/>
                    <w:rPr>
                      <w:rFonts w:ascii="宋体" w:hAnsi="宋体" w:cs="宋体"/>
                      <w:szCs w:val="21"/>
                    </w:rPr>
                  </w:pPr>
                </w:p>
              </w:tc>
              <w:tc>
                <w:tcPr>
                  <w:tcW w:w="1324" w:type="dxa"/>
                  <w:vAlign w:val="center"/>
                </w:tcPr>
                <w:p>
                  <w:pPr>
                    <w:jc w:val="center"/>
                    <w:rPr>
                      <w:szCs w:val="21"/>
                    </w:rPr>
                  </w:pPr>
                  <w:r>
                    <w:rPr>
                      <w:szCs w:val="21"/>
                    </w:rPr>
                    <w:t>日常生产</w:t>
                  </w:r>
                </w:p>
              </w:tc>
              <w:tc>
                <w:tcPr>
                  <w:tcW w:w="1324" w:type="dxa"/>
                  <w:vAlign w:val="center"/>
                </w:tcPr>
                <w:p>
                  <w:pPr>
                    <w:jc w:val="center"/>
                    <w:rPr>
                      <w:rFonts w:hint="default" w:ascii="宋体" w:hAnsi="宋体" w:cs="宋体"/>
                      <w:sz w:val="21"/>
                      <w:szCs w:val="21"/>
                      <w:lang w:val="en-US"/>
                    </w:rPr>
                  </w:pPr>
                  <w:r>
                    <w:rPr>
                      <w:rFonts w:hint="eastAsia" w:ascii="宋体" w:hAnsi="宋体" w:cs="宋体"/>
                      <w:sz w:val="21"/>
                      <w:szCs w:val="21"/>
                    </w:rPr>
                    <w:t>废边角料</w:t>
                  </w:r>
                  <w:r>
                    <w:rPr>
                      <w:rFonts w:hint="default" w:ascii="Times New Roman" w:hAnsi="Times New Roman" w:cs="Times New Roman"/>
                      <w:color w:val="323232"/>
                      <w:sz w:val="21"/>
                      <w:szCs w:val="21"/>
                      <w:lang w:val="en-US" w:eastAsia="zh-CN"/>
                    </w:rPr>
                    <w:t>S1</w:t>
                  </w:r>
                  <w:r>
                    <w:rPr>
                      <w:rFonts w:hint="eastAsia" w:ascii="Times New Roman" w:hAnsi="Times New Roman" w:cs="Times New Roman"/>
                      <w:color w:val="323232"/>
                      <w:sz w:val="21"/>
                      <w:szCs w:val="21"/>
                      <w:lang w:val="en-US" w:eastAsia="zh-CN"/>
                    </w:rPr>
                    <w:t>、</w:t>
                  </w:r>
                  <w:r>
                    <w:rPr>
                      <w:rFonts w:hint="default" w:ascii="Times New Roman" w:hAnsi="Times New Roman" w:cs="Times New Roman"/>
                      <w:color w:val="323232"/>
                      <w:sz w:val="21"/>
                      <w:szCs w:val="21"/>
                      <w:lang w:val="en-US" w:eastAsia="zh-CN"/>
                    </w:rPr>
                    <w:t>S</w:t>
                  </w:r>
                  <w:r>
                    <w:rPr>
                      <w:rFonts w:hint="eastAsia" w:ascii="Times New Roman" w:hAnsi="Times New Roman" w:cs="Times New Roman"/>
                      <w:color w:val="323232"/>
                      <w:sz w:val="21"/>
                      <w:szCs w:val="21"/>
                      <w:lang w:val="en-US" w:eastAsia="zh-CN"/>
                    </w:rPr>
                    <w:t>2、</w:t>
                  </w:r>
                  <w:r>
                    <w:rPr>
                      <w:rFonts w:hint="default" w:ascii="Times New Roman" w:hAnsi="Times New Roman" w:cs="Times New Roman"/>
                      <w:color w:val="323232"/>
                      <w:sz w:val="21"/>
                      <w:szCs w:val="21"/>
                      <w:lang w:val="en-US" w:eastAsia="zh-CN"/>
                    </w:rPr>
                    <w:t>S</w:t>
                  </w:r>
                  <w:r>
                    <w:rPr>
                      <w:rFonts w:hint="eastAsia" w:ascii="Times New Roman" w:hAnsi="Times New Roman" w:cs="Times New Roman"/>
                      <w:color w:val="323232"/>
                      <w:sz w:val="21"/>
                      <w:szCs w:val="21"/>
                      <w:lang w:val="en-US" w:eastAsia="zh-CN"/>
                    </w:rPr>
                    <w:t>3、</w:t>
                  </w:r>
                  <w:r>
                    <w:rPr>
                      <w:rFonts w:hint="default" w:ascii="Times New Roman" w:hAnsi="Times New Roman" w:cs="Times New Roman"/>
                      <w:color w:val="323232"/>
                      <w:sz w:val="21"/>
                      <w:szCs w:val="21"/>
                      <w:lang w:val="en-US" w:eastAsia="zh-CN"/>
                    </w:rPr>
                    <w:t>S</w:t>
                  </w:r>
                  <w:r>
                    <w:rPr>
                      <w:rFonts w:hint="eastAsia" w:ascii="Times New Roman" w:hAnsi="Times New Roman" w:cs="Times New Roman"/>
                      <w:color w:val="323232"/>
                      <w:sz w:val="21"/>
                      <w:szCs w:val="21"/>
                      <w:lang w:val="en-US" w:eastAsia="zh-CN"/>
                    </w:rPr>
                    <w:t>4</w:t>
                  </w:r>
                  <w:r>
                    <w:rPr>
                      <w:rFonts w:hint="eastAsia" w:cs="Times New Roman"/>
                      <w:color w:val="323232"/>
                      <w:sz w:val="21"/>
                      <w:szCs w:val="21"/>
                      <w:lang w:val="en-US" w:eastAsia="zh-CN"/>
                    </w:rPr>
                    <w:t>、S6</w:t>
                  </w:r>
                </w:p>
              </w:tc>
              <w:tc>
                <w:tcPr>
                  <w:tcW w:w="1324" w:type="dxa"/>
                  <w:vMerge w:val="restart"/>
                  <w:vAlign w:val="center"/>
                </w:tcPr>
                <w:p>
                  <w:pPr>
                    <w:jc w:val="center"/>
                    <w:rPr>
                      <w:rFonts w:ascii="宋体" w:hAnsi="宋体" w:cs="宋体"/>
                      <w:szCs w:val="21"/>
                    </w:rPr>
                  </w:pPr>
                  <w:r>
                    <w:rPr>
                      <w:rFonts w:ascii="宋体" w:hAnsi="宋体" w:cs="宋体"/>
                      <w:szCs w:val="21"/>
                    </w:rPr>
                    <w:t>暂存一般固废间</w:t>
                  </w:r>
                </w:p>
              </w:tc>
              <w:tc>
                <w:tcPr>
                  <w:tcW w:w="1325" w:type="dxa"/>
                  <w:vMerge w:val="restart"/>
                  <w:vAlign w:val="center"/>
                </w:tcPr>
                <w:p>
                  <w:pPr>
                    <w:jc w:val="center"/>
                    <w:rPr>
                      <w:rFonts w:ascii="宋体" w:hAnsi="宋体" w:cs="宋体"/>
                      <w:szCs w:val="21"/>
                    </w:rPr>
                  </w:pPr>
                  <w:r>
                    <w:rPr>
                      <w:rFonts w:ascii="宋体" w:hAnsi="宋体" w:cs="宋体"/>
                      <w:szCs w:val="21"/>
                    </w:rPr>
                    <w:t>交由物资回收公司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vAlign w:val="center"/>
                </w:tcPr>
                <w:p>
                  <w:pPr>
                    <w:jc w:val="center"/>
                    <w:rPr>
                      <w:szCs w:val="21"/>
                    </w:rPr>
                  </w:pPr>
                </w:p>
              </w:tc>
              <w:tc>
                <w:tcPr>
                  <w:tcW w:w="1324" w:type="dxa"/>
                  <w:vMerge w:val="continue"/>
                  <w:vAlign w:val="center"/>
                </w:tcPr>
                <w:p>
                  <w:pPr>
                    <w:jc w:val="center"/>
                    <w:rPr>
                      <w:rFonts w:ascii="宋体" w:hAnsi="宋体" w:cs="宋体"/>
                      <w:szCs w:val="21"/>
                    </w:rPr>
                  </w:pPr>
                </w:p>
              </w:tc>
              <w:tc>
                <w:tcPr>
                  <w:tcW w:w="1324" w:type="dxa"/>
                  <w:vAlign w:val="center"/>
                </w:tcPr>
                <w:p>
                  <w:pPr>
                    <w:jc w:val="center"/>
                    <w:rPr>
                      <w:szCs w:val="21"/>
                    </w:rPr>
                  </w:pPr>
                  <w:r>
                    <w:rPr>
                      <w:szCs w:val="21"/>
                    </w:rPr>
                    <w:t>日常生产</w:t>
                  </w:r>
                </w:p>
              </w:tc>
              <w:tc>
                <w:tcPr>
                  <w:tcW w:w="1324" w:type="dxa"/>
                  <w:vAlign w:val="center"/>
                </w:tcPr>
                <w:p>
                  <w:pPr>
                    <w:jc w:val="center"/>
                    <w:rPr>
                      <w:rFonts w:hint="default" w:ascii="宋体" w:hAnsi="宋体" w:cs="宋体"/>
                      <w:sz w:val="21"/>
                      <w:szCs w:val="21"/>
                      <w:lang w:val="en-US"/>
                    </w:rPr>
                  </w:pPr>
                  <w:r>
                    <w:rPr>
                      <w:rFonts w:hint="eastAsia" w:ascii="宋体" w:hAnsi="宋体" w:cs="宋体"/>
                      <w:color w:val="323232"/>
                      <w:sz w:val="21"/>
                      <w:szCs w:val="21"/>
                    </w:rPr>
                    <w:t>废</w:t>
                  </w:r>
                  <w:r>
                    <w:rPr>
                      <w:rFonts w:ascii="宋体" w:hAnsi="宋体" w:eastAsia="宋体" w:cs="宋体"/>
                      <w:sz w:val="21"/>
                      <w:szCs w:val="21"/>
                    </w:rPr>
                    <w:t>钢筋边角料</w:t>
                  </w:r>
                  <w:r>
                    <w:rPr>
                      <w:rFonts w:hint="default" w:ascii="Times New Roman" w:hAnsi="Times New Roman" w:cs="Times New Roman"/>
                      <w:color w:val="323232"/>
                      <w:sz w:val="21"/>
                      <w:szCs w:val="21"/>
                      <w:lang w:val="en-US" w:eastAsia="zh-CN"/>
                    </w:rPr>
                    <w:t>S</w:t>
                  </w:r>
                  <w:r>
                    <w:rPr>
                      <w:rFonts w:hint="eastAsia" w:ascii="Times New Roman" w:hAnsi="Times New Roman" w:cs="Times New Roman"/>
                      <w:color w:val="323232"/>
                      <w:sz w:val="21"/>
                      <w:szCs w:val="21"/>
                      <w:lang w:val="en-US" w:eastAsia="zh-CN"/>
                    </w:rPr>
                    <w:t>5</w:t>
                  </w:r>
                </w:p>
              </w:tc>
              <w:tc>
                <w:tcPr>
                  <w:tcW w:w="1324" w:type="dxa"/>
                  <w:vMerge w:val="continue"/>
                  <w:vAlign w:val="center"/>
                </w:tcPr>
                <w:p>
                  <w:pPr>
                    <w:jc w:val="center"/>
                    <w:rPr>
                      <w:rFonts w:ascii="宋体" w:hAnsi="宋体" w:cs="宋体"/>
                      <w:szCs w:val="21"/>
                    </w:rPr>
                  </w:pPr>
                </w:p>
              </w:tc>
              <w:tc>
                <w:tcPr>
                  <w:tcW w:w="1325"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vAlign w:val="center"/>
                </w:tcPr>
                <w:p>
                  <w:pPr>
                    <w:jc w:val="center"/>
                    <w:rPr>
                      <w:szCs w:val="21"/>
                    </w:rPr>
                  </w:pPr>
                </w:p>
              </w:tc>
              <w:tc>
                <w:tcPr>
                  <w:tcW w:w="1324" w:type="dxa"/>
                  <w:vMerge w:val="continue"/>
                  <w:vAlign w:val="center"/>
                </w:tcPr>
                <w:p>
                  <w:pPr>
                    <w:jc w:val="center"/>
                    <w:rPr>
                      <w:rFonts w:ascii="宋体" w:hAnsi="宋体" w:cs="宋体"/>
                      <w:szCs w:val="21"/>
                    </w:rPr>
                  </w:pPr>
                </w:p>
              </w:tc>
              <w:tc>
                <w:tcPr>
                  <w:tcW w:w="1324" w:type="dxa"/>
                  <w:vAlign w:val="center"/>
                </w:tcPr>
                <w:p>
                  <w:pPr>
                    <w:jc w:val="center"/>
                    <w:rPr>
                      <w:szCs w:val="21"/>
                    </w:rPr>
                  </w:pPr>
                  <w:r>
                    <w:rPr>
                      <w:szCs w:val="21"/>
                    </w:rPr>
                    <w:t>日常生产</w:t>
                  </w:r>
                </w:p>
              </w:tc>
              <w:tc>
                <w:tcPr>
                  <w:tcW w:w="1324" w:type="dxa"/>
                  <w:vAlign w:val="center"/>
                </w:tcPr>
                <w:p>
                  <w:pPr>
                    <w:jc w:val="center"/>
                    <w:rPr>
                      <w:rFonts w:ascii="宋体" w:hAnsi="宋体" w:cs="宋体"/>
                      <w:szCs w:val="21"/>
                    </w:rPr>
                  </w:pPr>
                  <w:r>
                    <w:rPr>
                      <w:rFonts w:ascii="宋体" w:hAnsi="宋体" w:cs="宋体"/>
                      <w:szCs w:val="21"/>
                    </w:rPr>
                    <w:t>除尘器收集粉尘</w:t>
                  </w:r>
                </w:p>
              </w:tc>
              <w:tc>
                <w:tcPr>
                  <w:tcW w:w="1324" w:type="dxa"/>
                  <w:vAlign w:val="center"/>
                </w:tcPr>
                <w:p>
                  <w:pPr>
                    <w:jc w:val="center"/>
                    <w:rPr>
                      <w:rFonts w:ascii="宋体" w:hAnsi="宋体" w:cs="宋体"/>
                      <w:szCs w:val="21"/>
                    </w:rPr>
                  </w:pPr>
                  <w:r>
                    <w:rPr>
                      <w:rFonts w:ascii="宋体" w:hAnsi="宋体" w:cs="宋体"/>
                      <w:szCs w:val="21"/>
                    </w:rPr>
                    <w:t>倒入垃圾桶</w:t>
                  </w:r>
                </w:p>
              </w:tc>
              <w:tc>
                <w:tcPr>
                  <w:tcW w:w="1325" w:type="dxa"/>
                  <w:vAlign w:val="center"/>
                </w:tcPr>
                <w:p>
                  <w:pPr>
                    <w:jc w:val="center"/>
                    <w:rPr>
                      <w:szCs w:val="21"/>
                    </w:rPr>
                  </w:pPr>
                  <w:r>
                    <w:rPr>
                      <w:rFonts w:ascii="宋体" w:hAnsi="宋体" w:cs="宋体"/>
                      <w:szCs w:val="21"/>
                    </w:rPr>
                    <w:t>交由环卫部门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24" w:type="dxa"/>
                  <w:vMerge w:val="continue"/>
                  <w:vAlign w:val="center"/>
                </w:tcPr>
                <w:p>
                  <w:pPr>
                    <w:jc w:val="center"/>
                    <w:rPr>
                      <w:szCs w:val="21"/>
                    </w:rPr>
                  </w:pPr>
                </w:p>
              </w:tc>
              <w:tc>
                <w:tcPr>
                  <w:tcW w:w="1324" w:type="dxa"/>
                  <w:vMerge w:val="continue"/>
                  <w:vAlign w:val="center"/>
                </w:tcPr>
                <w:p>
                  <w:pPr>
                    <w:jc w:val="center"/>
                    <w:rPr>
                      <w:rFonts w:ascii="宋体" w:hAnsi="宋体" w:cs="宋体"/>
                      <w:szCs w:val="21"/>
                    </w:rPr>
                  </w:pPr>
                </w:p>
              </w:tc>
              <w:tc>
                <w:tcPr>
                  <w:tcW w:w="1324" w:type="dxa"/>
                  <w:vAlign w:val="center"/>
                </w:tcPr>
                <w:p>
                  <w:pPr>
                    <w:jc w:val="center"/>
                    <w:rPr>
                      <w:szCs w:val="21"/>
                    </w:rPr>
                  </w:pPr>
                  <w:r>
                    <w:rPr>
                      <w:rFonts w:hint="eastAsia"/>
                      <w:szCs w:val="21"/>
                    </w:rPr>
                    <w:t>废气处理</w:t>
                  </w:r>
                </w:p>
              </w:tc>
              <w:tc>
                <w:tcPr>
                  <w:tcW w:w="1324" w:type="dxa"/>
                  <w:vAlign w:val="center"/>
                </w:tcPr>
                <w:p>
                  <w:pPr>
                    <w:jc w:val="center"/>
                    <w:rPr>
                      <w:szCs w:val="21"/>
                    </w:rPr>
                  </w:pPr>
                  <w:r>
                    <w:rPr>
                      <w:rFonts w:hint="eastAsia"/>
                      <w:szCs w:val="21"/>
                    </w:rPr>
                    <w:t>废过滤棉</w:t>
                  </w:r>
                </w:p>
              </w:tc>
              <w:tc>
                <w:tcPr>
                  <w:tcW w:w="1324" w:type="dxa"/>
                  <w:vMerge w:val="restart"/>
                  <w:vAlign w:val="center"/>
                </w:tcPr>
                <w:p>
                  <w:pPr>
                    <w:jc w:val="center"/>
                    <w:rPr>
                      <w:rFonts w:ascii="宋体" w:hAnsi="宋体" w:cs="宋体"/>
                      <w:szCs w:val="21"/>
                    </w:rPr>
                  </w:pPr>
                  <w:r>
                    <w:rPr>
                      <w:szCs w:val="21"/>
                    </w:rPr>
                    <w:t>暂存在危险废物暂存间</w:t>
                  </w:r>
                </w:p>
              </w:tc>
              <w:tc>
                <w:tcPr>
                  <w:tcW w:w="1325" w:type="dxa"/>
                  <w:vMerge w:val="restart"/>
                  <w:vAlign w:val="center"/>
                </w:tcPr>
                <w:p>
                  <w:pPr>
                    <w:jc w:val="center"/>
                    <w:rPr>
                      <w:rFonts w:ascii="宋体" w:hAnsi="宋体" w:cs="宋体"/>
                      <w:szCs w:val="21"/>
                    </w:rPr>
                  </w:pPr>
                  <w:r>
                    <w:rPr>
                      <w:szCs w:val="21"/>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vAlign w:val="center"/>
                </w:tcPr>
                <w:p>
                  <w:pPr>
                    <w:jc w:val="center"/>
                    <w:rPr>
                      <w:szCs w:val="21"/>
                    </w:rPr>
                  </w:pPr>
                </w:p>
              </w:tc>
              <w:tc>
                <w:tcPr>
                  <w:tcW w:w="1324" w:type="dxa"/>
                  <w:vMerge w:val="continue"/>
                  <w:vAlign w:val="center"/>
                </w:tcPr>
                <w:p>
                  <w:pPr>
                    <w:jc w:val="center"/>
                    <w:rPr>
                      <w:rFonts w:ascii="宋体" w:hAnsi="宋体" w:cs="宋体"/>
                      <w:szCs w:val="21"/>
                    </w:rPr>
                  </w:pPr>
                </w:p>
              </w:tc>
              <w:tc>
                <w:tcPr>
                  <w:tcW w:w="1324" w:type="dxa"/>
                  <w:vAlign w:val="center"/>
                </w:tcPr>
                <w:p>
                  <w:pPr>
                    <w:jc w:val="center"/>
                    <w:rPr>
                      <w:szCs w:val="21"/>
                    </w:rPr>
                  </w:pPr>
                  <w:r>
                    <w:rPr>
                      <w:rFonts w:hint="eastAsia"/>
                      <w:szCs w:val="21"/>
                    </w:rPr>
                    <w:t>废气处理</w:t>
                  </w:r>
                </w:p>
              </w:tc>
              <w:tc>
                <w:tcPr>
                  <w:tcW w:w="1324" w:type="dxa"/>
                  <w:vAlign w:val="center"/>
                </w:tcPr>
                <w:p>
                  <w:pPr>
                    <w:jc w:val="center"/>
                    <w:rPr>
                      <w:szCs w:val="21"/>
                    </w:rPr>
                  </w:pPr>
                  <w:r>
                    <w:rPr>
                      <w:rFonts w:hint="eastAsia"/>
                      <w:szCs w:val="21"/>
                    </w:rPr>
                    <w:t>废活性炭</w:t>
                  </w:r>
                </w:p>
              </w:tc>
              <w:tc>
                <w:tcPr>
                  <w:tcW w:w="1324" w:type="dxa"/>
                  <w:vMerge w:val="continue"/>
                  <w:vAlign w:val="center"/>
                </w:tcPr>
                <w:p>
                  <w:pPr>
                    <w:jc w:val="center"/>
                    <w:rPr>
                      <w:rFonts w:ascii="宋体" w:hAnsi="宋体" w:cs="宋体"/>
                      <w:szCs w:val="21"/>
                    </w:rPr>
                  </w:pPr>
                </w:p>
              </w:tc>
              <w:tc>
                <w:tcPr>
                  <w:tcW w:w="1325"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vAlign w:val="center"/>
                </w:tcPr>
                <w:p>
                  <w:pPr>
                    <w:jc w:val="center"/>
                    <w:rPr>
                      <w:szCs w:val="21"/>
                    </w:rPr>
                  </w:pPr>
                </w:p>
              </w:tc>
              <w:tc>
                <w:tcPr>
                  <w:tcW w:w="1324" w:type="dxa"/>
                  <w:vMerge w:val="continue"/>
                  <w:vAlign w:val="center"/>
                </w:tcPr>
                <w:p>
                  <w:pPr>
                    <w:jc w:val="center"/>
                    <w:rPr>
                      <w:rFonts w:ascii="宋体" w:hAnsi="宋体" w:cs="宋体"/>
                      <w:szCs w:val="21"/>
                    </w:rPr>
                  </w:pPr>
                </w:p>
              </w:tc>
              <w:tc>
                <w:tcPr>
                  <w:tcW w:w="1324" w:type="dxa"/>
                  <w:vAlign w:val="center"/>
                </w:tcPr>
                <w:p>
                  <w:pPr>
                    <w:jc w:val="center"/>
                    <w:rPr>
                      <w:rFonts w:hint="eastAsia"/>
                      <w:szCs w:val="21"/>
                    </w:rPr>
                  </w:pPr>
                  <w:r>
                    <w:rPr>
                      <w:rFonts w:hint="eastAsia"/>
                      <w:szCs w:val="21"/>
                    </w:rPr>
                    <w:t>日常生产</w:t>
                  </w:r>
                </w:p>
              </w:tc>
              <w:tc>
                <w:tcPr>
                  <w:tcW w:w="1324" w:type="dxa"/>
                  <w:vAlign w:val="center"/>
                </w:tcPr>
                <w:p>
                  <w:pPr>
                    <w:jc w:val="center"/>
                    <w:rPr>
                      <w:rFonts w:hint="eastAsia"/>
                      <w:szCs w:val="21"/>
                    </w:rPr>
                  </w:pPr>
                  <w:r>
                    <w:rPr>
                      <w:rFonts w:hint="eastAsia"/>
                      <w:szCs w:val="21"/>
                      <w:lang w:val="en-US" w:eastAsia="zh-CN"/>
                    </w:rPr>
                    <w:t>废机油</w:t>
                  </w:r>
                </w:p>
              </w:tc>
              <w:tc>
                <w:tcPr>
                  <w:tcW w:w="1324" w:type="dxa"/>
                  <w:vMerge w:val="continue"/>
                  <w:vAlign w:val="center"/>
                </w:tcPr>
                <w:p>
                  <w:pPr>
                    <w:jc w:val="center"/>
                    <w:rPr>
                      <w:rFonts w:ascii="宋体" w:hAnsi="宋体" w:cs="宋体"/>
                      <w:szCs w:val="21"/>
                    </w:rPr>
                  </w:pPr>
                </w:p>
              </w:tc>
              <w:tc>
                <w:tcPr>
                  <w:tcW w:w="1325"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vAlign w:val="center"/>
                </w:tcPr>
                <w:p>
                  <w:pPr>
                    <w:jc w:val="center"/>
                    <w:rPr>
                      <w:szCs w:val="21"/>
                    </w:rPr>
                  </w:pPr>
                </w:p>
              </w:tc>
              <w:tc>
                <w:tcPr>
                  <w:tcW w:w="1324" w:type="dxa"/>
                  <w:vMerge w:val="continue"/>
                  <w:vAlign w:val="center"/>
                </w:tcPr>
                <w:p>
                  <w:pPr>
                    <w:jc w:val="center"/>
                    <w:rPr>
                      <w:rFonts w:ascii="宋体" w:hAnsi="宋体" w:cs="宋体"/>
                      <w:szCs w:val="21"/>
                    </w:rPr>
                  </w:pPr>
                </w:p>
              </w:tc>
              <w:tc>
                <w:tcPr>
                  <w:tcW w:w="1324" w:type="dxa"/>
                  <w:vAlign w:val="center"/>
                </w:tcPr>
                <w:p>
                  <w:pPr>
                    <w:jc w:val="center"/>
                    <w:rPr>
                      <w:rFonts w:hint="eastAsia"/>
                      <w:szCs w:val="21"/>
                    </w:rPr>
                  </w:pPr>
                  <w:r>
                    <w:rPr>
                      <w:rFonts w:hint="eastAsia"/>
                      <w:szCs w:val="21"/>
                    </w:rPr>
                    <w:t>喷漆</w:t>
                  </w:r>
                </w:p>
              </w:tc>
              <w:tc>
                <w:tcPr>
                  <w:tcW w:w="1324" w:type="dxa"/>
                  <w:vAlign w:val="center"/>
                </w:tcPr>
                <w:p>
                  <w:pPr>
                    <w:jc w:val="center"/>
                    <w:rPr>
                      <w:rFonts w:hint="eastAsia"/>
                      <w:szCs w:val="21"/>
                    </w:rPr>
                  </w:pPr>
                  <w:r>
                    <w:rPr>
                      <w:rFonts w:hint="eastAsia"/>
                      <w:szCs w:val="21"/>
                    </w:rPr>
                    <w:t>漆渣</w:t>
                  </w:r>
                  <w:r>
                    <w:rPr>
                      <w:rFonts w:hint="default" w:ascii="Times New Roman" w:hAnsi="Times New Roman" w:cs="Times New Roman"/>
                      <w:color w:val="323232"/>
                      <w:sz w:val="21"/>
                      <w:szCs w:val="21"/>
                      <w:lang w:val="en-US" w:eastAsia="zh-CN"/>
                    </w:rPr>
                    <w:t>S</w:t>
                  </w:r>
                  <w:r>
                    <w:rPr>
                      <w:rFonts w:hint="eastAsia" w:cs="Times New Roman"/>
                      <w:color w:val="323232"/>
                      <w:sz w:val="21"/>
                      <w:szCs w:val="21"/>
                      <w:lang w:val="en-US" w:eastAsia="zh-CN"/>
                    </w:rPr>
                    <w:t>7</w:t>
                  </w:r>
                </w:p>
              </w:tc>
              <w:tc>
                <w:tcPr>
                  <w:tcW w:w="1324" w:type="dxa"/>
                  <w:vMerge w:val="continue"/>
                  <w:vAlign w:val="center"/>
                </w:tcPr>
                <w:p>
                  <w:pPr>
                    <w:jc w:val="center"/>
                    <w:rPr>
                      <w:rFonts w:ascii="宋体" w:hAnsi="宋体" w:cs="宋体"/>
                      <w:szCs w:val="21"/>
                    </w:rPr>
                  </w:pPr>
                </w:p>
              </w:tc>
              <w:tc>
                <w:tcPr>
                  <w:tcW w:w="1325"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324" w:type="dxa"/>
                  <w:vMerge w:val="continue"/>
                  <w:vAlign w:val="center"/>
                </w:tcPr>
                <w:p>
                  <w:pPr>
                    <w:jc w:val="center"/>
                    <w:rPr>
                      <w:szCs w:val="21"/>
                    </w:rPr>
                  </w:pPr>
                </w:p>
              </w:tc>
              <w:tc>
                <w:tcPr>
                  <w:tcW w:w="1324" w:type="dxa"/>
                  <w:vMerge w:val="continue"/>
                  <w:vAlign w:val="center"/>
                </w:tcPr>
                <w:p>
                  <w:pPr>
                    <w:jc w:val="center"/>
                    <w:rPr>
                      <w:rFonts w:ascii="宋体" w:hAnsi="宋体" w:cs="宋体"/>
                      <w:szCs w:val="21"/>
                    </w:rPr>
                  </w:pPr>
                </w:p>
              </w:tc>
              <w:tc>
                <w:tcPr>
                  <w:tcW w:w="1324" w:type="dxa"/>
                  <w:vAlign w:val="center"/>
                </w:tcPr>
                <w:p>
                  <w:pPr>
                    <w:jc w:val="center"/>
                    <w:rPr>
                      <w:szCs w:val="21"/>
                    </w:rPr>
                  </w:pPr>
                  <w:r>
                    <w:rPr>
                      <w:rFonts w:hint="eastAsia"/>
                      <w:szCs w:val="21"/>
                    </w:rPr>
                    <w:t>喷漆</w:t>
                  </w:r>
                </w:p>
              </w:tc>
              <w:tc>
                <w:tcPr>
                  <w:tcW w:w="1324" w:type="dxa"/>
                  <w:vAlign w:val="center"/>
                </w:tcPr>
                <w:p>
                  <w:pPr>
                    <w:jc w:val="center"/>
                    <w:rPr>
                      <w:szCs w:val="21"/>
                    </w:rPr>
                  </w:pPr>
                  <w:r>
                    <w:rPr>
                      <w:rFonts w:hint="eastAsia"/>
                      <w:szCs w:val="21"/>
                    </w:rPr>
                    <w:t>废固包装桶</w:t>
                  </w:r>
                </w:p>
              </w:tc>
              <w:tc>
                <w:tcPr>
                  <w:tcW w:w="1324" w:type="dxa"/>
                  <w:vMerge w:val="continue"/>
                  <w:vAlign w:val="center"/>
                </w:tcPr>
                <w:p>
                  <w:pPr>
                    <w:jc w:val="center"/>
                    <w:rPr>
                      <w:rFonts w:ascii="宋体" w:hAnsi="宋体" w:cs="宋体"/>
                      <w:szCs w:val="21"/>
                    </w:rPr>
                  </w:pPr>
                </w:p>
              </w:tc>
              <w:tc>
                <w:tcPr>
                  <w:tcW w:w="1325" w:type="dxa"/>
                  <w:vMerge w:val="continue"/>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Merge w:val="continue"/>
                  <w:vAlign w:val="center"/>
                </w:tcPr>
                <w:p>
                  <w:pPr>
                    <w:jc w:val="center"/>
                    <w:rPr>
                      <w:szCs w:val="21"/>
                    </w:rPr>
                  </w:pPr>
                </w:p>
              </w:tc>
              <w:tc>
                <w:tcPr>
                  <w:tcW w:w="1324" w:type="dxa"/>
                  <w:vMerge w:val="continue"/>
                  <w:vAlign w:val="center"/>
                </w:tcPr>
                <w:p>
                  <w:pPr>
                    <w:jc w:val="center"/>
                    <w:rPr>
                      <w:rFonts w:ascii="宋体" w:hAnsi="宋体" w:cs="宋体"/>
                      <w:szCs w:val="21"/>
                    </w:rPr>
                  </w:pPr>
                </w:p>
              </w:tc>
              <w:tc>
                <w:tcPr>
                  <w:tcW w:w="1324" w:type="dxa"/>
                  <w:vAlign w:val="center"/>
                </w:tcPr>
                <w:p>
                  <w:pPr>
                    <w:jc w:val="center"/>
                    <w:rPr>
                      <w:rFonts w:hint="eastAsia"/>
                      <w:szCs w:val="21"/>
                    </w:rPr>
                  </w:pPr>
                  <w:r>
                    <w:rPr>
                      <w:rFonts w:hint="eastAsia"/>
                      <w:szCs w:val="21"/>
                    </w:rPr>
                    <w:t>日常生产</w:t>
                  </w:r>
                </w:p>
              </w:tc>
              <w:tc>
                <w:tcPr>
                  <w:tcW w:w="1324" w:type="dxa"/>
                  <w:vAlign w:val="center"/>
                </w:tcPr>
                <w:p>
                  <w:pPr>
                    <w:jc w:val="center"/>
                    <w:rPr>
                      <w:rFonts w:hint="default"/>
                      <w:szCs w:val="21"/>
                      <w:lang w:val="en-US"/>
                    </w:rPr>
                  </w:pPr>
                  <w:r>
                    <w:rPr>
                      <w:rFonts w:hint="eastAsia"/>
                      <w:szCs w:val="21"/>
                      <w:lang w:val="en-US" w:eastAsia="zh-CN"/>
                    </w:rPr>
                    <w:t>废机油桶</w:t>
                  </w:r>
                </w:p>
              </w:tc>
              <w:tc>
                <w:tcPr>
                  <w:tcW w:w="1324" w:type="dxa"/>
                  <w:vMerge w:val="continue"/>
                  <w:vAlign w:val="center"/>
                </w:tcPr>
                <w:p>
                  <w:pPr>
                    <w:jc w:val="center"/>
                    <w:rPr>
                      <w:rFonts w:ascii="宋体" w:hAnsi="宋体" w:cs="宋体"/>
                      <w:szCs w:val="21"/>
                    </w:rPr>
                  </w:pPr>
                </w:p>
              </w:tc>
              <w:tc>
                <w:tcPr>
                  <w:tcW w:w="1325" w:type="dxa"/>
                  <w:vMerge w:val="continue"/>
                  <w:vAlign w:val="center"/>
                </w:tcPr>
                <w:p>
                  <w:pPr>
                    <w:jc w:val="center"/>
                    <w:rPr>
                      <w:rFonts w:ascii="宋体" w:hAnsi="宋体" w:cs="宋体"/>
                      <w:szCs w:val="21"/>
                    </w:rPr>
                  </w:pPr>
                </w:p>
              </w:tc>
            </w:tr>
          </w:tbl>
          <w:p>
            <w:pPr>
              <w:spacing w:line="360" w:lineRule="auto"/>
              <w:ind w:firstLine="210" w:firstLineChars="100"/>
              <w:rPr>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823" w:type="dxa"/>
            <w:vAlign w:val="center"/>
          </w:tcPr>
          <w:p>
            <w:pPr>
              <w:pStyle w:val="18"/>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Cs w:val="24"/>
              </w:rPr>
              <w:t>与项目有关的原有环境污染问题</w:t>
            </w:r>
          </w:p>
        </w:tc>
        <w:tc>
          <w:tcPr>
            <w:tcW w:w="8161" w:type="dxa"/>
          </w:tcPr>
          <w:p>
            <w:pPr>
              <w:pStyle w:val="2"/>
            </w:pPr>
          </w:p>
          <w:p>
            <w:pPr>
              <w:pStyle w:val="2"/>
              <w:ind w:firstLine="360" w:firstLineChars="200"/>
            </w:pPr>
          </w:p>
          <w:p>
            <w:pPr>
              <w:pStyle w:val="2"/>
            </w:pPr>
          </w:p>
          <w:p>
            <w:pPr>
              <w:pStyle w:val="2"/>
              <w:rPr>
                <w:sz w:val="24"/>
                <w:szCs w:val="24"/>
              </w:rPr>
            </w:pPr>
          </w:p>
          <w:p>
            <w:pPr>
              <w:pStyle w:val="2"/>
              <w:ind w:firstLine="480" w:firstLineChars="200"/>
              <w:rPr>
                <w:sz w:val="24"/>
                <w:szCs w:val="24"/>
              </w:rPr>
            </w:pPr>
          </w:p>
          <w:p>
            <w:pPr>
              <w:pStyle w:val="2"/>
              <w:ind w:firstLine="480" w:firstLineChars="200"/>
              <w:rPr>
                <w:sz w:val="24"/>
                <w:szCs w:val="24"/>
              </w:rPr>
            </w:pPr>
          </w:p>
          <w:p>
            <w:pPr>
              <w:pStyle w:val="2"/>
              <w:ind w:firstLine="480" w:firstLineChars="200"/>
              <w:rPr>
                <w:color w:val="000000" w:themeColor="text1"/>
                <w:sz w:val="24"/>
                <w:szCs w:val="24"/>
                <w14:textFill>
                  <w14:solidFill>
                    <w14:schemeClr w14:val="tx1"/>
                  </w14:solidFill>
                </w14:textFill>
              </w:rPr>
            </w:pPr>
            <w:r>
              <w:rPr>
                <w:sz w:val="24"/>
                <w:szCs w:val="24"/>
              </w:rPr>
              <w:t>本项目属于新建项目，</w:t>
            </w:r>
            <w:r>
              <w:rPr>
                <w:rFonts w:hint="eastAsia"/>
                <w:sz w:val="24"/>
                <w:szCs w:val="24"/>
              </w:rPr>
              <w:t>租赁</w:t>
            </w:r>
            <w:r>
              <w:rPr>
                <w:sz w:val="24"/>
              </w:rPr>
              <w:t>宿州市泗县刘圩镇工业园区金光大道</w:t>
            </w:r>
            <w:r>
              <w:rPr>
                <w:rFonts w:ascii="宋体" w:hAnsi="宋体" w:eastAsia="宋体" w:cs="宋体"/>
                <w:sz w:val="24"/>
                <w:szCs w:val="24"/>
              </w:rPr>
              <w:t>西</w:t>
            </w:r>
            <w:r>
              <w:rPr>
                <w:rFonts w:hint="default" w:ascii="Times New Roman" w:hAnsi="Times New Roman" w:eastAsia="宋体" w:cs="Times New Roman"/>
                <w:sz w:val="24"/>
                <w:szCs w:val="24"/>
              </w:rPr>
              <w:t>侧变电所南50米</w:t>
            </w:r>
            <w:r>
              <w:rPr>
                <w:rFonts w:hint="eastAsia" w:ascii="Times New Roman" w:hAnsi="Times New Roman" w:cs="Times New Roman"/>
                <w:sz w:val="24"/>
                <w:szCs w:val="24"/>
                <w:lang w:val="en-US" w:eastAsia="zh-CN"/>
              </w:rPr>
              <w:t>处</w:t>
            </w:r>
            <w:r>
              <w:rPr>
                <w:rFonts w:hint="eastAsia" w:cs="Times New Roman"/>
                <w:sz w:val="24"/>
                <w:szCs w:val="24"/>
                <w:lang w:val="en-US" w:eastAsia="zh-CN"/>
              </w:rPr>
              <w:t>空置</w:t>
            </w:r>
            <w:r>
              <w:rPr>
                <w:rFonts w:hint="eastAsia"/>
                <w:sz w:val="24"/>
                <w:szCs w:val="24"/>
              </w:rPr>
              <w:t>厂房</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不存在原有污染问题。</w:t>
            </w:r>
          </w:p>
          <w:p>
            <w:pPr>
              <w:pStyle w:val="2"/>
            </w:pPr>
          </w:p>
          <w:p>
            <w:pPr>
              <w:pStyle w:val="2"/>
            </w:pPr>
          </w:p>
          <w:p>
            <w:pPr>
              <w:pStyle w:val="5"/>
            </w:pPr>
          </w:p>
          <w:p>
            <w:pPr>
              <w:pStyle w:val="2"/>
            </w:pPr>
          </w:p>
          <w:p>
            <w:pPr>
              <w:pStyle w:val="2"/>
            </w:pPr>
          </w:p>
          <w:p/>
        </w:tc>
      </w:tr>
    </w:tbl>
    <w:p>
      <w:pPr>
        <w:pStyle w:val="18"/>
        <w:jc w:val="center"/>
        <w:rPr>
          <w:rFonts w:ascii="Times New Roman" w:hAnsi="Times New Roman"/>
          <w:snapToGrid w:val="0"/>
          <w:sz w:val="36"/>
          <w:szCs w:val="36"/>
        </w:rPr>
        <w:sectPr>
          <w:pgSz w:w="11906" w:h="16838"/>
          <w:pgMar w:top="1701" w:right="1531" w:bottom="1701" w:left="1531" w:header="851" w:footer="851" w:gutter="0"/>
          <w:cols w:space="720" w:num="1"/>
          <w:docGrid w:linePitch="312" w:charSpace="0"/>
        </w:sectPr>
      </w:pPr>
    </w:p>
    <w:p>
      <w:pPr>
        <w:pStyle w:val="18"/>
        <w:adjustRightInd w:val="0"/>
        <w:snapToGrid w:val="0"/>
        <w:spacing w:before="0" w:beforeAutospacing="0" w:after="0" w:afterAutospacing="0" w:line="14" w:lineRule="auto"/>
        <w:jc w:val="center"/>
        <w:rPr>
          <w:rFonts w:ascii="Times New Roman" w:hAnsi="Times New Roman"/>
          <w:snapToGrid w:val="0"/>
          <w:sz w:val="30"/>
          <w:szCs w:val="30"/>
        </w:rPr>
      </w:pPr>
    </w:p>
    <w:p>
      <w:pPr>
        <w:pStyle w:val="18"/>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2"/>
        <w:tblW w:w="89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800" w:type="dxa"/>
            <w:vAlign w:val="center"/>
          </w:tcPr>
          <w:p>
            <w:pPr>
              <w:adjustRightInd w:val="0"/>
              <w:snapToGrid w:val="0"/>
              <w:jc w:val="center"/>
              <w:rPr>
                <w:kern w:val="0"/>
                <w:sz w:val="24"/>
              </w:rPr>
            </w:pPr>
            <w:r>
              <w:rPr>
                <w:kern w:val="0"/>
                <w:sz w:val="24"/>
              </w:rPr>
              <w:t>区域</w:t>
            </w:r>
          </w:p>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质量</w:t>
            </w:r>
          </w:p>
          <w:p>
            <w:pPr>
              <w:adjustRightInd w:val="0"/>
              <w:snapToGrid w:val="0"/>
              <w:jc w:val="center"/>
              <w:rPr>
                <w:kern w:val="0"/>
                <w:szCs w:val="21"/>
              </w:rPr>
            </w:pPr>
            <w:r>
              <w:rPr>
                <w:kern w:val="0"/>
                <w:sz w:val="24"/>
              </w:rPr>
              <w:t>现状</w:t>
            </w:r>
          </w:p>
        </w:tc>
        <w:tc>
          <w:tcPr>
            <w:tcW w:w="8190" w:type="dxa"/>
            <w:vAlign w:val="center"/>
          </w:tcPr>
          <w:p>
            <w:pPr>
              <w:spacing w:line="360" w:lineRule="auto"/>
              <w:ind w:firstLine="562" w:firstLineChars="200"/>
              <w:rPr>
                <w:sz w:val="28"/>
                <w:szCs w:val="28"/>
              </w:rPr>
            </w:pPr>
            <w:r>
              <w:rPr>
                <w:b/>
                <w:bCs/>
                <w:sz w:val="28"/>
                <w:szCs w:val="28"/>
              </w:rPr>
              <w:t>建设项目所在地区域环境质量现状及主要环境问题</w:t>
            </w:r>
            <w:r>
              <w:rPr>
                <w:sz w:val="28"/>
                <w:szCs w:val="28"/>
              </w:rPr>
              <w:t>（环境空气、地面水、地下水、声环境、辐射环境、生态环境等）</w:t>
            </w:r>
          </w:p>
          <w:p>
            <w:pPr>
              <w:widowControl/>
              <w:spacing w:line="360" w:lineRule="auto"/>
              <w:ind w:firstLine="480" w:firstLineChars="200"/>
              <w:jc w:val="left"/>
              <w:rPr>
                <w:sz w:val="24"/>
              </w:rPr>
            </w:pPr>
            <w:r>
              <w:rPr>
                <w:kern w:val="0"/>
                <w:sz w:val="24"/>
              </w:rPr>
              <w:t>项目位于</w:t>
            </w:r>
            <w:r>
              <w:rPr>
                <w:sz w:val="24"/>
              </w:rPr>
              <w:t>宿州市泗县刘圩镇工业园区金光大道</w:t>
            </w:r>
            <w:r>
              <w:rPr>
                <w:rFonts w:ascii="宋体" w:hAnsi="宋体" w:eastAsia="宋体" w:cs="宋体"/>
                <w:sz w:val="24"/>
                <w:szCs w:val="24"/>
              </w:rPr>
              <w:t>西</w:t>
            </w:r>
            <w:r>
              <w:rPr>
                <w:rFonts w:hint="default" w:ascii="Times New Roman" w:hAnsi="Times New Roman" w:eastAsia="宋体" w:cs="Times New Roman"/>
                <w:sz w:val="24"/>
                <w:szCs w:val="24"/>
              </w:rPr>
              <w:t>侧变电所南50米</w:t>
            </w:r>
            <w:r>
              <w:rPr>
                <w:rFonts w:hint="eastAsia" w:ascii="Times New Roman" w:hAnsi="Times New Roman" w:cs="Times New Roman"/>
                <w:sz w:val="24"/>
                <w:szCs w:val="24"/>
                <w:lang w:val="en-US" w:eastAsia="zh-CN"/>
              </w:rPr>
              <w:t>处</w:t>
            </w:r>
            <w:r>
              <w:rPr>
                <w:rFonts w:hint="eastAsia"/>
                <w:sz w:val="24"/>
              </w:rPr>
              <w:t>，本次</w:t>
            </w:r>
            <w:r>
              <w:rPr>
                <w:rFonts w:hint="eastAsia"/>
                <w:kern w:val="0"/>
                <w:sz w:val="24"/>
              </w:rPr>
              <w:t>评价依</w:t>
            </w:r>
            <w:r>
              <w:rPr>
                <w:rFonts w:hint="eastAsia" w:ascii="Times New Roman" w:hAnsi="Times New Roman" w:cs="Times New Roman"/>
                <w:sz w:val="24"/>
              </w:rPr>
              <w:t>据</w:t>
            </w:r>
            <w:r>
              <w:rPr>
                <w:rFonts w:eastAsia="宋体"/>
                <w:kern w:val="0"/>
                <w:sz w:val="24"/>
              </w:rPr>
              <w:t>《</w:t>
            </w:r>
            <w:r>
              <w:rPr>
                <w:rFonts w:hint="eastAsia" w:eastAsia="宋体"/>
                <w:kern w:val="0"/>
                <w:sz w:val="24"/>
                <w:lang w:val="en-US" w:eastAsia="zh-CN"/>
              </w:rPr>
              <w:t>2021</w:t>
            </w:r>
            <w:r>
              <w:rPr>
                <w:rFonts w:eastAsia="宋体"/>
                <w:kern w:val="0"/>
                <w:sz w:val="24"/>
              </w:rPr>
              <w:t>年宿州市环境质量公报》</w:t>
            </w:r>
            <w:r>
              <w:rPr>
                <w:rFonts w:hint="eastAsia" w:ascii="Times New Roman" w:hAnsi="Times New Roman" w:cs="Times New Roman"/>
                <w:sz w:val="24"/>
              </w:rPr>
              <w:t>和</w:t>
            </w:r>
            <w:r>
              <w:rPr>
                <w:sz w:val="24"/>
              </w:rPr>
              <w:t>《</w:t>
            </w:r>
            <w:r>
              <w:rPr>
                <w:rFonts w:hint="eastAsia" w:ascii="宋体" w:hAnsi="宋体" w:cs="宋体"/>
                <w:sz w:val="24"/>
              </w:rPr>
              <w:t>安徽鲁小班景观工程有限公司</w:t>
            </w:r>
            <w:r>
              <w:rPr>
                <w:sz w:val="24"/>
              </w:rPr>
              <w:t>检测报告》</w:t>
            </w:r>
            <w:r>
              <w:rPr>
                <w:rFonts w:hint="eastAsia"/>
                <w:sz w:val="24"/>
                <w:lang w:val="en-US" w:eastAsia="zh-CN"/>
              </w:rPr>
              <w:t>及</w:t>
            </w:r>
            <w:r>
              <w:rPr>
                <w:sz w:val="24"/>
              </w:rPr>
              <w:t>《</w:t>
            </w:r>
            <w:r>
              <w:rPr>
                <w:rFonts w:hint="eastAsia" w:ascii="宋体" w:hAnsi="宋体" w:cs="宋体"/>
                <w:sz w:val="24"/>
              </w:rPr>
              <w:t>泗县勇兰家具制造厂</w:t>
            </w:r>
            <w:r>
              <w:rPr>
                <w:sz w:val="24"/>
              </w:rPr>
              <w:t>检测报告》。</w:t>
            </w:r>
          </w:p>
          <w:p>
            <w:pPr>
              <w:spacing w:line="360" w:lineRule="auto"/>
              <w:ind w:firstLine="480" w:firstLineChars="200"/>
              <w:rPr>
                <w:rFonts w:hint="eastAsia" w:eastAsia="宋体"/>
                <w:sz w:val="24"/>
                <w:szCs w:val="24"/>
              </w:rPr>
            </w:pPr>
            <w:r>
              <w:rPr>
                <w:rFonts w:hint="eastAsia" w:eastAsia="宋体"/>
                <w:sz w:val="24"/>
                <w:szCs w:val="24"/>
              </w:rPr>
              <w:t>1、环境空气质量现状</w:t>
            </w:r>
          </w:p>
          <w:p>
            <w:pPr>
              <w:spacing w:line="360" w:lineRule="auto"/>
              <w:ind w:firstLine="480" w:firstLineChars="200"/>
              <w:rPr>
                <w:rFonts w:hint="eastAsia" w:eastAsia="宋体"/>
                <w:sz w:val="24"/>
                <w:szCs w:val="24"/>
              </w:rPr>
            </w:pPr>
            <w:r>
              <w:rPr>
                <w:rFonts w:hint="eastAsia" w:eastAsia="宋体"/>
                <w:sz w:val="24"/>
                <w:szCs w:val="24"/>
              </w:rPr>
              <w:t>根据《20</w:t>
            </w:r>
            <w:r>
              <w:rPr>
                <w:rFonts w:hint="eastAsia" w:eastAsia="宋体"/>
                <w:sz w:val="24"/>
                <w:szCs w:val="24"/>
                <w:lang w:val="en-US" w:eastAsia="zh-CN"/>
              </w:rPr>
              <w:t>21</w:t>
            </w:r>
            <w:r>
              <w:rPr>
                <w:rFonts w:hint="eastAsia" w:eastAsia="宋体"/>
                <w:sz w:val="24"/>
                <w:szCs w:val="24"/>
              </w:rPr>
              <w:t>年宿州市环境质量公报》，大气环境质量方面：2021年宿州市空气质量综合指数4.02，全省排名第7；主要污染物PM2.5年平均浓度为41微克/立方米，全省排名第12位，皖北六市第二，同比下降10.9%，同比下降幅度全省排名第3位；空气优良天数比例为78.9%，同比上升7.3个百分点。</w:t>
            </w:r>
          </w:p>
          <w:p>
            <w:pPr>
              <w:spacing w:line="360" w:lineRule="auto"/>
              <w:ind w:firstLine="480" w:firstLineChars="200"/>
              <w:rPr>
                <w:rFonts w:hint="eastAsia" w:eastAsia="宋体"/>
                <w:sz w:val="24"/>
                <w:szCs w:val="24"/>
              </w:rPr>
            </w:pPr>
            <w:r>
              <w:rPr>
                <w:rFonts w:hint="eastAsia" w:eastAsia="宋体"/>
                <w:sz w:val="24"/>
                <w:szCs w:val="24"/>
              </w:rPr>
              <w:t>2022年1月1日至4月30日，宿州市空气质量综合指数4.63，全省排名第十；主要污染物PM2.5平均浓度57微克/立方米，较去年同期上升1.8%；全市空气优良率为73.3%，较去年同期下降2.5个百分点。</w:t>
            </w:r>
          </w:p>
          <w:p>
            <w:pPr>
              <w:ind w:firstLine="482" w:firstLineChars="200"/>
              <w:jc w:val="center"/>
              <w:rPr>
                <w:b/>
                <w:bCs/>
                <w:sz w:val="24"/>
                <w:szCs w:val="24"/>
              </w:rPr>
            </w:pPr>
            <w:r>
              <w:rPr>
                <w:rFonts w:hint="eastAsia"/>
                <w:b/>
                <w:bCs/>
                <w:sz w:val="24"/>
                <w:szCs w:val="24"/>
              </w:rPr>
              <w:t>表3-1  项目区域基本污染物环境质量现状评价一览表</w:t>
            </w:r>
          </w:p>
          <w:tbl>
            <w:tblPr>
              <w:tblStyle w:val="23"/>
              <w:tblW w:w="7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54"/>
              <w:gridCol w:w="1185"/>
              <w:gridCol w:w="1185"/>
              <w:gridCol w:w="121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line="240" w:lineRule="auto"/>
                    <w:jc w:val="center"/>
                    <w:rPr>
                      <w:b/>
                      <w:bCs/>
                      <w:sz w:val="21"/>
                      <w:szCs w:val="21"/>
                    </w:rPr>
                  </w:pPr>
                  <w:r>
                    <w:rPr>
                      <w:rFonts w:hint="eastAsia"/>
                      <w:b/>
                      <w:bCs/>
                      <w:sz w:val="21"/>
                      <w:szCs w:val="21"/>
                    </w:rPr>
                    <w:t>污染物</w:t>
                  </w:r>
                </w:p>
              </w:tc>
              <w:tc>
                <w:tcPr>
                  <w:tcW w:w="2154" w:type="dxa"/>
                  <w:vAlign w:val="center"/>
                </w:tcPr>
                <w:p>
                  <w:pPr>
                    <w:spacing w:line="240" w:lineRule="auto"/>
                    <w:jc w:val="center"/>
                    <w:rPr>
                      <w:b/>
                      <w:bCs/>
                      <w:sz w:val="21"/>
                      <w:szCs w:val="21"/>
                    </w:rPr>
                  </w:pPr>
                  <w:r>
                    <w:rPr>
                      <w:rFonts w:hint="eastAsia"/>
                      <w:b/>
                      <w:bCs/>
                      <w:sz w:val="21"/>
                      <w:szCs w:val="21"/>
                    </w:rPr>
                    <w:t>年评价指标</w:t>
                  </w:r>
                </w:p>
              </w:tc>
              <w:tc>
                <w:tcPr>
                  <w:tcW w:w="1185" w:type="dxa"/>
                  <w:vAlign w:val="center"/>
                </w:tcPr>
                <w:p>
                  <w:pPr>
                    <w:spacing w:line="240" w:lineRule="auto"/>
                    <w:jc w:val="center"/>
                    <w:rPr>
                      <w:b/>
                      <w:bCs/>
                      <w:sz w:val="21"/>
                      <w:szCs w:val="21"/>
                    </w:rPr>
                  </w:pPr>
                  <w:r>
                    <w:rPr>
                      <w:rFonts w:hint="eastAsia"/>
                      <w:b/>
                      <w:bCs/>
                      <w:sz w:val="21"/>
                      <w:szCs w:val="21"/>
                    </w:rPr>
                    <w:t>现状浓度（ug/m</w:t>
                  </w:r>
                  <w:r>
                    <w:rPr>
                      <w:rFonts w:hint="eastAsia"/>
                      <w:b/>
                      <w:bCs/>
                      <w:sz w:val="21"/>
                      <w:szCs w:val="21"/>
                      <w:vertAlign w:val="superscript"/>
                    </w:rPr>
                    <w:t>3</w:t>
                  </w:r>
                  <w:r>
                    <w:rPr>
                      <w:rFonts w:hint="eastAsia"/>
                      <w:b/>
                      <w:bCs/>
                      <w:sz w:val="21"/>
                      <w:szCs w:val="21"/>
                    </w:rPr>
                    <w:t>）</w:t>
                  </w:r>
                </w:p>
              </w:tc>
              <w:tc>
                <w:tcPr>
                  <w:tcW w:w="1185" w:type="dxa"/>
                  <w:vAlign w:val="center"/>
                </w:tcPr>
                <w:p>
                  <w:pPr>
                    <w:spacing w:line="240" w:lineRule="auto"/>
                    <w:jc w:val="center"/>
                    <w:rPr>
                      <w:b/>
                      <w:bCs/>
                      <w:sz w:val="21"/>
                      <w:szCs w:val="21"/>
                    </w:rPr>
                  </w:pPr>
                  <w:r>
                    <w:rPr>
                      <w:rFonts w:hint="eastAsia"/>
                      <w:b/>
                      <w:bCs/>
                      <w:sz w:val="21"/>
                      <w:szCs w:val="21"/>
                    </w:rPr>
                    <w:t>标准值（ug/m</w:t>
                  </w:r>
                  <w:r>
                    <w:rPr>
                      <w:rFonts w:hint="eastAsia"/>
                      <w:b/>
                      <w:bCs/>
                      <w:sz w:val="21"/>
                      <w:szCs w:val="21"/>
                      <w:vertAlign w:val="superscript"/>
                    </w:rPr>
                    <w:t>3</w:t>
                  </w:r>
                  <w:r>
                    <w:rPr>
                      <w:rFonts w:hint="eastAsia"/>
                      <w:b/>
                      <w:bCs/>
                      <w:sz w:val="21"/>
                      <w:szCs w:val="21"/>
                    </w:rPr>
                    <w:t>）</w:t>
                  </w:r>
                </w:p>
              </w:tc>
              <w:tc>
                <w:tcPr>
                  <w:tcW w:w="1215" w:type="dxa"/>
                  <w:vAlign w:val="center"/>
                </w:tcPr>
                <w:p>
                  <w:pPr>
                    <w:spacing w:line="240" w:lineRule="auto"/>
                    <w:jc w:val="center"/>
                    <w:rPr>
                      <w:b/>
                      <w:bCs/>
                      <w:sz w:val="21"/>
                      <w:szCs w:val="21"/>
                    </w:rPr>
                  </w:pPr>
                  <w:r>
                    <w:rPr>
                      <w:rFonts w:hint="eastAsia"/>
                      <w:b/>
                      <w:bCs/>
                      <w:sz w:val="21"/>
                      <w:szCs w:val="21"/>
                    </w:rPr>
                    <w:t>占标率%</w:t>
                  </w:r>
                </w:p>
              </w:tc>
              <w:tc>
                <w:tcPr>
                  <w:tcW w:w="1080" w:type="dxa"/>
                  <w:vAlign w:val="center"/>
                </w:tcPr>
                <w:p>
                  <w:pPr>
                    <w:spacing w:line="240" w:lineRule="auto"/>
                    <w:jc w:val="center"/>
                    <w:rPr>
                      <w:b/>
                      <w:bCs/>
                      <w:sz w:val="21"/>
                      <w:szCs w:val="21"/>
                    </w:rPr>
                  </w:pPr>
                  <w:r>
                    <w:rPr>
                      <w:rFonts w:hint="eastAsia"/>
                      <w:b/>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line="240" w:lineRule="auto"/>
                    <w:jc w:val="center"/>
                    <w:rPr>
                      <w:sz w:val="21"/>
                      <w:szCs w:val="21"/>
                    </w:rPr>
                  </w:pPr>
                  <w:r>
                    <w:rPr>
                      <w:rFonts w:hint="eastAsia"/>
                      <w:sz w:val="21"/>
                      <w:szCs w:val="21"/>
                    </w:rPr>
                    <w:t>SO</w:t>
                  </w:r>
                  <w:r>
                    <w:rPr>
                      <w:rFonts w:hint="eastAsia"/>
                      <w:sz w:val="21"/>
                      <w:szCs w:val="21"/>
                      <w:vertAlign w:val="subscript"/>
                    </w:rPr>
                    <w:t>2</w:t>
                  </w:r>
                </w:p>
              </w:tc>
              <w:tc>
                <w:tcPr>
                  <w:tcW w:w="2154" w:type="dxa"/>
                  <w:vAlign w:val="center"/>
                </w:tcPr>
                <w:p>
                  <w:pPr>
                    <w:spacing w:line="240" w:lineRule="auto"/>
                    <w:jc w:val="center"/>
                    <w:rPr>
                      <w:sz w:val="21"/>
                      <w:szCs w:val="21"/>
                    </w:rPr>
                  </w:pPr>
                  <w:r>
                    <w:rPr>
                      <w:rFonts w:hint="eastAsia"/>
                      <w:sz w:val="21"/>
                      <w:szCs w:val="21"/>
                    </w:rPr>
                    <w:t>年平均质量浓度</w:t>
                  </w:r>
                </w:p>
              </w:tc>
              <w:tc>
                <w:tcPr>
                  <w:tcW w:w="1185" w:type="dxa"/>
                  <w:vAlign w:val="center"/>
                </w:tcPr>
                <w:p>
                  <w:pPr>
                    <w:spacing w:line="240" w:lineRule="auto"/>
                    <w:jc w:val="center"/>
                    <w:rPr>
                      <w:sz w:val="21"/>
                      <w:szCs w:val="21"/>
                    </w:rPr>
                  </w:pPr>
                  <w:r>
                    <w:rPr>
                      <w:rFonts w:hint="eastAsia"/>
                      <w:sz w:val="21"/>
                      <w:szCs w:val="21"/>
                    </w:rPr>
                    <w:t>7</w:t>
                  </w:r>
                </w:p>
              </w:tc>
              <w:tc>
                <w:tcPr>
                  <w:tcW w:w="1185" w:type="dxa"/>
                  <w:vAlign w:val="center"/>
                </w:tcPr>
                <w:p>
                  <w:pPr>
                    <w:spacing w:line="240" w:lineRule="auto"/>
                    <w:jc w:val="center"/>
                    <w:rPr>
                      <w:sz w:val="21"/>
                      <w:szCs w:val="21"/>
                    </w:rPr>
                  </w:pPr>
                  <w:r>
                    <w:rPr>
                      <w:rFonts w:hint="eastAsia"/>
                      <w:sz w:val="21"/>
                      <w:szCs w:val="21"/>
                    </w:rPr>
                    <w:t>60</w:t>
                  </w:r>
                </w:p>
              </w:tc>
              <w:tc>
                <w:tcPr>
                  <w:tcW w:w="1215" w:type="dxa"/>
                  <w:vAlign w:val="center"/>
                </w:tcPr>
                <w:p>
                  <w:pPr>
                    <w:spacing w:line="240" w:lineRule="auto"/>
                    <w:jc w:val="center"/>
                    <w:rPr>
                      <w:sz w:val="21"/>
                      <w:szCs w:val="21"/>
                    </w:rPr>
                  </w:pPr>
                  <w:r>
                    <w:rPr>
                      <w:rFonts w:hint="eastAsia"/>
                      <w:sz w:val="21"/>
                      <w:szCs w:val="21"/>
                    </w:rPr>
                    <w:t>11.7</w:t>
                  </w:r>
                </w:p>
              </w:tc>
              <w:tc>
                <w:tcPr>
                  <w:tcW w:w="1080" w:type="dxa"/>
                  <w:vAlign w:val="center"/>
                </w:tcPr>
                <w:p>
                  <w:pPr>
                    <w:spacing w:line="240" w:lineRule="auto"/>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line="240" w:lineRule="auto"/>
                    <w:jc w:val="center"/>
                    <w:rPr>
                      <w:sz w:val="21"/>
                      <w:szCs w:val="21"/>
                    </w:rPr>
                  </w:pPr>
                  <w:r>
                    <w:rPr>
                      <w:rFonts w:hint="eastAsia"/>
                      <w:sz w:val="21"/>
                      <w:szCs w:val="21"/>
                    </w:rPr>
                    <w:t>NO</w:t>
                  </w:r>
                  <w:r>
                    <w:rPr>
                      <w:rFonts w:hint="eastAsia"/>
                      <w:sz w:val="21"/>
                      <w:szCs w:val="21"/>
                      <w:vertAlign w:val="subscript"/>
                    </w:rPr>
                    <w:t>2</w:t>
                  </w:r>
                </w:p>
              </w:tc>
              <w:tc>
                <w:tcPr>
                  <w:tcW w:w="2154" w:type="dxa"/>
                  <w:vAlign w:val="center"/>
                </w:tcPr>
                <w:p>
                  <w:pPr>
                    <w:spacing w:line="240" w:lineRule="auto"/>
                    <w:jc w:val="center"/>
                    <w:rPr>
                      <w:sz w:val="21"/>
                      <w:szCs w:val="21"/>
                    </w:rPr>
                  </w:pPr>
                  <w:r>
                    <w:rPr>
                      <w:rFonts w:hint="eastAsia"/>
                      <w:sz w:val="21"/>
                      <w:szCs w:val="21"/>
                    </w:rPr>
                    <w:t>年平均质量浓度</w:t>
                  </w:r>
                </w:p>
              </w:tc>
              <w:tc>
                <w:tcPr>
                  <w:tcW w:w="1185" w:type="dxa"/>
                  <w:vAlign w:val="center"/>
                </w:tcPr>
                <w:p>
                  <w:pPr>
                    <w:spacing w:line="240" w:lineRule="auto"/>
                    <w:jc w:val="center"/>
                    <w:rPr>
                      <w:sz w:val="21"/>
                      <w:szCs w:val="21"/>
                    </w:rPr>
                  </w:pPr>
                  <w:r>
                    <w:rPr>
                      <w:rFonts w:hint="eastAsia"/>
                      <w:sz w:val="21"/>
                      <w:szCs w:val="21"/>
                    </w:rPr>
                    <w:t>23</w:t>
                  </w:r>
                </w:p>
              </w:tc>
              <w:tc>
                <w:tcPr>
                  <w:tcW w:w="1185" w:type="dxa"/>
                  <w:vAlign w:val="center"/>
                </w:tcPr>
                <w:p>
                  <w:pPr>
                    <w:spacing w:line="240" w:lineRule="auto"/>
                    <w:jc w:val="center"/>
                    <w:rPr>
                      <w:sz w:val="21"/>
                      <w:szCs w:val="21"/>
                    </w:rPr>
                  </w:pPr>
                  <w:r>
                    <w:rPr>
                      <w:rFonts w:hint="eastAsia"/>
                      <w:sz w:val="21"/>
                      <w:szCs w:val="21"/>
                    </w:rPr>
                    <w:t>40</w:t>
                  </w:r>
                </w:p>
              </w:tc>
              <w:tc>
                <w:tcPr>
                  <w:tcW w:w="1215" w:type="dxa"/>
                  <w:vAlign w:val="center"/>
                </w:tcPr>
                <w:p>
                  <w:pPr>
                    <w:spacing w:line="240" w:lineRule="auto"/>
                    <w:jc w:val="center"/>
                    <w:rPr>
                      <w:sz w:val="21"/>
                      <w:szCs w:val="21"/>
                    </w:rPr>
                  </w:pPr>
                  <w:r>
                    <w:rPr>
                      <w:rFonts w:hint="eastAsia"/>
                      <w:sz w:val="21"/>
                      <w:szCs w:val="21"/>
                    </w:rPr>
                    <w:t>57.5</w:t>
                  </w:r>
                </w:p>
              </w:tc>
              <w:tc>
                <w:tcPr>
                  <w:tcW w:w="1080" w:type="dxa"/>
                  <w:vAlign w:val="center"/>
                </w:tcPr>
                <w:p>
                  <w:pPr>
                    <w:spacing w:line="240" w:lineRule="auto"/>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line="240" w:lineRule="auto"/>
                    <w:jc w:val="center"/>
                    <w:rPr>
                      <w:sz w:val="21"/>
                      <w:szCs w:val="21"/>
                    </w:rPr>
                  </w:pPr>
                  <w:r>
                    <w:rPr>
                      <w:rFonts w:hint="eastAsia"/>
                      <w:sz w:val="21"/>
                      <w:szCs w:val="21"/>
                    </w:rPr>
                    <w:t>PM</w:t>
                  </w:r>
                  <w:r>
                    <w:rPr>
                      <w:rFonts w:hint="eastAsia"/>
                      <w:sz w:val="21"/>
                      <w:szCs w:val="21"/>
                      <w:vertAlign w:val="subscript"/>
                    </w:rPr>
                    <w:t>10</w:t>
                  </w:r>
                </w:p>
              </w:tc>
              <w:tc>
                <w:tcPr>
                  <w:tcW w:w="2154" w:type="dxa"/>
                  <w:vAlign w:val="center"/>
                </w:tcPr>
                <w:p>
                  <w:pPr>
                    <w:spacing w:line="240" w:lineRule="auto"/>
                    <w:jc w:val="center"/>
                    <w:rPr>
                      <w:sz w:val="21"/>
                      <w:szCs w:val="21"/>
                    </w:rPr>
                  </w:pPr>
                  <w:r>
                    <w:rPr>
                      <w:rFonts w:hint="eastAsia"/>
                      <w:sz w:val="21"/>
                      <w:szCs w:val="21"/>
                    </w:rPr>
                    <w:t>年平均质量浓度</w:t>
                  </w:r>
                </w:p>
              </w:tc>
              <w:tc>
                <w:tcPr>
                  <w:tcW w:w="1185" w:type="dxa"/>
                  <w:vAlign w:val="center"/>
                </w:tcPr>
                <w:p>
                  <w:pPr>
                    <w:spacing w:line="240" w:lineRule="auto"/>
                    <w:jc w:val="center"/>
                    <w:rPr>
                      <w:sz w:val="21"/>
                      <w:szCs w:val="21"/>
                    </w:rPr>
                  </w:pPr>
                  <w:r>
                    <w:rPr>
                      <w:rFonts w:hint="eastAsia"/>
                      <w:sz w:val="21"/>
                      <w:szCs w:val="21"/>
                    </w:rPr>
                    <w:t>84</w:t>
                  </w:r>
                </w:p>
              </w:tc>
              <w:tc>
                <w:tcPr>
                  <w:tcW w:w="1185" w:type="dxa"/>
                  <w:vAlign w:val="center"/>
                </w:tcPr>
                <w:p>
                  <w:pPr>
                    <w:spacing w:line="240" w:lineRule="auto"/>
                    <w:jc w:val="center"/>
                    <w:rPr>
                      <w:sz w:val="21"/>
                      <w:szCs w:val="21"/>
                    </w:rPr>
                  </w:pPr>
                  <w:r>
                    <w:rPr>
                      <w:rFonts w:hint="eastAsia"/>
                      <w:sz w:val="21"/>
                      <w:szCs w:val="21"/>
                    </w:rPr>
                    <w:t>70</w:t>
                  </w:r>
                </w:p>
              </w:tc>
              <w:tc>
                <w:tcPr>
                  <w:tcW w:w="1215" w:type="dxa"/>
                  <w:vAlign w:val="center"/>
                </w:tcPr>
                <w:p>
                  <w:pPr>
                    <w:spacing w:line="240" w:lineRule="auto"/>
                    <w:jc w:val="center"/>
                    <w:rPr>
                      <w:sz w:val="21"/>
                      <w:szCs w:val="21"/>
                    </w:rPr>
                  </w:pPr>
                  <w:r>
                    <w:rPr>
                      <w:rFonts w:hint="eastAsia"/>
                      <w:sz w:val="21"/>
                      <w:szCs w:val="21"/>
                    </w:rPr>
                    <w:t>120.0</w:t>
                  </w:r>
                </w:p>
              </w:tc>
              <w:tc>
                <w:tcPr>
                  <w:tcW w:w="1080" w:type="dxa"/>
                  <w:vAlign w:val="center"/>
                </w:tcPr>
                <w:p>
                  <w:pPr>
                    <w:spacing w:line="240" w:lineRule="auto"/>
                    <w:jc w:val="center"/>
                    <w:rPr>
                      <w:sz w:val="21"/>
                      <w:szCs w:val="21"/>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line="240" w:lineRule="auto"/>
                    <w:jc w:val="center"/>
                    <w:rPr>
                      <w:sz w:val="21"/>
                      <w:szCs w:val="21"/>
                    </w:rPr>
                  </w:pPr>
                  <w:r>
                    <w:rPr>
                      <w:rFonts w:hint="eastAsia"/>
                      <w:sz w:val="21"/>
                      <w:szCs w:val="21"/>
                    </w:rPr>
                    <w:t>PM</w:t>
                  </w:r>
                  <w:r>
                    <w:rPr>
                      <w:rFonts w:hint="eastAsia"/>
                      <w:sz w:val="21"/>
                      <w:szCs w:val="21"/>
                      <w:vertAlign w:val="subscript"/>
                    </w:rPr>
                    <w:t>2.5</w:t>
                  </w:r>
                </w:p>
              </w:tc>
              <w:tc>
                <w:tcPr>
                  <w:tcW w:w="2154" w:type="dxa"/>
                  <w:vAlign w:val="center"/>
                </w:tcPr>
                <w:p>
                  <w:pPr>
                    <w:spacing w:line="240" w:lineRule="auto"/>
                    <w:jc w:val="center"/>
                    <w:rPr>
                      <w:sz w:val="21"/>
                      <w:szCs w:val="21"/>
                    </w:rPr>
                  </w:pPr>
                  <w:r>
                    <w:rPr>
                      <w:rFonts w:hint="eastAsia"/>
                      <w:sz w:val="21"/>
                      <w:szCs w:val="21"/>
                    </w:rPr>
                    <w:t>年平均质量浓度</w:t>
                  </w:r>
                </w:p>
              </w:tc>
              <w:tc>
                <w:tcPr>
                  <w:tcW w:w="1185" w:type="dxa"/>
                  <w:vAlign w:val="center"/>
                </w:tcPr>
                <w:p>
                  <w:pPr>
                    <w:spacing w:line="240" w:lineRule="auto"/>
                    <w:jc w:val="center"/>
                    <w:rPr>
                      <w:sz w:val="21"/>
                      <w:szCs w:val="21"/>
                    </w:rPr>
                  </w:pPr>
                  <w:r>
                    <w:rPr>
                      <w:rFonts w:hint="eastAsia"/>
                      <w:sz w:val="21"/>
                      <w:szCs w:val="21"/>
                      <w:lang w:val="en-US" w:eastAsia="zh-CN"/>
                    </w:rPr>
                    <w:t>57</w:t>
                  </w:r>
                </w:p>
              </w:tc>
              <w:tc>
                <w:tcPr>
                  <w:tcW w:w="1185" w:type="dxa"/>
                  <w:vAlign w:val="center"/>
                </w:tcPr>
                <w:p>
                  <w:pPr>
                    <w:spacing w:line="240" w:lineRule="auto"/>
                    <w:jc w:val="center"/>
                    <w:rPr>
                      <w:sz w:val="21"/>
                      <w:szCs w:val="21"/>
                    </w:rPr>
                  </w:pPr>
                  <w:r>
                    <w:rPr>
                      <w:rFonts w:hint="eastAsia"/>
                      <w:sz w:val="21"/>
                      <w:szCs w:val="21"/>
                    </w:rPr>
                    <w:t>35</w:t>
                  </w:r>
                </w:p>
              </w:tc>
              <w:tc>
                <w:tcPr>
                  <w:tcW w:w="1215" w:type="dxa"/>
                  <w:vAlign w:val="center"/>
                </w:tcPr>
                <w:p>
                  <w:pPr>
                    <w:spacing w:line="240" w:lineRule="auto"/>
                    <w:jc w:val="center"/>
                    <w:rPr>
                      <w:sz w:val="21"/>
                      <w:szCs w:val="21"/>
                    </w:rPr>
                  </w:pPr>
                  <w:r>
                    <w:rPr>
                      <w:rFonts w:hint="eastAsia"/>
                      <w:color w:val="auto"/>
                      <w:sz w:val="21"/>
                      <w:szCs w:val="21"/>
                      <w:lang w:val="en-US" w:eastAsia="zh-CN"/>
                    </w:rPr>
                    <w:t>162.8</w:t>
                  </w:r>
                </w:p>
              </w:tc>
              <w:tc>
                <w:tcPr>
                  <w:tcW w:w="1080" w:type="dxa"/>
                  <w:vAlign w:val="center"/>
                </w:tcPr>
                <w:p>
                  <w:pPr>
                    <w:spacing w:line="240" w:lineRule="auto"/>
                    <w:jc w:val="center"/>
                    <w:rPr>
                      <w:sz w:val="21"/>
                      <w:szCs w:val="21"/>
                    </w:rPr>
                  </w:pPr>
                  <w:r>
                    <w:rPr>
                      <w:rFonts w:hint="eastAsia"/>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line="240" w:lineRule="auto"/>
                    <w:jc w:val="center"/>
                    <w:rPr>
                      <w:sz w:val="21"/>
                      <w:szCs w:val="21"/>
                    </w:rPr>
                  </w:pPr>
                  <w:r>
                    <w:rPr>
                      <w:rFonts w:hint="eastAsia"/>
                      <w:sz w:val="21"/>
                      <w:szCs w:val="21"/>
                    </w:rPr>
                    <w:t>CO</w:t>
                  </w:r>
                </w:p>
              </w:tc>
              <w:tc>
                <w:tcPr>
                  <w:tcW w:w="2154" w:type="dxa"/>
                  <w:vAlign w:val="center"/>
                </w:tcPr>
                <w:p>
                  <w:pPr>
                    <w:spacing w:line="240" w:lineRule="auto"/>
                    <w:jc w:val="center"/>
                    <w:rPr>
                      <w:sz w:val="21"/>
                      <w:szCs w:val="21"/>
                    </w:rPr>
                  </w:pPr>
                  <w:r>
                    <w:rPr>
                      <w:rFonts w:hint="eastAsia"/>
                      <w:sz w:val="21"/>
                      <w:szCs w:val="21"/>
                    </w:rPr>
                    <w:t>24小时平均第95百分位数</w:t>
                  </w:r>
                </w:p>
              </w:tc>
              <w:tc>
                <w:tcPr>
                  <w:tcW w:w="1185" w:type="dxa"/>
                  <w:vAlign w:val="center"/>
                </w:tcPr>
                <w:p>
                  <w:pPr>
                    <w:spacing w:line="240" w:lineRule="auto"/>
                    <w:jc w:val="center"/>
                    <w:rPr>
                      <w:sz w:val="21"/>
                      <w:szCs w:val="21"/>
                    </w:rPr>
                  </w:pPr>
                  <w:r>
                    <w:rPr>
                      <w:rFonts w:hint="eastAsia"/>
                      <w:sz w:val="21"/>
                      <w:szCs w:val="21"/>
                    </w:rPr>
                    <w:t>1100</w:t>
                  </w:r>
                </w:p>
              </w:tc>
              <w:tc>
                <w:tcPr>
                  <w:tcW w:w="1185" w:type="dxa"/>
                  <w:vAlign w:val="center"/>
                </w:tcPr>
                <w:p>
                  <w:pPr>
                    <w:spacing w:line="240" w:lineRule="auto"/>
                    <w:jc w:val="center"/>
                    <w:rPr>
                      <w:sz w:val="21"/>
                      <w:szCs w:val="21"/>
                    </w:rPr>
                  </w:pPr>
                  <w:r>
                    <w:rPr>
                      <w:rFonts w:hint="eastAsia"/>
                      <w:sz w:val="21"/>
                      <w:szCs w:val="21"/>
                    </w:rPr>
                    <w:t>4000</w:t>
                  </w:r>
                </w:p>
              </w:tc>
              <w:tc>
                <w:tcPr>
                  <w:tcW w:w="1215" w:type="dxa"/>
                  <w:vAlign w:val="center"/>
                </w:tcPr>
                <w:p>
                  <w:pPr>
                    <w:spacing w:line="240" w:lineRule="auto"/>
                    <w:jc w:val="center"/>
                    <w:rPr>
                      <w:sz w:val="21"/>
                      <w:szCs w:val="21"/>
                    </w:rPr>
                  </w:pPr>
                  <w:r>
                    <w:rPr>
                      <w:rFonts w:hint="eastAsia"/>
                      <w:sz w:val="21"/>
                      <w:szCs w:val="21"/>
                    </w:rPr>
                    <w:t>27.5</w:t>
                  </w:r>
                </w:p>
              </w:tc>
              <w:tc>
                <w:tcPr>
                  <w:tcW w:w="1080" w:type="dxa"/>
                  <w:vAlign w:val="center"/>
                </w:tcPr>
                <w:p>
                  <w:pPr>
                    <w:spacing w:line="240" w:lineRule="auto"/>
                    <w:jc w:val="center"/>
                    <w:rPr>
                      <w:sz w:val="21"/>
                      <w:szCs w:val="21"/>
                    </w:rPr>
                  </w:pPr>
                  <w:r>
                    <w:rPr>
                      <w:rFonts w:hint="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7" w:type="dxa"/>
                  <w:vAlign w:val="center"/>
                </w:tcPr>
                <w:p>
                  <w:pPr>
                    <w:spacing w:line="240" w:lineRule="auto"/>
                    <w:jc w:val="center"/>
                    <w:rPr>
                      <w:sz w:val="21"/>
                      <w:szCs w:val="21"/>
                    </w:rPr>
                  </w:pPr>
                  <w:r>
                    <w:rPr>
                      <w:rFonts w:hint="eastAsia"/>
                      <w:sz w:val="21"/>
                      <w:szCs w:val="21"/>
                    </w:rPr>
                    <w:t>O</w:t>
                  </w:r>
                  <w:r>
                    <w:rPr>
                      <w:rFonts w:hint="eastAsia"/>
                      <w:sz w:val="21"/>
                      <w:szCs w:val="21"/>
                      <w:vertAlign w:val="subscript"/>
                    </w:rPr>
                    <w:t>3</w:t>
                  </w:r>
                </w:p>
              </w:tc>
              <w:tc>
                <w:tcPr>
                  <w:tcW w:w="2154" w:type="dxa"/>
                  <w:vAlign w:val="center"/>
                </w:tcPr>
                <w:p>
                  <w:pPr>
                    <w:spacing w:line="240" w:lineRule="auto"/>
                    <w:jc w:val="center"/>
                    <w:rPr>
                      <w:sz w:val="21"/>
                      <w:szCs w:val="21"/>
                    </w:rPr>
                  </w:pPr>
                  <w:r>
                    <w:rPr>
                      <w:rFonts w:hint="eastAsia"/>
                      <w:sz w:val="21"/>
                      <w:szCs w:val="21"/>
                    </w:rPr>
                    <w:t>日最大8小时平均值的第90百分位数</w:t>
                  </w:r>
                </w:p>
              </w:tc>
              <w:tc>
                <w:tcPr>
                  <w:tcW w:w="1185" w:type="dxa"/>
                  <w:vAlign w:val="center"/>
                </w:tcPr>
                <w:p>
                  <w:pPr>
                    <w:spacing w:line="240" w:lineRule="auto"/>
                    <w:jc w:val="center"/>
                    <w:rPr>
                      <w:sz w:val="21"/>
                      <w:szCs w:val="21"/>
                    </w:rPr>
                  </w:pPr>
                  <w:r>
                    <w:rPr>
                      <w:rFonts w:hint="eastAsia"/>
                      <w:sz w:val="21"/>
                      <w:szCs w:val="21"/>
                    </w:rPr>
                    <w:t>179</w:t>
                  </w:r>
                </w:p>
              </w:tc>
              <w:tc>
                <w:tcPr>
                  <w:tcW w:w="1185" w:type="dxa"/>
                  <w:vAlign w:val="center"/>
                </w:tcPr>
                <w:p>
                  <w:pPr>
                    <w:spacing w:line="240" w:lineRule="auto"/>
                    <w:jc w:val="center"/>
                    <w:rPr>
                      <w:sz w:val="21"/>
                      <w:szCs w:val="21"/>
                    </w:rPr>
                  </w:pPr>
                  <w:r>
                    <w:rPr>
                      <w:rFonts w:hint="eastAsia"/>
                      <w:sz w:val="21"/>
                      <w:szCs w:val="21"/>
                    </w:rPr>
                    <w:t>160</w:t>
                  </w:r>
                </w:p>
              </w:tc>
              <w:tc>
                <w:tcPr>
                  <w:tcW w:w="1215" w:type="dxa"/>
                  <w:vAlign w:val="center"/>
                </w:tcPr>
                <w:p>
                  <w:pPr>
                    <w:spacing w:line="240" w:lineRule="auto"/>
                    <w:jc w:val="center"/>
                    <w:rPr>
                      <w:sz w:val="21"/>
                      <w:szCs w:val="21"/>
                    </w:rPr>
                  </w:pPr>
                  <w:r>
                    <w:rPr>
                      <w:rFonts w:hint="eastAsia"/>
                      <w:sz w:val="21"/>
                      <w:szCs w:val="21"/>
                    </w:rPr>
                    <w:t>111.9</w:t>
                  </w:r>
                </w:p>
              </w:tc>
              <w:tc>
                <w:tcPr>
                  <w:tcW w:w="1080" w:type="dxa"/>
                  <w:vAlign w:val="center"/>
                </w:tcPr>
                <w:p>
                  <w:pPr>
                    <w:spacing w:line="240" w:lineRule="auto"/>
                    <w:jc w:val="center"/>
                    <w:rPr>
                      <w:sz w:val="21"/>
                      <w:szCs w:val="21"/>
                    </w:rPr>
                  </w:pPr>
                  <w:r>
                    <w:rPr>
                      <w:rFonts w:hint="eastAsia"/>
                      <w:sz w:val="21"/>
                      <w:szCs w:val="21"/>
                    </w:rPr>
                    <w:t>不达标</w:t>
                  </w:r>
                </w:p>
              </w:tc>
            </w:tr>
          </w:tbl>
          <w:p>
            <w:pPr>
              <w:keepNext w:val="0"/>
              <w:keepLines w:val="0"/>
              <w:suppressLineNumbers w:val="0"/>
              <w:spacing w:before="0" w:beforeAutospacing="0" w:after="0" w:afterAutospacing="0" w:line="360" w:lineRule="auto"/>
              <w:ind w:left="0" w:right="0" w:firstLine="480" w:firstLineChars="200"/>
              <w:rPr>
                <w:rFonts w:hint="eastAsia" w:eastAsia="宋体"/>
                <w:sz w:val="24"/>
                <w:szCs w:val="24"/>
              </w:rPr>
            </w:pPr>
            <w:r>
              <w:rPr>
                <w:rFonts w:hint="eastAsia" w:eastAsia="宋体"/>
                <w:sz w:val="24"/>
                <w:szCs w:val="24"/>
              </w:rPr>
              <w:t>由上表统计结果可知，区域内二氧化硫、二氧化氮年平均浓度均达标；CO24小时平均第95百分位数浓度达标；可吸入颗粒物、细颗粒物年平均浓度均不达标，日最大8小时平均值的第90百分位数不达标；由此判断项目所在区域为不达标区。</w:t>
            </w:r>
          </w:p>
          <w:p>
            <w:pPr>
              <w:keepNext w:val="0"/>
              <w:keepLines w:val="0"/>
              <w:suppressLineNumbers w:val="0"/>
              <w:spacing w:before="0" w:beforeAutospacing="0" w:after="0" w:afterAutospacing="0" w:line="360" w:lineRule="auto"/>
              <w:ind w:left="0" w:right="0" w:firstLine="480" w:firstLineChars="200"/>
              <w:rPr>
                <w:rFonts w:hint="eastAsia" w:eastAsia="宋体"/>
                <w:sz w:val="24"/>
                <w:szCs w:val="24"/>
              </w:rPr>
            </w:pPr>
            <w:r>
              <w:rPr>
                <w:rFonts w:hint="default" w:ascii="Times New Roman" w:hAnsi="Times New Roman" w:cs="Times New Roman"/>
                <w:color w:val="auto"/>
                <w:sz w:val="24"/>
              </w:rPr>
              <w:t>针对基本污染物不达标问题，宿州市人民政府决定采取措施进行区域整改，具体整改措施如下：在加大调整产业结构、强化环境监督、综合整治面源污染的同时，进一步完善工业污染源治理，取缔分散居民燃煤锅炉的使用，加强施工临时堆土管理及车辆运输管理，该措施能够使得大气环境质量得到有效改善。</w:t>
            </w:r>
          </w:p>
          <w:p>
            <w:pPr>
              <w:spacing w:line="360" w:lineRule="auto"/>
              <w:ind w:firstLine="480" w:firstLineChars="200"/>
              <w:outlineLvl w:val="4"/>
              <w:rPr>
                <w:sz w:val="24"/>
              </w:rPr>
            </w:pPr>
            <w:r>
              <w:rPr>
                <w:rFonts w:ascii="宋体" w:hAnsi="宋体" w:cs="宋体"/>
                <w:sz w:val="24"/>
                <w:szCs w:val="24"/>
              </w:rPr>
              <w:t>因</w:t>
            </w:r>
            <w:r>
              <w:rPr>
                <w:rFonts w:hint="eastAsia" w:ascii="Times New Roman" w:hAnsi="Times New Roman" w:cs="Times New Roman"/>
                <w:sz w:val="24"/>
                <w:szCs w:val="24"/>
                <w:lang w:val="en-US" w:eastAsia="zh-CN"/>
              </w:rPr>
              <w:t>宿州空艺景观工程有限公司</w:t>
            </w:r>
            <w:r>
              <w:rPr>
                <w:rFonts w:hint="eastAsia" w:ascii="Times New Roman" w:hAnsi="Times New Roman" w:cs="Times New Roman"/>
                <w:sz w:val="24"/>
                <w:szCs w:val="24"/>
              </w:rPr>
              <w:t>和</w:t>
            </w:r>
            <w:r>
              <w:rPr>
                <w:color w:val="000000"/>
                <w:sz w:val="24"/>
                <w:szCs w:val="24"/>
              </w:rPr>
              <w:t>安徽鲁小班景观工程有限公司</w:t>
            </w:r>
            <w:r>
              <w:rPr>
                <w:rFonts w:hint="eastAsia" w:ascii="Times New Roman" w:hAnsi="Times New Roman" w:cs="Times New Roman"/>
                <w:sz w:val="24"/>
                <w:szCs w:val="24"/>
                <w:lang w:val="en-US" w:eastAsia="zh-CN"/>
              </w:rPr>
              <w:t>及</w:t>
            </w:r>
            <w:r>
              <w:rPr>
                <w:rFonts w:hint="eastAsia" w:ascii="宋体" w:hAnsi="宋体" w:cs="宋体"/>
                <w:sz w:val="24"/>
              </w:rPr>
              <w:t>泗县勇兰家具制造厂</w:t>
            </w:r>
            <w:r>
              <w:rPr>
                <w:rFonts w:hint="eastAsia" w:ascii="宋体" w:hAnsi="宋体" w:cs="宋体"/>
                <w:sz w:val="24"/>
                <w:lang w:eastAsia="zh-CN"/>
              </w:rPr>
              <w:t>（</w:t>
            </w:r>
            <w:r>
              <w:rPr>
                <w:color w:val="000000"/>
                <w:sz w:val="24"/>
                <w:szCs w:val="24"/>
              </w:rPr>
              <w:t>安徽鲁小班景观工程有限公司</w:t>
            </w:r>
            <w:r>
              <w:rPr>
                <w:rFonts w:hint="eastAsia"/>
                <w:color w:val="000000"/>
                <w:sz w:val="24"/>
                <w:szCs w:val="24"/>
                <w:lang w:val="en-US" w:eastAsia="zh-CN"/>
              </w:rPr>
              <w:t>和</w:t>
            </w:r>
            <w:r>
              <w:rPr>
                <w:rFonts w:hint="eastAsia" w:ascii="宋体" w:hAnsi="宋体" w:cs="宋体"/>
                <w:sz w:val="24"/>
              </w:rPr>
              <w:t>泗县勇兰家具制造厂</w:t>
            </w:r>
            <w:r>
              <w:rPr>
                <w:rFonts w:ascii="宋体" w:hAnsi="宋体" w:eastAsia="宋体" w:cs="宋体"/>
                <w:sz w:val="24"/>
                <w:szCs w:val="24"/>
              </w:rPr>
              <w:t>共用一栋厂房</w:t>
            </w:r>
            <w:r>
              <w:rPr>
                <w:rFonts w:hint="eastAsia" w:ascii="宋体" w:hAnsi="宋体" w:cs="宋体"/>
                <w:sz w:val="24"/>
                <w:lang w:eastAsia="zh-CN"/>
              </w:rPr>
              <w:t>）</w:t>
            </w:r>
            <w:r>
              <w:rPr>
                <w:rFonts w:hint="eastAsia" w:ascii="Times New Roman" w:hAnsi="Times New Roman" w:cs="Times New Roman"/>
                <w:sz w:val="24"/>
                <w:szCs w:val="24"/>
                <w:lang w:val="en-US" w:eastAsia="zh-CN"/>
              </w:rPr>
              <w:t>同属</w:t>
            </w:r>
            <w:r>
              <w:rPr>
                <w:rFonts w:hint="eastAsia" w:ascii="Times New Roman" w:hAnsi="Times New Roman" w:cs="Times New Roman"/>
                <w:sz w:val="24"/>
                <w:szCs w:val="24"/>
              </w:rPr>
              <w:t>泗县刘圩镇</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且相距距离约200米，</w:t>
            </w:r>
            <w:r>
              <w:rPr>
                <w:rFonts w:ascii="宋体" w:hAnsi="宋体" w:eastAsia="宋体" w:cs="宋体"/>
                <w:sz w:val="24"/>
                <w:szCs w:val="24"/>
              </w:rPr>
              <w:t>依据</w:t>
            </w:r>
            <w:r>
              <w:rPr>
                <w:rFonts w:hint="eastAsia" w:ascii="Times New Roman" w:hAnsi="Times New Roman" w:cs="Times New Roman"/>
                <w:sz w:val="24"/>
                <w:szCs w:val="24"/>
              </w:rPr>
              <w:t>建设项目环境影响报告表编制技术指南（污染影响类）（试行）</w:t>
            </w:r>
            <w:r>
              <w:rPr>
                <w:rFonts w:ascii="宋体" w:hAnsi="宋体" w:eastAsia="宋体" w:cs="宋体"/>
                <w:sz w:val="24"/>
                <w:szCs w:val="24"/>
              </w:rPr>
              <w:t>中区域环境质量现状要求</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因</w:t>
            </w:r>
            <w:r>
              <w:rPr>
                <w:rFonts w:ascii="宋体" w:hAnsi="宋体" w:cs="宋体"/>
                <w:sz w:val="24"/>
                <w:szCs w:val="24"/>
              </w:rPr>
              <w:t>此本项目引用安徽</w:t>
            </w:r>
            <w:r>
              <w:rPr>
                <w:rFonts w:hint="eastAsia" w:ascii="宋体" w:hAnsi="宋体" w:cs="宋体"/>
                <w:sz w:val="24"/>
                <w:szCs w:val="24"/>
              </w:rPr>
              <w:t>尚德谱</w:t>
            </w:r>
            <w:r>
              <w:rPr>
                <w:rFonts w:ascii="宋体" w:hAnsi="宋体" w:cs="宋体"/>
                <w:sz w:val="24"/>
                <w:szCs w:val="24"/>
              </w:rPr>
              <w:t>检测技术有限公司</w:t>
            </w:r>
            <w:r>
              <w:rPr>
                <w:sz w:val="24"/>
                <w:szCs w:val="24"/>
              </w:rPr>
              <w:t>检测</w:t>
            </w:r>
            <w:r>
              <w:rPr>
                <w:sz w:val="24"/>
              </w:rPr>
              <w:t>的《</w:t>
            </w:r>
            <w:r>
              <w:rPr>
                <w:rFonts w:hint="eastAsia" w:ascii="宋体" w:hAnsi="宋体" w:cs="宋体"/>
                <w:sz w:val="24"/>
              </w:rPr>
              <w:t>泗县勇兰家具制造厂</w:t>
            </w:r>
            <w:r>
              <w:rPr>
                <w:sz w:val="24"/>
              </w:rPr>
              <w:t>检测报告》</w:t>
            </w:r>
            <w:r>
              <w:rPr>
                <w:rFonts w:hint="eastAsia"/>
                <w:sz w:val="24"/>
              </w:rPr>
              <w:t>中非甲烷总烃</w:t>
            </w:r>
            <w:r>
              <w:rPr>
                <w:sz w:val="24"/>
              </w:rPr>
              <w:t>的检测数据</w:t>
            </w:r>
            <w:r>
              <w:rPr>
                <w:rFonts w:hint="eastAsia"/>
                <w:sz w:val="24"/>
                <w:lang w:val="en-US" w:eastAsia="zh-CN"/>
              </w:rPr>
              <w:t>和</w:t>
            </w:r>
            <w:r>
              <w:rPr>
                <w:rFonts w:ascii="宋体" w:hAnsi="宋体" w:cs="宋体"/>
                <w:sz w:val="24"/>
              </w:rPr>
              <w:t>安徽波</w:t>
            </w:r>
            <w:r>
              <w:rPr>
                <w:rFonts w:hint="eastAsia" w:ascii="宋体" w:hAnsi="宋体" w:cs="宋体"/>
                <w:sz w:val="24"/>
              </w:rPr>
              <w:t>谱</w:t>
            </w:r>
            <w:r>
              <w:rPr>
                <w:rFonts w:ascii="宋体" w:hAnsi="宋体" w:cs="宋体"/>
                <w:sz w:val="24"/>
              </w:rPr>
              <w:t>检测技术有限公司检测的</w:t>
            </w:r>
            <w:r>
              <w:rPr>
                <w:sz w:val="24"/>
              </w:rPr>
              <w:t>《</w:t>
            </w:r>
            <w:r>
              <w:rPr>
                <w:rFonts w:hint="eastAsia" w:ascii="宋体" w:hAnsi="宋体" w:cs="宋体"/>
                <w:sz w:val="24"/>
              </w:rPr>
              <w:t>安徽鲁小班景观工程有限公司</w:t>
            </w:r>
            <w:r>
              <w:rPr>
                <w:sz w:val="24"/>
              </w:rPr>
              <w:t>检测报告》</w:t>
            </w:r>
            <w:r>
              <w:rPr>
                <w:rFonts w:hint="eastAsia"/>
                <w:sz w:val="24"/>
              </w:rPr>
              <w:t>中</w:t>
            </w:r>
            <w:r>
              <w:rPr>
                <w:rFonts w:ascii="宋体" w:hAnsi="宋体" w:cs="宋体"/>
                <w:sz w:val="24"/>
              </w:rPr>
              <w:t>二甲苯</w:t>
            </w:r>
            <w:r>
              <w:rPr>
                <w:sz w:val="24"/>
              </w:rPr>
              <w:t>的检测数据</w:t>
            </w:r>
            <w:r>
              <w:rPr>
                <w:rFonts w:ascii="宋体" w:hAnsi="宋体" w:eastAsia="宋体" w:cs="宋体"/>
                <w:sz w:val="24"/>
                <w:szCs w:val="24"/>
              </w:rPr>
              <w:t>是可行的</w:t>
            </w:r>
            <w:r>
              <w:rPr>
                <w:sz w:val="24"/>
              </w:rPr>
              <w:t>，具体数据如下</w:t>
            </w:r>
            <w:r>
              <w:rPr>
                <w:rFonts w:hint="eastAsia"/>
                <w:sz w:val="24"/>
                <w:lang w:bidi="ar"/>
              </w:rPr>
              <w:t>：</w:t>
            </w:r>
          </w:p>
          <w:p>
            <w:pPr>
              <w:pStyle w:val="2"/>
              <w:spacing w:before="0" w:after="0" w:line="360" w:lineRule="auto"/>
              <w:jc w:val="center"/>
              <w:rPr>
                <w:b/>
                <w:bCs/>
                <w:kern w:val="2"/>
                <w:sz w:val="24"/>
                <w:szCs w:val="24"/>
              </w:rPr>
            </w:pPr>
            <w:r>
              <w:rPr>
                <w:rFonts w:hint="eastAsia"/>
                <w:b/>
                <w:bCs/>
                <w:kern w:val="2"/>
                <w:sz w:val="24"/>
                <w:szCs w:val="24"/>
              </w:rPr>
              <w:t>表3-2  环境空气</w:t>
            </w:r>
            <w:r>
              <w:rPr>
                <w:b/>
                <w:bCs/>
                <w:kern w:val="2"/>
                <w:sz w:val="24"/>
                <w:szCs w:val="24"/>
              </w:rPr>
              <w:t>监测结果统计表</w:t>
            </w:r>
          </w:p>
          <w:tbl>
            <w:tblPr>
              <w:tblStyle w:val="23"/>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368"/>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restart"/>
                  <w:vAlign w:val="center"/>
                </w:tcPr>
                <w:p>
                  <w:pPr>
                    <w:pStyle w:val="2"/>
                    <w:spacing w:line="240" w:lineRule="auto"/>
                    <w:jc w:val="center"/>
                    <w:rPr>
                      <w:b/>
                      <w:bCs/>
                      <w:kern w:val="2"/>
                      <w:sz w:val="21"/>
                      <w:szCs w:val="21"/>
                      <w:lang w:bidi="zh-CN"/>
                    </w:rPr>
                  </w:pPr>
                  <w:r>
                    <w:rPr>
                      <w:b/>
                      <w:bCs/>
                      <w:kern w:val="2"/>
                      <w:sz w:val="21"/>
                      <w:szCs w:val="21"/>
                      <w:lang w:bidi="zh-CN"/>
                    </w:rPr>
                    <w:t>监测时间</w:t>
                  </w:r>
                </w:p>
              </w:tc>
              <w:tc>
                <w:tcPr>
                  <w:tcW w:w="1368" w:type="dxa"/>
                  <w:vMerge w:val="restart"/>
                  <w:vAlign w:val="center"/>
                </w:tcPr>
                <w:p>
                  <w:pPr>
                    <w:pStyle w:val="2"/>
                    <w:spacing w:line="240" w:lineRule="auto"/>
                    <w:jc w:val="center"/>
                    <w:rPr>
                      <w:b/>
                      <w:bCs/>
                      <w:kern w:val="2"/>
                      <w:sz w:val="21"/>
                      <w:szCs w:val="21"/>
                      <w:lang w:bidi="zh-CN"/>
                    </w:rPr>
                  </w:pPr>
                  <w:r>
                    <w:rPr>
                      <w:b/>
                      <w:bCs/>
                      <w:kern w:val="2"/>
                      <w:sz w:val="21"/>
                      <w:szCs w:val="21"/>
                      <w:lang w:bidi="zh-CN"/>
                    </w:rPr>
                    <w:t>监测时间</w:t>
                  </w:r>
                </w:p>
              </w:tc>
              <w:tc>
                <w:tcPr>
                  <w:tcW w:w="3948" w:type="dxa"/>
                </w:tcPr>
                <w:p>
                  <w:pPr>
                    <w:pStyle w:val="9"/>
                    <w:ind w:firstLine="0" w:firstLineChars="0"/>
                    <w:jc w:val="center"/>
                    <w:rPr>
                      <w:b/>
                      <w:bCs/>
                      <w:szCs w:val="21"/>
                      <w:lang w:bidi="zh-CN"/>
                    </w:rPr>
                  </w:pPr>
                  <w:r>
                    <w:rPr>
                      <w:b/>
                      <w:bCs/>
                      <w:szCs w:val="21"/>
                      <w:lang w:bidi="zh-CN"/>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Merge w:val="continue"/>
                </w:tcPr>
                <w:p>
                  <w:pPr>
                    <w:pStyle w:val="9"/>
                    <w:ind w:firstLine="422"/>
                    <w:rPr>
                      <w:b/>
                      <w:bCs/>
                      <w:szCs w:val="21"/>
                      <w:lang w:bidi="zh-CN"/>
                    </w:rPr>
                  </w:pPr>
                </w:p>
              </w:tc>
              <w:tc>
                <w:tcPr>
                  <w:tcW w:w="3948" w:type="dxa"/>
                </w:tcPr>
                <w:p>
                  <w:pPr>
                    <w:pStyle w:val="9"/>
                    <w:ind w:firstLine="0" w:firstLineChars="0"/>
                    <w:jc w:val="center"/>
                    <w:rPr>
                      <w:b/>
                      <w:bCs/>
                      <w:szCs w:val="21"/>
                      <w:lang w:bidi="zh-CN"/>
                    </w:rPr>
                  </w:pPr>
                  <w:r>
                    <w:rPr>
                      <w:rFonts w:hint="eastAsia"/>
                      <w:b/>
                      <w:bCs/>
                      <w:szCs w:val="21"/>
                      <w:lang w:bidi="zh-CN"/>
                    </w:rPr>
                    <w:t>非甲烷总烃</w:t>
                  </w:r>
                  <w:r>
                    <w:rPr>
                      <w:b/>
                      <w:bCs/>
                      <w:szCs w:val="21"/>
                      <w:lang w:bidi="zh-CN"/>
                    </w:rPr>
                    <w:t>（mg/m</w:t>
                  </w:r>
                  <w:r>
                    <w:rPr>
                      <w:b/>
                      <w:bCs/>
                      <w:szCs w:val="21"/>
                      <w:vertAlign w:val="superscript"/>
                      <w:lang w:bidi="zh-CN"/>
                    </w:rPr>
                    <w:t>3</w:t>
                  </w:r>
                  <w:r>
                    <w:rPr>
                      <w:b/>
                      <w:bCs/>
                      <w:szCs w:val="21"/>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4" w:type="dxa"/>
                  <w:gridSpan w:val="3"/>
                </w:tcPr>
                <w:p>
                  <w:pPr>
                    <w:pStyle w:val="9"/>
                    <w:ind w:firstLine="422"/>
                    <w:rPr>
                      <w:b/>
                      <w:bCs/>
                      <w:szCs w:val="21"/>
                      <w:lang w:bidi="zh-CN"/>
                    </w:rPr>
                  </w:pPr>
                  <w:r>
                    <w:rPr>
                      <w:b/>
                      <w:bCs/>
                      <w:szCs w:val="21"/>
                      <w:lang w:bidi="zh-CN"/>
                    </w:rPr>
                    <w:t>监测点位：泗县刘圩初级中学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58" w:type="dxa"/>
                  <w:vMerge w:val="restart"/>
                  <w:vAlign w:val="center"/>
                </w:tcPr>
                <w:p>
                  <w:pPr>
                    <w:jc w:val="center"/>
                    <w:rPr>
                      <w:b/>
                      <w:bCs/>
                      <w:szCs w:val="21"/>
                      <w:lang w:bidi="zh-CN"/>
                    </w:rPr>
                  </w:pPr>
                  <w:r>
                    <w:rPr>
                      <w:b/>
                      <w:bCs/>
                      <w:szCs w:val="21"/>
                      <w:lang w:bidi="zh-CN"/>
                    </w:rPr>
                    <w:t>2021年7月1日</w:t>
                  </w:r>
                </w:p>
              </w:tc>
              <w:tc>
                <w:tcPr>
                  <w:tcW w:w="1368" w:type="dxa"/>
                  <w:vAlign w:val="center"/>
                </w:tcPr>
                <w:p>
                  <w:pPr>
                    <w:jc w:val="center"/>
                    <w:rPr>
                      <w:szCs w:val="21"/>
                      <w:lang w:bidi="zh-CN"/>
                    </w:rPr>
                  </w:pPr>
                  <w:r>
                    <w:rPr>
                      <w:szCs w:val="21"/>
                      <w:lang w:bidi="zh-CN"/>
                    </w:rPr>
                    <w:t>2:00</w:t>
                  </w:r>
                </w:p>
              </w:tc>
              <w:tc>
                <w:tcPr>
                  <w:tcW w:w="3948" w:type="dxa"/>
                  <w:vAlign w:val="center"/>
                </w:tcPr>
                <w:p>
                  <w:pPr>
                    <w:jc w:val="center"/>
                    <w:rPr>
                      <w:szCs w:val="21"/>
                      <w:lang w:bidi="zh-CN"/>
                    </w:rPr>
                  </w:pPr>
                  <w:r>
                    <w:rPr>
                      <w:rFonts w:hint="eastAsia"/>
                      <w:szCs w:val="21"/>
                      <w:lang w:bidi="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8:00</w:t>
                  </w:r>
                </w:p>
              </w:tc>
              <w:tc>
                <w:tcPr>
                  <w:tcW w:w="3948" w:type="dxa"/>
                  <w:vAlign w:val="center"/>
                </w:tcPr>
                <w:p>
                  <w:pPr>
                    <w:widowControl/>
                    <w:jc w:val="center"/>
                    <w:textAlignment w:val="center"/>
                    <w:rPr>
                      <w:szCs w:val="21"/>
                      <w:lang w:bidi="zh-CN"/>
                    </w:rPr>
                  </w:pPr>
                  <w:r>
                    <w:rPr>
                      <w:rFonts w:hint="eastAsia"/>
                      <w:szCs w:val="21"/>
                      <w:lang w:bidi="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14:00</w:t>
                  </w:r>
                </w:p>
              </w:tc>
              <w:tc>
                <w:tcPr>
                  <w:tcW w:w="3948" w:type="dxa"/>
                  <w:vAlign w:val="center"/>
                </w:tcPr>
                <w:p>
                  <w:pPr>
                    <w:widowControl/>
                    <w:jc w:val="center"/>
                    <w:textAlignment w:val="center"/>
                    <w:rPr>
                      <w:szCs w:val="21"/>
                      <w:lang w:bidi="zh-CN"/>
                    </w:rPr>
                  </w:pPr>
                  <w:r>
                    <w:rPr>
                      <w:rFonts w:hint="eastAsia"/>
                      <w:szCs w:val="21"/>
                      <w:lang w:bidi="zh-CN"/>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20:00</w:t>
                  </w:r>
                </w:p>
              </w:tc>
              <w:tc>
                <w:tcPr>
                  <w:tcW w:w="3948" w:type="dxa"/>
                  <w:vAlign w:val="center"/>
                </w:tcPr>
                <w:p>
                  <w:pPr>
                    <w:widowControl/>
                    <w:jc w:val="center"/>
                    <w:textAlignment w:val="center"/>
                    <w:rPr>
                      <w:szCs w:val="21"/>
                      <w:lang w:bidi="zh-CN"/>
                    </w:rPr>
                  </w:pPr>
                  <w:r>
                    <w:rPr>
                      <w:rFonts w:hint="eastAsia"/>
                      <w:szCs w:val="21"/>
                      <w:lang w:bidi="zh-CN"/>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restart"/>
                  <w:vAlign w:val="center"/>
                </w:tcPr>
                <w:p>
                  <w:pPr>
                    <w:jc w:val="center"/>
                    <w:rPr>
                      <w:b/>
                      <w:bCs/>
                      <w:szCs w:val="21"/>
                      <w:lang w:bidi="zh-CN"/>
                    </w:rPr>
                  </w:pPr>
                  <w:r>
                    <w:rPr>
                      <w:b/>
                      <w:bCs/>
                      <w:szCs w:val="21"/>
                      <w:lang w:bidi="zh-CN"/>
                    </w:rPr>
                    <w:t>2021年7月2日</w:t>
                  </w:r>
                </w:p>
              </w:tc>
              <w:tc>
                <w:tcPr>
                  <w:tcW w:w="1368" w:type="dxa"/>
                  <w:vAlign w:val="center"/>
                </w:tcPr>
                <w:p>
                  <w:pPr>
                    <w:jc w:val="center"/>
                    <w:rPr>
                      <w:szCs w:val="21"/>
                      <w:lang w:bidi="zh-CN"/>
                    </w:rPr>
                  </w:pPr>
                  <w:r>
                    <w:rPr>
                      <w:szCs w:val="21"/>
                      <w:lang w:bidi="zh-CN"/>
                    </w:rPr>
                    <w:t>2:00</w:t>
                  </w:r>
                </w:p>
              </w:tc>
              <w:tc>
                <w:tcPr>
                  <w:tcW w:w="3948" w:type="dxa"/>
                  <w:vAlign w:val="center"/>
                </w:tcPr>
                <w:p>
                  <w:pPr>
                    <w:jc w:val="center"/>
                    <w:rPr>
                      <w:szCs w:val="21"/>
                      <w:lang w:bidi="zh-CN"/>
                    </w:rPr>
                  </w:pPr>
                  <w:r>
                    <w:rPr>
                      <w:rFonts w:hint="eastAsia"/>
                      <w:szCs w:val="21"/>
                      <w:lang w:bidi="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8:00</w:t>
                  </w:r>
                </w:p>
              </w:tc>
              <w:tc>
                <w:tcPr>
                  <w:tcW w:w="3948" w:type="dxa"/>
                  <w:vAlign w:val="center"/>
                </w:tcPr>
                <w:p>
                  <w:pPr>
                    <w:widowControl/>
                    <w:jc w:val="center"/>
                    <w:textAlignment w:val="center"/>
                    <w:rPr>
                      <w:szCs w:val="21"/>
                      <w:lang w:bidi="zh-CN"/>
                    </w:rPr>
                  </w:pPr>
                  <w:r>
                    <w:rPr>
                      <w:rFonts w:hint="eastAsia"/>
                      <w:szCs w:val="21"/>
                      <w:lang w:bidi="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14:00</w:t>
                  </w:r>
                </w:p>
              </w:tc>
              <w:tc>
                <w:tcPr>
                  <w:tcW w:w="3948" w:type="dxa"/>
                  <w:vAlign w:val="center"/>
                </w:tcPr>
                <w:p>
                  <w:pPr>
                    <w:widowControl/>
                    <w:jc w:val="center"/>
                    <w:textAlignment w:val="center"/>
                    <w:rPr>
                      <w:szCs w:val="21"/>
                      <w:lang w:bidi="zh-CN"/>
                    </w:rPr>
                  </w:pPr>
                  <w:r>
                    <w:rPr>
                      <w:rFonts w:hint="eastAsia"/>
                      <w:szCs w:val="21"/>
                      <w:lang w:bidi="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20:00</w:t>
                  </w:r>
                </w:p>
              </w:tc>
              <w:tc>
                <w:tcPr>
                  <w:tcW w:w="3948" w:type="dxa"/>
                  <w:vAlign w:val="center"/>
                </w:tcPr>
                <w:p>
                  <w:pPr>
                    <w:widowControl/>
                    <w:jc w:val="center"/>
                    <w:textAlignment w:val="center"/>
                    <w:rPr>
                      <w:szCs w:val="21"/>
                      <w:lang w:bidi="zh-CN"/>
                    </w:rPr>
                  </w:pPr>
                  <w:r>
                    <w:rPr>
                      <w:rFonts w:hint="eastAsia"/>
                      <w:szCs w:val="21"/>
                      <w:lang w:bidi="zh-C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restart"/>
                  <w:vAlign w:val="center"/>
                </w:tcPr>
                <w:p>
                  <w:pPr>
                    <w:jc w:val="center"/>
                    <w:rPr>
                      <w:b/>
                      <w:bCs/>
                      <w:szCs w:val="21"/>
                      <w:lang w:bidi="zh-CN"/>
                    </w:rPr>
                  </w:pPr>
                  <w:r>
                    <w:rPr>
                      <w:b/>
                      <w:bCs/>
                      <w:szCs w:val="21"/>
                      <w:lang w:bidi="zh-CN"/>
                    </w:rPr>
                    <w:t>2021年7月3日</w:t>
                  </w:r>
                </w:p>
              </w:tc>
              <w:tc>
                <w:tcPr>
                  <w:tcW w:w="1368" w:type="dxa"/>
                  <w:vAlign w:val="center"/>
                </w:tcPr>
                <w:p>
                  <w:pPr>
                    <w:jc w:val="center"/>
                    <w:rPr>
                      <w:szCs w:val="21"/>
                      <w:lang w:bidi="zh-CN"/>
                    </w:rPr>
                  </w:pPr>
                  <w:r>
                    <w:rPr>
                      <w:szCs w:val="21"/>
                      <w:lang w:bidi="zh-CN"/>
                    </w:rPr>
                    <w:t>2:00</w:t>
                  </w:r>
                </w:p>
              </w:tc>
              <w:tc>
                <w:tcPr>
                  <w:tcW w:w="3948" w:type="dxa"/>
                  <w:vAlign w:val="center"/>
                </w:tcPr>
                <w:p>
                  <w:pPr>
                    <w:jc w:val="center"/>
                    <w:rPr>
                      <w:szCs w:val="21"/>
                      <w:lang w:bidi="zh-CN"/>
                    </w:rPr>
                  </w:pPr>
                  <w:r>
                    <w:rPr>
                      <w:rFonts w:hint="eastAsia"/>
                      <w:szCs w:val="21"/>
                      <w:lang w:bidi="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8:00</w:t>
                  </w:r>
                </w:p>
              </w:tc>
              <w:tc>
                <w:tcPr>
                  <w:tcW w:w="3948" w:type="dxa"/>
                  <w:vAlign w:val="center"/>
                </w:tcPr>
                <w:p>
                  <w:pPr>
                    <w:widowControl/>
                    <w:jc w:val="center"/>
                    <w:textAlignment w:val="center"/>
                    <w:rPr>
                      <w:szCs w:val="21"/>
                      <w:lang w:bidi="zh-CN"/>
                    </w:rPr>
                  </w:pPr>
                  <w:r>
                    <w:rPr>
                      <w:rFonts w:hint="eastAsia"/>
                      <w:szCs w:val="21"/>
                      <w:lang w:bidi="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14:00</w:t>
                  </w:r>
                </w:p>
              </w:tc>
              <w:tc>
                <w:tcPr>
                  <w:tcW w:w="3948" w:type="dxa"/>
                  <w:vAlign w:val="center"/>
                </w:tcPr>
                <w:p>
                  <w:pPr>
                    <w:widowControl/>
                    <w:jc w:val="center"/>
                    <w:textAlignment w:val="center"/>
                    <w:rPr>
                      <w:szCs w:val="21"/>
                      <w:lang w:bidi="zh-CN"/>
                    </w:rPr>
                  </w:pPr>
                  <w:r>
                    <w:rPr>
                      <w:rFonts w:hint="eastAsia"/>
                      <w:szCs w:val="21"/>
                      <w:lang w:bidi="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20:00</w:t>
                  </w:r>
                </w:p>
              </w:tc>
              <w:tc>
                <w:tcPr>
                  <w:tcW w:w="3948" w:type="dxa"/>
                  <w:vAlign w:val="center"/>
                </w:tcPr>
                <w:p>
                  <w:pPr>
                    <w:widowControl/>
                    <w:jc w:val="center"/>
                    <w:textAlignment w:val="center"/>
                    <w:rPr>
                      <w:szCs w:val="21"/>
                      <w:lang w:bidi="zh-CN"/>
                    </w:rPr>
                  </w:pPr>
                  <w:r>
                    <w:rPr>
                      <w:rFonts w:hint="eastAsia"/>
                      <w:szCs w:val="21"/>
                      <w:lang w:bidi="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Align w:val="center"/>
                </w:tcPr>
                <w:p>
                  <w:pPr>
                    <w:jc w:val="center"/>
                    <w:rPr>
                      <w:b/>
                      <w:bCs/>
                      <w:szCs w:val="21"/>
                      <w:lang w:bidi="zh-CN"/>
                    </w:rPr>
                  </w:pPr>
                  <w:r>
                    <w:rPr>
                      <w:b/>
                      <w:bCs/>
                      <w:szCs w:val="21"/>
                      <w:lang w:bidi="zh-CN"/>
                    </w:rPr>
                    <w:t>备注：</w:t>
                  </w:r>
                </w:p>
              </w:tc>
              <w:tc>
                <w:tcPr>
                  <w:tcW w:w="5316" w:type="dxa"/>
                  <w:gridSpan w:val="2"/>
                  <w:vAlign w:val="center"/>
                </w:tcPr>
                <w:p>
                  <w:pPr>
                    <w:jc w:val="center"/>
                    <w:rPr>
                      <w:szCs w:val="21"/>
                      <w:lang w:bidi="zh-CN"/>
                    </w:rPr>
                  </w:pPr>
                  <w:r>
                    <w:rPr>
                      <w:szCs w:val="21"/>
                      <w:lang w:bidi="zh-CN"/>
                    </w:rPr>
                    <w:t>“ND”表示检测结果低于方法检出限</w:t>
                  </w:r>
                </w:p>
              </w:tc>
            </w:tr>
          </w:tbl>
          <w:p>
            <w:pPr>
              <w:spacing w:line="360" w:lineRule="auto"/>
              <w:ind w:firstLine="480" w:firstLineChars="200"/>
              <w:rPr>
                <w:sz w:val="24"/>
              </w:rPr>
            </w:pPr>
            <w:r>
              <w:rPr>
                <w:sz w:val="24"/>
              </w:rPr>
              <w:t>本项目</w:t>
            </w:r>
            <w:r>
              <w:rPr>
                <w:rFonts w:ascii="宋体" w:hAnsi="宋体" w:cs="宋体"/>
                <w:sz w:val="24"/>
              </w:rPr>
              <w:t>二甲苯</w:t>
            </w:r>
            <w:r>
              <w:rPr>
                <w:sz w:val="24"/>
              </w:rPr>
              <w:t>现状质量</w:t>
            </w:r>
            <w:r>
              <w:rPr>
                <w:rFonts w:ascii="宋体" w:hAnsi="宋体" w:cs="宋体"/>
                <w:sz w:val="24"/>
              </w:rPr>
              <w:t>依据安徽波</w:t>
            </w:r>
            <w:r>
              <w:rPr>
                <w:rFonts w:hint="eastAsia" w:ascii="宋体" w:hAnsi="宋体" w:cs="宋体"/>
                <w:sz w:val="24"/>
              </w:rPr>
              <w:t>谱</w:t>
            </w:r>
            <w:r>
              <w:rPr>
                <w:rFonts w:ascii="宋体" w:hAnsi="宋体" w:cs="宋体"/>
                <w:sz w:val="24"/>
              </w:rPr>
              <w:t>检测技术有限公司检测的</w:t>
            </w:r>
            <w:r>
              <w:rPr>
                <w:sz w:val="24"/>
              </w:rPr>
              <w:t>《</w:t>
            </w:r>
            <w:r>
              <w:rPr>
                <w:rFonts w:hint="eastAsia" w:ascii="宋体" w:hAnsi="宋体" w:cs="宋体"/>
                <w:sz w:val="24"/>
              </w:rPr>
              <w:t>安徽鲁小班景观工程有限公司</w:t>
            </w:r>
            <w:r>
              <w:rPr>
                <w:sz w:val="24"/>
              </w:rPr>
              <w:t>检测报告》</w:t>
            </w:r>
            <w:r>
              <w:rPr>
                <w:rFonts w:hint="eastAsia"/>
                <w:sz w:val="24"/>
              </w:rPr>
              <w:t>中</w:t>
            </w:r>
            <w:r>
              <w:rPr>
                <w:rFonts w:ascii="宋体" w:hAnsi="宋体" w:cs="宋体"/>
                <w:sz w:val="24"/>
              </w:rPr>
              <w:t>二甲苯</w:t>
            </w:r>
            <w:r>
              <w:rPr>
                <w:sz w:val="24"/>
              </w:rPr>
              <w:t>的检测数据。</w:t>
            </w:r>
          </w:p>
          <w:p>
            <w:pPr>
              <w:pStyle w:val="2"/>
              <w:spacing w:before="0" w:after="0" w:line="360" w:lineRule="auto"/>
              <w:jc w:val="center"/>
              <w:rPr>
                <w:b/>
                <w:bCs/>
                <w:kern w:val="2"/>
                <w:sz w:val="24"/>
                <w:szCs w:val="24"/>
              </w:rPr>
            </w:pPr>
            <w:r>
              <w:rPr>
                <w:rFonts w:hint="eastAsia"/>
                <w:b/>
                <w:bCs/>
                <w:kern w:val="2"/>
                <w:sz w:val="24"/>
                <w:szCs w:val="24"/>
              </w:rPr>
              <w:t>表3-</w:t>
            </w:r>
            <w:r>
              <w:rPr>
                <w:rFonts w:hint="eastAsia"/>
                <w:b/>
                <w:bCs/>
                <w:kern w:val="2"/>
                <w:sz w:val="24"/>
                <w:szCs w:val="24"/>
                <w:lang w:val="en-US" w:eastAsia="zh-CN"/>
              </w:rPr>
              <w:t>3</w:t>
            </w:r>
            <w:r>
              <w:rPr>
                <w:rFonts w:hint="eastAsia"/>
                <w:b/>
                <w:bCs/>
                <w:kern w:val="2"/>
                <w:sz w:val="24"/>
                <w:szCs w:val="24"/>
              </w:rPr>
              <w:t xml:space="preserve">  环境空气</w:t>
            </w:r>
            <w:r>
              <w:rPr>
                <w:b/>
                <w:bCs/>
                <w:kern w:val="2"/>
                <w:sz w:val="24"/>
                <w:szCs w:val="24"/>
              </w:rPr>
              <w:t>监测结果统计表</w:t>
            </w:r>
          </w:p>
          <w:tbl>
            <w:tblPr>
              <w:tblStyle w:val="23"/>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368"/>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restart"/>
                  <w:vAlign w:val="center"/>
                </w:tcPr>
                <w:p>
                  <w:pPr>
                    <w:pStyle w:val="2"/>
                    <w:spacing w:line="240" w:lineRule="auto"/>
                    <w:jc w:val="center"/>
                    <w:rPr>
                      <w:b/>
                      <w:bCs/>
                      <w:kern w:val="2"/>
                      <w:sz w:val="21"/>
                      <w:szCs w:val="21"/>
                      <w:lang w:bidi="zh-CN"/>
                    </w:rPr>
                  </w:pPr>
                  <w:r>
                    <w:rPr>
                      <w:b/>
                      <w:bCs/>
                      <w:kern w:val="2"/>
                      <w:sz w:val="21"/>
                      <w:szCs w:val="21"/>
                      <w:lang w:bidi="zh-CN"/>
                    </w:rPr>
                    <w:t>监测时间</w:t>
                  </w:r>
                </w:p>
              </w:tc>
              <w:tc>
                <w:tcPr>
                  <w:tcW w:w="1368" w:type="dxa"/>
                  <w:vMerge w:val="restart"/>
                  <w:vAlign w:val="center"/>
                </w:tcPr>
                <w:p>
                  <w:pPr>
                    <w:pStyle w:val="2"/>
                    <w:spacing w:line="240" w:lineRule="auto"/>
                    <w:jc w:val="center"/>
                    <w:rPr>
                      <w:b/>
                      <w:bCs/>
                      <w:kern w:val="2"/>
                      <w:sz w:val="21"/>
                      <w:szCs w:val="21"/>
                      <w:lang w:bidi="zh-CN"/>
                    </w:rPr>
                  </w:pPr>
                  <w:r>
                    <w:rPr>
                      <w:b/>
                      <w:bCs/>
                      <w:kern w:val="2"/>
                      <w:sz w:val="21"/>
                      <w:szCs w:val="21"/>
                      <w:lang w:bidi="zh-CN"/>
                    </w:rPr>
                    <w:t>监测时间</w:t>
                  </w:r>
                </w:p>
              </w:tc>
              <w:tc>
                <w:tcPr>
                  <w:tcW w:w="3948" w:type="dxa"/>
                </w:tcPr>
                <w:p>
                  <w:pPr>
                    <w:pStyle w:val="9"/>
                    <w:ind w:firstLine="0" w:firstLineChars="0"/>
                    <w:jc w:val="center"/>
                    <w:rPr>
                      <w:b/>
                      <w:bCs/>
                      <w:szCs w:val="21"/>
                      <w:lang w:bidi="zh-CN"/>
                    </w:rPr>
                  </w:pPr>
                  <w:r>
                    <w:rPr>
                      <w:b/>
                      <w:bCs/>
                      <w:szCs w:val="21"/>
                      <w:lang w:bidi="zh-CN"/>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Merge w:val="continue"/>
                </w:tcPr>
                <w:p>
                  <w:pPr>
                    <w:pStyle w:val="9"/>
                    <w:ind w:firstLine="422"/>
                    <w:rPr>
                      <w:b/>
                      <w:bCs/>
                      <w:szCs w:val="21"/>
                      <w:lang w:bidi="zh-CN"/>
                    </w:rPr>
                  </w:pPr>
                </w:p>
              </w:tc>
              <w:tc>
                <w:tcPr>
                  <w:tcW w:w="3948" w:type="dxa"/>
                </w:tcPr>
                <w:p>
                  <w:pPr>
                    <w:pStyle w:val="9"/>
                    <w:ind w:firstLine="0" w:firstLineChars="0"/>
                    <w:jc w:val="center"/>
                    <w:rPr>
                      <w:b/>
                      <w:bCs/>
                      <w:szCs w:val="21"/>
                      <w:lang w:bidi="zh-CN"/>
                    </w:rPr>
                  </w:pPr>
                  <w:r>
                    <w:rPr>
                      <w:b/>
                      <w:bCs/>
                      <w:szCs w:val="21"/>
                      <w:lang w:bidi="zh-CN"/>
                    </w:rPr>
                    <w:t>二甲苯（mg/m</w:t>
                  </w:r>
                  <w:r>
                    <w:rPr>
                      <w:b/>
                      <w:bCs/>
                      <w:szCs w:val="21"/>
                      <w:vertAlign w:val="superscript"/>
                      <w:lang w:bidi="zh-CN"/>
                    </w:rPr>
                    <w:t>3</w:t>
                  </w:r>
                  <w:r>
                    <w:rPr>
                      <w:b/>
                      <w:bCs/>
                      <w:szCs w:val="21"/>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74" w:type="dxa"/>
                  <w:gridSpan w:val="3"/>
                </w:tcPr>
                <w:p>
                  <w:pPr>
                    <w:pStyle w:val="9"/>
                    <w:ind w:firstLine="422"/>
                    <w:rPr>
                      <w:b/>
                      <w:bCs/>
                      <w:szCs w:val="21"/>
                      <w:lang w:bidi="zh-CN"/>
                    </w:rPr>
                  </w:pPr>
                  <w:r>
                    <w:rPr>
                      <w:b/>
                      <w:bCs/>
                      <w:szCs w:val="21"/>
                      <w:lang w:bidi="zh-CN"/>
                    </w:rPr>
                    <w:t>监测点位：泗县刘圩初级中学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58" w:type="dxa"/>
                  <w:vMerge w:val="restart"/>
                  <w:vAlign w:val="center"/>
                </w:tcPr>
                <w:p>
                  <w:pPr>
                    <w:jc w:val="center"/>
                    <w:rPr>
                      <w:b/>
                      <w:bCs/>
                      <w:szCs w:val="21"/>
                      <w:lang w:bidi="zh-CN"/>
                    </w:rPr>
                  </w:pPr>
                  <w:r>
                    <w:rPr>
                      <w:b/>
                      <w:bCs/>
                      <w:szCs w:val="21"/>
                      <w:lang w:bidi="zh-CN"/>
                    </w:rPr>
                    <w:t>2021年</w:t>
                  </w:r>
                  <w:r>
                    <w:rPr>
                      <w:rFonts w:hint="eastAsia"/>
                      <w:b/>
                      <w:bCs/>
                      <w:szCs w:val="21"/>
                      <w:lang w:bidi="zh-CN"/>
                    </w:rPr>
                    <w:t>11</w:t>
                  </w:r>
                  <w:r>
                    <w:rPr>
                      <w:b/>
                      <w:bCs/>
                      <w:szCs w:val="21"/>
                      <w:lang w:bidi="zh-CN"/>
                    </w:rPr>
                    <w:t>月</w:t>
                  </w:r>
                  <w:r>
                    <w:rPr>
                      <w:rFonts w:hint="eastAsia"/>
                      <w:b/>
                      <w:bCs/>
                      <w:szCs w:val="21"/>
                      <w:lang w:bidi="zh-CN"/>
                    </w:rPr>
                    <w:t>22</w:t>
                  </w:r>
                  <w:r>
                    <w:rPr>
                      <w:b/>
                      <w:bCs/>
                      <w:szCs w:val="21"/>
                      <w:lang w:bidi="zh-CN"/>
                    </w:rPr>
                    <w:t>日</w:t>
                  </w:r>
                </w:p>
              </w:tc>
              <w:tc>
                <w:tcPr>
                  <w:tcW w:w="1368" w:type="dxa"/>
                  <w:vAlign w:val="center"/>
                </w:tcPr>
                <w:p>
                  <w:pPr>
                    <w:jc w:val="center"/>
                    <w:rPr>
                      <w:szCs w:val="21"/>
                      <w:lang w:bidi="zh-CN"/>
                    </w:rPr>
                  </w:pPr>
                  <w:r>
                    <w:rPr>
                      <w:szCs w:val="21"/>
                      <w:lang w:bidi="zh-CN"/>
                    </w:rPr>
                    <w:t>09:00-10:00</w:t>
                  </w:r>
                </w:p>
              </w:tc>
              <w:tc>
                <w:tcPr>
                  <w:tcW w:w="3948" w:type="dxa"/>
                  <w:vAlign w:val="center"/>
                </w:tcPr>
                <w:p>
                  <w:pPr>
                    <w:jc w:val="center"/>
                    <w:rPr>
                      <w:szCs w:val="21"/>
                      <w:lang w:bidi="zh-CN"/>
                    </w:rPr>
                  </w:pPr>
                  <w:r>
                    <w:rPr>
                      <w:szCs w:val="21"/>
                      <w:lang w:bidi="zh-CN"/>
                    </w:rPr>
                    <w:t>&lt;5×10</w:t>
                  </w:r>
                  <w:r>
                    <w:rPr>
                      <w:szCs w:val="21"/>
                      <w:vertAlign w:val="superscript"/>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10:10-11:10</w:t>
                  </w:r>
                </w:p>
              </w:tc>
              <w:tc>
                <w:tcPr>
                  <w:tcW w:w="3948" w:type="dxa"/>
                  <w:vAlign w:val="center"/>
                </w:tcPr>
                <w:p>
                  <w:pPr>
                    <w:widowControl/>
                    <w:jc w:val="center"/>
                    <w:textAlignment w:val="center"/>
                    <w:rPr>
                      <w:szCs w:val="21"/>
                      <w:lang w:bidi="zh-CN"/>
                    </w:rPr>
                  </w:pPr>
                  <w:r>
                    <w:rPr>
                      <w:szCs w:val="21"/>
                      <w:lang w:bidi="zh-CN"/>
                    </w:rPr>
                    <w:t>&lt;5×10</w:t>
                  </w:r>
                  <w:r>
                    <w:rPr>
                      <w:szCs w:val="21"/>
                      <w:vertAlign w:val="superscript"/>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11:20-12:20</w:t>
                  </w:r>
                </w:p>
              </w:tc>
              <w:tc>
                <w:tcPr>
                  <w:tcW w:w="3948" w:type="dxa"/>
                  <w:vAlign w:val="center"/>
                </w:tcPr>
                <w:p>
                  <w:pPr>
                    <w:widowControl/>
                    <w:jc w:val="center"/>
                    <w:textAlignment w:val="center"/>
                    <w:rPr>
                      <w:szCs w:val="21"/>
                      <w:lang w:bidi="zh-CN"/>
                    </w:rPr>
                  </w:pPr>
                  <w:r>
                    <w:rPr>
                      <w:szCs w:val="21"/>
                      <w:lang w:bidi="zh-CN"/>
                    </w:rPr>
                    <w:t>&lt;5×10</w:t>
                  </w:r>
                  <w:r>
                    <w:rPr>
                      <w:szCs w:val="21"/>
                      <w:vertAlign w:val="superscript"/>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12:30-13:30</w:t>
                  </w:r>
                </w:p>
              </w:tc>
              <w:tc>
                <w:tcPr>
                  <w:tcW w:w="3948" w:type="dxa"/>
                  <w:vAlign w:val="center"/>
                </w:tcPr>
                <w:p>
                  <w:pPr>
                    <w:widowControl/>
                    <w:jc w:val="center"/>
                    <w:textAlignment w:val="center"/>
                    <w:rPr>
                      <w:szCs w:val="21"/>
                      <w:lang w:bidi="zh-CN"/>
                    </w:rPr>
                  </w:pPr>
                  <w:r>
                    <w:rPr>
                      <w:szCs w:val="21"/>
                      <w:lang w:bidi="zh-CN"/>
                    </w:rPr>
                    <w:t>&lt;5×10</w:t>
                  </w:r>
                  <w:r>
                    <w:rPr>
                      <w:szCs w:val="21"/>
                      <w:vertAlign w:val="superscript"/>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restart"/>
                  <w:vAlign w:val="center"/>
                </w:tcPr>
                <w:p>
                  <w:pPr>
                    <w:jc w:val="center"/>
                    <w:rPr>
                      <w:b/>
                      <w:bCs/>
                      <w:szCs w:val="21"/>
                      <w:lang w:bidi="zh-CN"/>
                    </w:rPr>
                  </w:pPr>
                  <w:r>
                    <w:rPr>
                      <w:b/>
                      <w:bCs/>
                      <w:szCs w:val="21"/>
                      <w:lang w:bidi="zh-CN"/>
                    </w:rPr>
                    <w:t>2021年</w:t>
                  </w:r>
                  <w:r>
                    <w:rPr>
                      <w:rFonts w:hint="eastAsia"/>
                      <w:b/>
                      <w:bCs/>
                      <w:szCs w:val="21"/>
                      <w:lang w:bidi="zh-CN"/>
                    </w:rPr>
                    <w:t>11</w:t>
                  </w:r>
                  <w:r>
                    <w:rPr>
                      <w:b/>
                      <w:bCs/>
                      <w:szCs w:val="21"/>
                      <w:lang w:bidi="zh-CN"/>
                    </w:rPr>
                    <w:t>月2</w:t>
                  </w:r>
                  <w:r>
                    <w:rPr>
                      <w:rFonts w:hint="eastAsia"/>
                      <w:b/>
                      <w:bCs/>
                      <w:szCs w:val="21"/>
                      <w:lang w:bidi="zh-CN"/>
                    </w:rPr>
                    <w:t>3</w:t>
                  </w:r>
                  <w:r>
                    <w:rPr>
                      <w:b/>
                      <w:bCs/>
                      <w:szCs w:val="21"/>
                      <w:lang w:bidi="zh-CN"/>
                    </w:rPr>
                    <w:t>日</w:t>
                  </w:r>
                </w:p>
              </w:tc>
              <w:tc>
                <w:tcPr>
                  <w:tcW w:w="1368" w:type="dxa"/>
                  <w:vAlign w:val="center"/>
                </w:tcPr>
                <w:p>
                  <w:pPr>
                    <w:jc w:val="center"/>
                    <w:rPr>
                      <w:szCs w:val="21"/>
                      <w:lang w:bidi="zh-CN"/>
                    </w:rPr>
                  </w:pPr>
                  <w:r>
                    <w:rPr>
                      <w:szCs w:val="21"/>
                      <w:lang w:bidi="zh-CN"/>
                    </w:rPr>
                    <w:t>09:00-10:00</w:t>
                  </w:r>
                </w:p>
              </w:tc>
              <w:tc>
                <w:tcPr>
                  <w:tcW w:w="3948" w:type="dxa"/>
                  <w:vAlign w:val="center"/>
                </w:tcPr>
                <w:p>
                  <w:pPr>
                    <w:jc w:val="center"/>
                    <w:rPr>
                      <w:szCs w:val="21"/>
                      <w:lang w:bidi="zh-CN"/>
                    </w:rPr>
                  </w:pPr>
                  <w:r>
                    <w:rPr>
                      <w:szCs w:val="21"/>
                      <w:lang w:bidi="zh-CN"/>
                    </w:rPr>
                    <w:t>&lt;5×10</w:t>
                  </w:r>
                  <w:r>
                    <w:rPr>
                      <w:szCs w:val="21"/>
                      <w:vertAlign w:val="superscript"/>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10:10-11:10</w:t>
                  </w:r>
                </w:p>
              </w:tc>
              <w:tc>
                <w:tcPr>
                  <w:tcW w:w="3948" w:type="dxa"/>
                  <w:vAlign w:val="center"/>
                </w:tcPr>
                <w:p>
                  <w:pPr>
                    <w:widowControl/>
                    <w:jc w:val="center"/>
                    <w:textAlignment w:val="center"/>
                    <w:rPr>
                      <w:szCs w:val="21"/>
                      <w:lang w:bidi="zh-CN"/>
                    </w:rPr>
                  </w:pPr>
                  <w:r>
                    <w:rPr>
                      <w:szCs w:val="21"/>
                      <w:lang w:bidi="zh-CN"/>
                    </w:rPr>
                    <w:t>&lt;5×10</w:t>
                  </w:r>
                  <w:r>
                    <w:rPr>
                      <w:szCs w:val="21"/>
                      <w:vertAlign w:val="superscript"/>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11:20-12:20</w:t>
                  </w:r>
                </w:p>
              </w:tc>
              <w:tc>
                <w:tcPr>
                  <w:tcW w:w="3948" w:type="dxa"/>
                  <w:vAlign w:val="center"/>
                </w:tcPr>
                <w:p>
                  <w:pPr>
                    <w:widowControl/>
                    <w:jc w:val="center"/>
                    <w:textAlignment w:val="center"/>
                    <w:rPr>
                      <w:szCs w:val="21"/>
                      <w:lang w:bidi="zh-CN"/>
                    </w:rPr>
                  </w:pPr>
                  <w:r>
                    <w:rPr>
                      <w:szCs w:val="21"/>
                      <w:lang w:bidi="zh-CN"/>
                    </w:rPr>
                    <w:t>&lt;5×10</w:t>
                  </w:r>
                  <w:r>
                    <w:rPr>
                      <w:szCs w:val="21"/>
                      <w:vertAlign w:val="superscript"/>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12:30-13:30</w:t>
                  </w:r>
                </w:p>
              </w:tc>
              <w:tc>
                <w:tcPr>
                  <w:tcW w:w="3948" w:type="dxa"/>
                  <w:vAlign w:val="center"/>
                </w:tcPr>
                <w:p>
                  <w:pPr>
                    <w:widowControl/>
                    <w:jc w:val="center"/>
                    <w:textAlignment w:val="center"/>
                    <w:rPr>
                      <w:szCs w:val="21"/>
                      <w:lang w:bidi="zh-CN"/>
                    </w:rPr>
                  </w:pPr>
                  <w:r>
                    <w:rPr>
                      <w:szCs w:val="21"/>
                      <w:lang w:bidi="zh-CN"/>
                    </w:rPr>
                    <w:t>&lt;5×10</w:t>
                  </w:r>
                  <w:r>
                    <w:rPr>
                      <w:szCs w:val="21"/>
                      <w:vertAlign w:val="superscript"/>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restart"/>
                  <w:vAlign w:val="center"/>
                </w:tcPr>
                <w:p>
                  <w:pPr>
                    <w:jc w:val="center"/>
                    <w:rPr>
                      <w:b/>
                      <w:bCs/>
                      <w:szCs w:val="21"/>
                      <w:lang w:bidi="zh-CN"/>
                    </w:rPr>
                  </w:pPr>
                  <w:r>
                    <w:rPr>
                      <w:b/>
                      <w:bCs/>
                      <w:szCs w:val="21"/>
                      <w:lang w:bidi="zh-CN"/>
                    </w:rPr>
                    <w:t>2021年</w:t>
                  </w:r>
                  <w:r>
                    <w:rPr>
                      <w:rFonts w:hint="eastAsia"/>
                      <w:b/>
                      <w:bCs/>
                      <w:szCs w:val="21"/>
                      <w:lang w:bidi="zh-CN"/>
                    </w:rPr>
                    <w:t>11</w:t>
                  </w:r>
                  <w:r>
                    <w:rPr>
                      <w:b/>
                      <w:bCs/>
                      <w:szCs w:val="21"/>
                      <w:lang w:bidi="zh-CN"/>
                    </w:rPr>
                    <w:t>月</w:t>
                  </w:r>
                  <w:r>
                    <w:rPr>
                      <w:rFonts w:hint="eastAsia"/>
                      <w:b/>
                      <w:bCs/>
                      <w:szCs w:val="21"/>
                      <w:lang w:bidi="zh-CN"/>
                    </w:rPr>
                    <w:t>24</w:t>
                  </w:r>
                  <w:r>
                    <w:rPr>
                      <w:b/>
                      <w:bCs/>
                      <w:szCs w:val="21"/>
                      <w:lang w:bidi="zh-CN"/>
                    </w:rPr>
                    <w:t>日</w:t>
                  </w:r>
                </w:p>
              </w:tc>
              <w:tc>
                <w:tcPr>
                  <w:tcW w:w="1368" w:type="dxa"/>
                  <w:vAlign w:val="center"/>
                </w:tcPr>
                <w:p>
                  <w:pPr>
                    <w:jc w:val="center"/>
                    <w:rPr>
                      <w:szCs w:val="21"/>
                      <w:lang w:bidi="zh-CN"/>
                    </w:rPr>
                  </w:pPr>
                  <w:r>
                    <w:rPr>
                      <w:szCs w:val="21"/>
                      <w:lang w:bidi="zh-CN"/>
                    </w:rPr>
                    <w:t>09:00-10:00</w:t>
                  </w:r>
                </w:p>
              </w:tc>
              <w:tc>
                <w:tcPr>
                  <w:tcW w:w="3948" w:type="dxa"/>
                  <w:vAlign w:val="center"/>
                </w:tcPr>
                <w:p>
                  <w:pPr>
                    <w:jc w:val="center"/>
                    <w:rPr>
                      <w:szCs w:val="21"/>
                      <w:lang w:bidi="zh-CN"/>
                    </w:rPr>
                  </w:pPr>
                  <w:r>
                    <w:rPr>
                      <w:szCs w:val="21"/>
                      <w:lang w:bidi="zh-CN"/>
                    </w:rPr>
                    <w:t>&lt;5×10</w:t>
                  </w:r>
                  <w:r>
                    <w:rPr>
                      <w:szCs w:val="21"/>
                      <w:vertAlign w:val="superscript"/>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10:10-11:10</w:t>
                  </w:r>
                </w:p>
              </w:tc>
              <w:tc>
                <w:tcPr>
                  <w:tcW w:w="3948" w:type="dxa"/>
                  <w:vAlign w:val="center"/>
                </w:tcPr>
                <w:p>
                  <w:pPr>
                    <w:widowControl/>
                    <w:jc w:val="center"/>
                    <w:textAlignment w:val="center"/>
                    <w:rPr>
                      <w:szCs w:val="21"/>
                      <w:lang w:bidi="zh-CN"/>
                    </w:rPr>
                  </w:pPr>
                  <w:r>
                    <w:rPr>
                      <w:szCs w:val="21"/>
                      <w:lang w:bidi="zh-CN"/>
                    </w:rPr>
                    <w:t>&lt;5×10</w:t>
                  </w:r>
                  <w:r>
                    <w:rPr>
                      <w:szCs w:val="21"/>
                      <w:vertAlign w:val="superscript"/>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11:20-12:20</w:t>
                  </w:r>
                </w:p>
              </w:tc>
              <w:tc>
                <w:tcPr>
                  <w:tcW w:w="3948" w:type="dxa"/>
                  <w:vAlign w:val="center"/>
                </w:tcPr>
                <w:p>
                  <w:pPr>
                    <w:widowControl/>
                    <w:jc w:val="center"/>
                    <w:textAlignment w:val="center"/>
                    <w:rPr>
                      <w:szCs w:val="21"/>
                      <w:lang w:bidi="zh-CN"/>
                    </w:rPr>
                  </w:pPr>
                  <w:r>
                    <w:rPr>
                      <w:szCs w:val="21"/>
                      <w:lang w:bidi="zh-CN"/>
                    </w:rPr>
                    <w:t>&lt;5×10</w:t>
                  </w:r>
                  <w:r>
                    <w:rPr>
                      <w:szCs w:val="21"/>
                      <w:vertAlign w:val="superscript"/>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8" w:type="dxa"/>
                  <w:vMerge w:val="continue"/>
                </w:tcPr>
                <w:p>
                  <w:pPr>
                    <w:pStyle w:val="9"/>
                    <w:ind w:firstLine="422"/>
                    <w:rPr>
                      <w:b/>
                      <w:bCs/>
                      <w:szCs w:val="21"/>
                      <w:lang w:bidi="zh-CN"/>
                    </w:rPr>
                  </w:pPr>
                </w:p>
              </w:tc>
              <w:tc>
                <w:tcPr>
                  <w:tcW w:w="1368" w:type="dxa"/>
                  <w:vAlign w:val="center"/>
                </w:tcPr>
                <w:p>
                  <w:pPr>
                    <w:pStyle w:val="2"/>
                    <w:spacing w:before="0" w:after="0" w:line="240" w:lineRule="auto"/>
                    <w:jc w:val="center"/>
                    <w:rPr>
                      <w:kern w:val="2"/>
                      <w:sz w:val="21"/>
                      <w:szCs w:val="21"/>
                      <w:lang w:bidi="zh-CN"/>
                    </w:rPr>
                  </w:pPr>
                  <w:r>
                    <w:rPr>
                      <w:kern w:val="2"/>
                      <w:sz w:val="21"/>
                      <w:szCs w:val="21"/>
                      <w:lang w:bidi="zh-CN"/>
                    </w:rPr>
                    <w:t>12:30-13:30</w:t>
                  </w:r>
                </w:p>
              </w:tc>
              <w:tc>
                <w:tcPr>
                  <w:tcW w:w="3948" w:type="dxa"/>
                  <w:vAlign w:val="center"/>
                </w:tcPr>
                <w:p>
                  <w:pPr>
                    <w:widowControl/>
                    <w:jc w:val="center"/>
                    <w:textAlignment w:val="center"/>
                    <w:rPr>
                      <w:szCs w:val="21"/>
                      <w:lang w:bidi="zh-CN"/>
                    </w:rPr>
                  </w:pPr>
                  <w:r>
                    <w:rPr>
                      <w:szCs w:val="21"/>
                      <w:lang w:bidi="zh-CN"/>
                    </w:rPr>
                    <w:t>&lt;5×10</w:t>
                  </w:r>
                  <w:r>
                    <w:rPr>
                      <w:szCs w:val="21"/>
                      <w:vertAlign w:val="superscript"/>
                      <w:lang w:bidi="zh-CN"/>
                    </w:rPr>
                    <w:t>-4</w:t>
                  </w:r>
                </w:p>
              </w:tc>
            </w:tr>
          </w:tbl>
          <w:p>
            <w:pPr>
              <w:spacing w:line="360" w:lineRule="auto"/>
              <w:ind w:firstLine="480" w:firstLineChars="200"/>
              <w:rPr>
                <w:sz w:val="24"/>
              </w:rPr>
            </w:pPr>
            <w:r>
              <w:rPr>
                <w:sz w:val="24"/>
              </w:rPr>
              <w:t>由检测数据可知</w:t>
            </w:r>
            <w:r>
              <w:rPr>
                <w:rFonts w:hint="eastAsia"/>
                <w:sz w:val="24"/>
              </w:rPr>
              <w:t>，</w:t>
            </w:r>
            <w:r>
              <w:rPr>
                <w:rFonts w:hint="eastAsia"/>
                <w:sz w:val="24"/>
                <w:lang w:bidi="ar"/>
              </w:rPr>
              <w:t>区域空气</w:t>
            </w:r>
            <w:r>
              <w:rPr>
                <w:rFonts w:hint="eastAsia"/>
                <w:color w:val="000000"/>
                <w:sz w:val="24"/>
                <w:lang w:bidi="ar"/>
              </w:rPr>
              <w:t>中的非甲烷总烃</w:t>
            </w:r>
            <w:r>
              <w:rPr>
                <w:color w:val="000000"/>
                <w:sz w:val="24"/>
                <w:lang w:bidi="ar"/>
              </w:rPr>
              <w:t>满足《大气污染物综合排放标准详解》中数值规定，</w:t>
            </w:r>
            <w:r>
              <w:rPr>
                <w:sz w:val="24"/>
              </w:rPr>
              <w:t>二甲苯满足《环境影响评价技术导则</w:t>
            </w:r>
            <w:r>
              <w:rPr>
                <w:rFonts w:hint="eastAsia"/>
                <w:sz w:val="24"/>
              </w:rPr>
              <w:t xml:space="preserve"> </w:t>
            </w:r>
            <w:r>
              <w:rPr>
                <w:sz w:val="24"/>
              </w:rPr>
              <w:t>大气环境》（HJ2.2-2018）附录D中二甲苯空气质量浓度参考限值</w:t>
            </w:r>
            <w:r>
              <w:rPr>
                <w:color w:val="000000"/>
                <w:sz w:val="24"/>
                <w:lang w:bidi="ar"/>
              </w:rPr>
              <w:t>。</w:t>
            </w:r>
          </w:p>
          <w:p>
            <w:pPr>
              <w:pStyle w:val="2"/>
              <w:numPr>
                <w:ilvl w:val="0"/>
                <w:numId w:val="6"/>
              </w:numPr>
              <w:spacing w:before="0" w:after="0" w:line="360" w:lineRule="auto"/>
              <w:ind w:firstLine="480" w:firstLineChars="200"/>
              <w:jc w:val="left"/>
              <w:rPr>
                <w:sz w:val="24"/>
              </w:rPr>
            </w:pPr>
            <w:r>
              <w:rPr>
                <w:sz w:val="24"/>
              </w:rPr>
              <w:t>地表水环境质量现状</w:t>
            </w:r>
          </w:p>
          <w:p>
            <w:pPr>
              <w:pStyle w:val="9"/>
              <w:spacing w:line="360" w:lineRule="auto"/>
              <w:ind w:firstLine="480"/>
              <w:rPr>
                <w:sz w:val="24"/>
              </w:rPr>
            </w:pPr>
            <w:r>
              <w:rPr>
                <w:rFonts w:ascii="宋体" w:hAnsi="宋体" w:eastAsia="宋体" w:cs="宋体"/>
                <w:spacing w:val="-4"/>
                <w:sz w:val="24"/>
                <w:szCs w:val="24"/>
              </w:rPr>
              <w:t>根据《宿州市</w:t>
            </w:r>
            <w:r>
              <w:rPr>
                <w:rFonts w:ascii="Times New Roman" w:hAnsi="Times New Roman" w:eastAsia="Times New Roman" w:cs="Times New Roman"/>
                <w:spacing w:val="-4"/>
                <w:sz w:val="24"/>
                <w:szCs w:val="24"/>
              </w:rPr>
              <w:t>2020</w:t>
            </w:r>
            <w:r>
              <w:rPr>
                <w:rFonts w:ascii="宋体" w:hAnsi="宋体" w:eastAsia="宋体" w:cs="宋体"/>
                <w:spacing w:val="-4"/>
                <w:sz w:val="24"/>
                <w:szCs w:val="24"/>
              </w:rPr>
              <w:t>年环境质量状况报告》，</w:t>
            </w:r>
            <w:r>
              <w:rPr>
                <w:rFonts w:ascii="Times New Roman" w:hAnsi="Times New Roman" w:eastAsia="Times New Roman" w:cs="Times New Roman"/>
                <w:spacing w:val="-4"/>
                <w:sz w:val="24"/>
                <w:szCs w:val="24"/>
              </w:rPr>
              <w:t>2020</w:t>
            </w:r>
            <w:r>
              <w:rPr>
                <w:rFonts w:ascii="宋体" w:hAnsi="宋体" w:eastAsia="宋体" w:cs="宋体"/>
                <w:spacing w:val="-4"/>
                <w:sz w:val="24"/>
                <w:szCs w:val="24"/>
              </w:rPr>
              <w:t>年，</w:t>
            </w:r>
            <w:r>
              <w:rPr>
                <w:rFonts w:hint="default" w:ascii="Times New Roman" w:hAnsi="Times New Roman" w:eastAsia="宋体" w:cs="Times New Roman"/>
                <w:spacing w:val="-4"/>
                <w:sz w:val="24"/>
                <w:szCs w:val="24"/>
              </w:rPr>
              <w:t>我市</w:t>
            </w:r>
            <w:r>
              <w:rPr>
                <w:rFonts w:hint="default" w:ascii="Times New Roman" w:hAnsi="Times New Roman" w:eastAsia="宋体" w:cs="Times New Roman"/>
                <w:spacing w:val="-4"/>
                <w:sz w:val="24"/>
                <w:szCs w:val="24"/>
                <w:lang w:val="en-US" w:eastAsia="zh-CN"/>
              </w:rPr>
              <w:t>5</w:t>
            </w:r>
            <w:r>
              <w:rPr>
                <w:rFonts w:hint="default" w:ascii="Times New Roman" w:hAnsi="Times New Roman" w:eastAsia="宋体" w:cs="Times New Roman"/>
                <w:spacing w:val="-4"/>
                <w:sz w:val="24"/>
                <w:szCs w:val="24"/>
              </w:rPr>
              <w:t>个国家考</w:t>
            </w:r>
            <w:r>
              <w:rPr>
                <w:rFonts w:hint="default" w:ascii="Times New Roman" w:hAnsi="Times New Roman" w:eastAsia="宋体" w:cs="Times New Roman"/>
                <w:spacing w:val="1"/>
                <w:sz w:val="24"/>
                <w:szCs w:val="24"/>
              </w:rPr>
              <w:t>核断面中沱河关咀水质均值为</w:t>
            </w:r>
            <w:r>
              <w:rPr>
                <w:rFonts w:hint="default" w:ascii="Times New Roman" w:hAnsi="Times New Roman" w:eastAsia="Times New Roman" w:cs="Times New Roman"/>
                <w:spacing w:val="1"/>
                <w:sz w:val="24"/>
                <w:szCs w:val="24"/>
              </w:rPr>
              <w:t>Ⅲ</w:t>
            </w:r>
            <w:r>
              <w:rPr>
                <w:rFonts w:hint="default" w:ascii="Times New Roman" w:hAnsi="Times New Roman" w:eastAsia="宋体" w:cs="Times New Roman"/>
                <w:spacing w:val="1"/>
                <w:sz w:val="24"/>
                <w:szCs w:val="24"/>
              </w:rPr>
              <w:t>类，新汴河团结闸、新濉河大屈、沱河芦岭</w:t>
            </w:r>
            <w:r>
              <w:rPr>
                <w:rFonts w:hint="default" w:ascii="Times New Roman" w:hAnsi="Times New Roman" w:eastAsia="宋体" w:cs="Times New Roman"/>
                <w:sz w:val="24"/>
                <w:szCs w:val="24"/>
              </w:rPr>
              <w:t>桥和浍河湖沟水质均值为</w:t>
            </w:r>
            <w:r>
              <w:rPr>
                <w:rFonts w:hint="default" w:ascii="Times New Roman" w:hAnsi="Times New Roman" w:eastAsia="Times New Roman" w:cs="Times New Roman"/>
                <w:sz w:val="24"/>
                <w:szCs w:val="24"/>
              </w:rPr>
              <w:t>Ⅳ</w:t>
            </w:r>
            <w:r>
              <w:rPr>
                <w:rFonts w:hint="default" w:ascii="Times New Roman" w:hAnsi="Times New Roman" w:eastAsia="宋体" w:cs="Times New Roman"/>
                <w:sz w:val="24"/>
                <w:szCs w:val="24"/>
              </w:rPr>
              <w:t>类，均达到国家考核要求。市级及县级集中式饮</w:t>
            </w:r>
            <w:r>
              <w:rPr>
                <w:rFonts w:hint="default" w:ascii="Times New Roman" w:hAnsi="Times New Roman" w:eastAsia="宋体" w:cs="Times New Roman"/>
                <w:spacing w:val="-4"/>
                <w:sz w:val="24"/>
                <w:szCs w:val="24"/>
              </w:rPr>
              <w:t>用水水源地水质均为</w:t>
            </w:r>
            <w:r>
              <w:rPr>
                <w:rFonts w:hint="default" w:ascii="Times New Roman" w:hAnsi="Times New Roman" w:eastAsia="Times New Roman" w:cs="Times New Roman"/>
                <w:spacing w:val="-4"/>
                <w:sz w:val="24"/>
                <w:szCs w:val="24"/>
              </w:rPr>
              <w:t>Ⅲ</w:t>
            </w:r>
            <w:r>
              <w:rPr>
                <w:rFonts w:hint="default" w:ascii="Times New Roman" w:hAnsi="Times New Roman" w:eastAsia="宋体" w:cs="Times New Roman"/>
                <w:spacing w:val="-4"/>
                <w:sz w:val="24"/>
                <w:szCs w:val="24"/>
              </w:rPr>
              <w:t>类，水质达标率</w:t>
            </w:r>
            <w:r>
              <w:rPr>
                <w:rFonts w:hint="default" w:ascii="Times New Roman" w:hAnsi="Times New Roman" w:eastAsia="Times New Roman" w:cs="Times New Roman"/>
                <w:spacing w:val="-4"/>
                <w:sz w:val="24"/>
                <w:szCs w:val="24"/>
              </w:rPr>
              <w:t>100%</w:t>
            </w:r>
            <w:r>
              <w:rPr>
                <w:rFonts w:hint="default" w:ascii="Times New Roman" w:hAnsi="Times New Roman" w:eastAsia="宋体" w:cs="Times New Roman"/>
                <w:spacing w:val="-4"/>
                <w:sz w:val="24"/>
                <w:szCs w:val="24"/>
              </w:rPr>
              <w:t>。2021年1-4月，宿州市13个国家考核断面中沱河关咀、澥河方店闸、老濉河泗县、唐河泗县、新濉河大屈断面，新汴河团结闸水质均值为Ⅲ类，奎河宿州、石梁河王庄西、王引河固口闸、萧濉新河宿州市、沱河芦岭桥、浍河湖沟和废黄河铜山贾楼桥断面水质均值为Ⅳ类，均达到国家考核要求。市级集中式饮用水水源地水质均为Ⅲ类，水质达标率100%。</w:t>
            </w:r>
            <w:r>
              <w:rPr>
                <w:sz w:val="24"/>
              </w:rPr>
              <w:t>项目</w:t>
            </w:r>
            <w:r>
              <w:rPr>
                <w:sz w:val="24"/>
                <w:lang w:bidi="ar"/>
              </w:rPr>
              <w:t>附近水体</w:t>
            </w:r>
            <w:r>
              <w:rPr>
                <w:sz w:val="24"/>
              </w:rPr>
              <w:t>小余沟</w:t>
            </w:r>
            <w:r>
              <w:rPr>
                <w:rFonts w:ascii="宋体" w:hAnsi="宋体" w:eastAsia="宋体" w:cs="宋体"/>
                <w:sz w:val="24"/>
                <w:szCs w:val="24"/>
              </w:rPr>
              <w:t>属</w:t>
            </w:r>
            <w:r>
              <w:rPr>
                <w:rFonts w:hint="default" w:ascii="Times New Roman" w:hAnsi="Times New Roman" w:eastAsia="宋体" w:cs="Times New Roman"/>
                <w:spacing w:val="-4"/>
                <w:sz w:val="24"/>
                <w:szCs w:val="24"/>
              </w:rPr>
              <w:t>老濉河</w:t>
            </w:r>
            <w:r>
              <w:rPr>
                <w:rFonts w:ascii="宋体" w:hAnsi="宋体" w:eastAsia="宋体" w:cs="宋体"/>
                <w:sz w:val="24"/>
                <w:szCs w:val="24"/>
              </w:rPr>
              <w:t>分支</w:t>
            </w:r>
            <w:r>
              <w:rPr>
                <w:color w:val="000000"/>
                <w:sz w:val="24"/>
                <w:lang w:bidi="ar"/>
              </w:rPr>
              <w:t>，</w:t>
            </w:r>
            <w:r>
              <w:rPr>
                <w:rFonts w:hint="eastAsia" w:ascii="Times New Roman" w:hAnsi="Times New Roman" w:eastAsia="宋体" w:cs="Times New Roman"/>
                <w:spacing w:val="-4"/>
                <w:sz w:val="24"/>
                <w:szCs w:val="24"/>
                <w:lang w:val="en-US" w:eastAsia="zh-CN"/>
              </w:rPr>
              <w:t>因此</w:t>
            </w:r>
            <w:r>
              <w:rPr>
                <w:color w:val="000000"/>
                <w:sz w:val="24"/>
                <w:lang w:bidi="ar"/>
              </w:rPr>
              <w:t>满足</w:t>
            </w:r>
            <w:r>
              <w:rPr>
                <w:rFonts w:hint="default" w:ascii="Times New Roman" w:hAnsi="Times New Roman" w:eastAsia="Times New Roman" w:cs="Times New Roman"/>
                <w:spacing w:val="-4"/>
                <w:sz w:val="24"/>
                <w:szCs w:val="24"/>
              </w:rPr>
              <w:t>Ⅲ</w:t>
            </w:r>
            <w:r>
              <w:rPr>
                <w:color w:val="000000"/>
                <w:sz w:val="24"/>
                <w:lang w:bidi="ar"/>
              </w:rPr>
              <w:t>类水质标准。</w:t>
            </w:r>
          </w:p>
          <w:p>
            <w:pPr>
              <w:spacing w:line="360" w:lineRule="auto"/>
              <w:ind w:firstLine="480" w:firstLineChars="200"/>
              <w:outlineLvl w:val="4"/>
              <w:rPr>
                <w:sz w:val="24"/>
              </w:rPr>
            </w:pPr>
            <w:r>
              <w:rPr>
                <w:sz w:val="24"/>
              </w:rPr>
              <w:t>3、声环境质量现状</w:t>
            </w:r>
          </w:p>
          <w:p>
            <w:pPr>
              <w:keepNext w:val="0"/>
              <w:keepLines w:val="0"/>
              <w:suppressLineNumbers w:val="0"/>
              <w:adjustRightInd w:val="0"/>
              <w:snapToGrid w:val="0"/>
              <w:spacing w:before="0" w:beforeAutospacing="0" w:after="0" w:afterAutospacing="0" w:line="360" w:lineRule="auto"/>
              <w:ind w:left="0" w:right="0" w:firstLine="480" w:firstLineChars="200"/>
              <w:rPr>
                <w:rFonts w:ascii="Times New Roman" w:hAnsi="Times New Roman" w:cs="Times New Roman"/>
                <w:sz w:val="24"/>
              </w:rPr>
            </w:pPr>
            <w:r>
              <w:rPr>
                <w:rFonts w:hint="eastAsia" w:ascii="宋体" w:hAnsi="宋体" w:cs="宋体"/>
                <w:sz w:val="24"/>
                <w:szCs w:val="24"/>
                <w:lang w:eastAsia="zh-CN"/>
              </w:rPr>
              <w:t>本项目</w:t>
            </w:r>
            <w:r>
              <w:rPr>
                <w:rFonts w:hint="default" w:ascii="宋体" w:hAnsi="宋体" w:eastAsia="宋体" w:cs="宋体"/>
                <w:sz w:val="24"/>
                <w:szCs w:val="24"/>
              </w:rPr>
              <w:t>厂界外</w:t>
            </w:r>
            <w:r>
              <w:rPr>
                <w:rFonts w:hint="default" w:ascii="Times New Roman" w:hAnsi="Times New Roman" w:eastAsia="宋体" w:cs="Times New Roman"/>
                <w:sz w:val="24"/>
                <w:szCs w:val="24"/>
              </w:rPr>
              <w:t>周边50米范围内不存在声环境保护目标</w:t>
            </w:r>
            <w:r>
              <w:rPr>
                <w:rFonts w:hint="default" w:ascii="Times New Roman" w:hAnsi="Times New Roman" w:cs="Times New Roman"/>
                <w:sz w:val="24"/>
                <w:szCs w:val="24"/>
                <w:lang w:eastAsia="zh-CN"/>
              </w:rPr>
              <w:t>，</w:t>
            </w:r>
            <w:r>
              <w:rPr>
                <w:rFonts w:hint="default" w:ascii="宋体" w:hAnsi="宋体" w:eastAsia="宋体" w:cs="宋体"/>
                <w:sz w:val="24"/>
                <w:szCs w:val="24"/>
              </w:rPr>
              <w:t>因此无需进行声环境现状监测</w:t>
            </w:r>
            <w:r>
              <w:rPr>
                <w:rFonts w:hint="eastAsia" w:cs="宋体"/>
                <w:color w:val="000000"/>
              </w:rPr>
              <w:t>。</w:t>
            </w:r>
          </w:p>
          <w:p>
            <w:pPr>
              <w:adjustRightInd w:val="0"/>
              <w:snapToGrid w:val="0"/>
              <w:spacing w:line="360" w:lineRule="auto"/>
              <w:ind w:firstLine="480" w:firstLineChars="200"/>
              <w:rPr>
                <w:sz w:val="24"/>
                <w:szCs w:val="24"/>
              </w:rPr>
            </w:pPr>
            <w:r>
              <w:rPr>
                <w:rFonts w:hint="eastAsia" w:cs="宋体"/>
                <w:sz w:val="24"/>
                <w:szCs w:val="24"/>
              </w:rPr>
              <w:t>4、生态环境质量现状</w:t>
            </w:r>
          </w:p>
          <w:p>
            <w:pPr>
              <w:spacing w:line="360" w:lineRule="auto"/>
              <w:ind w:firstLine="480" w:firstLineChars="200"/>
              <w:rPr>
                <w:color w:val="000000"/>
                <w:sz w:val="24"/>
                <w:szCs w:val="24"/>
              </w:rPr>
            </w:pPr>
            <w:r>
              <w:rPr>
                <w:rFonts w:ascii="宋体" w:hAnsi="宋体" w:cs="宋体"/>
                <w:sz w:val="24"/>
                <w:szCs w:val="24"/>
              </w:rPr>
              <w:t>本项目属于</w:t>
            </w:r>
            <w:r>
              <w:rPr>
                <w:rFonts w:hint="eastAsia" w:ascii="宋体" w:hAnsi="宋体" w:cs="宋体"/>
                <w:sz w:val="24"/>
                <w:szCs w:val="24"/>
                <w:lang w:val="en-US" w:eastAsia="zh-CN"/>
              </w:rPr>
              <w:t>园</w:t>
            </w:r>
            <w:r>
              <w:rPr>
                <w:rFonts w:ascii="宋体" w:hAnsi="宋体" w:cs="宋体"/>
                <w:sz w:val="24"/>
                <w:szCs w:val="24"/>
              </w:rPr>
              <w:t>区内工业用地</w:t>
            </w:r>
            <w:r>
              <w:rPr>
                <w:rFonts w:hint="eastAsia" w:ascii="宋体" w:hAnsi="宋体" w:cs="宋体"/>
                <w:sz w:val="24"/>
                <w:szCs w:val="24"/>
              </w:rPr>
              <w:t>，不</w:t>
            </w:r>
            <w:r>
              <w:rPr>
                <w:rFonts w:ascii="宋体" w:hAnsi="宋体" w:cs="宋体"/>
                <w:sz w:val="24"/>
                <w:szCs w:val="24"/>
              </w:rPr>
              <w:t>新增用地，用地范围内不含生态环境保护目标，因此无需进行生态现状调查。</w:t>
            </w:r>
          </w:p>
          <w:p>
            <w:pPr>
              <w:adjustRightInd w:val="0"/>
              <w:snapToGrid w:val="0"/>
              <w:spacing w:line="360" w:lineRule="auto"/>
              <w:ind w:firstLine="480" w:firstLineChars="200"/>
              <w:rPr>
                <w:sz w:val="24"/>
                <w:szCs w:val="24"/>
              </w:rPr>
            </w:pPr>
            <w:r>
              <w:rPr>
                <w:rFonts w:hint="eastAsia"/>
                <w:color w:val="000000"/>
                <w:sz w:val="24"/>
                <w:szCs w:val="24"/>
              </w:rPr>
              <w:t>5、电磁辐射</w:t>
            </w:r>
            <w:r>
              <w:rPr>
                <w:rFonts w:hint="eastAsia" w:cs="宋体"/>
                <w:sz w:val="24"/>
                <w:szCs w:val="24"/>
              </w:rPr>
              <w:t>质量现状</w:t>
            </w:r>
          </w:p>
          <w:p>
            <w:pPr>
              <w:adjustRightInd w:val="0"/>
              <w:snapToGrid w:val="0"/>
              <w:spacing w:line="360" w:lineRule="auto"/>
              <w:ind w:firstLine="480" w:firstLineChars="200"/>
              <w:rPr>
                <w:color w:val="000000"/>
                <w:sz w:val="24"/>
                <w:szCs w:val="24"/>
              </w:rPr>
            </w:pPr>
            <w:r>
              <w:rPr>
                <w:rFonts w:ascii="宋体" w:hAnsi="宋体" w:cs="宋体"/>
                <w:sz w:val="24"/>
                <w:szCs w:val="24"/>
              </w:rPr>
              <w:t>本项目不属于电磁辐射类项目。</w:t>
            </w:r>
          </w:p>
          <w:p>
            <w:pPr>
              <w:adjustRightInd w:val="0"/>
              <w:snapToGrid w:val="0"/>
              <w:spacing w:line="360" w:lineRule="auto"/>
              <w:ind w:firstLine="480" w:firstLineChars="200"/>
              <w:rPr>
                <w:sz w:val="24"/>
                <w:szCs w:val="24"/>
              </w:rPr>
            </w:pPr>
            <w:r>
              <w:rPr>
                <w:rFonts w:hint="eastAsia"/>
                <w:color w:val="000000"/>
                <w:sz w:val="24"/>
                <w:szCs w:val="24"/>
              </w:rPr>
              <w:t>6、地下水、土壤环境</w:t>
            </w:r>
            <w:r>
              <w:rPr>
                <w:rFonts w:hint="eastAsia" w:cs="宋体"/>
                <w:sz w:val="24"/>
                <w:szCs w:val="24"/>
              </w:rPr>
              <w:t>质量现状</w:t>
            </w:r>
          </w:p>
          <w:p>
            <w:pPr>
              <w:adjustRightInd w:val="0"/>
              <w:snapToGrid w:val="0"/>
              <w:spacing w:line="360" w:lineRule="auto"/>
              <w:ind w:firstLine="480"/>
              <w:rPr>
                <w:kern w:val="0"/>
                <w:szCs w:val="21"/>
              </w:rPr>
            </w:pPr>
            <w:r>
              <w:rPr>
                <w:rFonts w:hint="eastAsia" w:ascii="宋体" w:hAnsi="宋体" w:cs="宋体"/>
                <w:sz w:val="24"/>
                <w:szCs w:val="24"/>
              </w:rPr>
              <w:t>本项目</w:t>
            </w:r>
            <w:r>
              <w:rPr>
                <w:sz w:val="24"/>
                <w:szCs w:val="24"/>
              </w:rPr>
              <w:t>厂界外500米范围内无地下水集中式饮用</w:t>
            </w:r>
            <w:r>
              <w:rPr>
                <w:rFonts w:hint="eastAsia" w:ascii="宋体" w:hAnsi="宋体" w:cs="宋体"/>
                <w:sz w:val="24"/>
                <w:szCs w:val="24"/>
              </w:rPr>
              <w:t>水水源和热水、矿泉水、温泉等特殊地下水资源，</w:t>
            </w:r>
            <w:r>
              <w:rPr>
                <w:rFonts w:ascii="宋体" w:hAnsi="宋体" w:cs="宋体"/>
                <w:sz w:val="24"/>
                <w:szCs w:val="24"/>
              </w:rPr>
              <w:t>并且本项目严格按照导则要求对厂区进行分区防控</w:t>
            </w:r>
            <w:r>
              <w:rPr>
                <w:rFonts w:hint="eastAsia" w:ascii="宋体" w:hAnsi="宋体" w:cs="宋体"/>
                <w:sz w:val="24"/>
                <w:szCs w:val="24"/>
              </w:rPr>
              <w:t>，</w:t>
            </w:r>
            <w:r>
              <w:rPr>
                <w:rFonts w:ascii="宋体" w:hAnsi="宋体" w:cs="宋体"/>
                <w:sz w:val="24"/>
                <w:szCs w:val="24"/>
              </w:rPr>
              <w:t>因此无需开展</w:t>
            </w:r>
            <w:r>
              <w:rPr>
                <w:rFonts w:hint="eastAsia" w:ascii="宋体" w:hAnsi="宋体" w:cs="宋体"/>
                <w:sz w:val="24"/>
                <w:szCs w:val="24"/>
              </w:rPr>
              <w:t>地下水、土壤</w:t>
            </w:r>
            <w:r>
              <w:rPr>
                <w:rFonts w:ascii="宋体" w:hAnsi="宋体" w:cs="宋体"/>
                <w:sz w:val="24"/>
                <w:szCs w:val="24"/>
              </w:rPr>
              <w:t>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800" w:type="dxa"/>
            <w:vAlign w:val="center"/>
          </w:tcPr>
          <w:p>
            <w:pPr>
              <w:adjustRightInd w:val="0"/>
              <w:snapToGrid w:val="0"/>
              <w:jc w:val="center"/>
              <w:rPr>
                <w:kern w:val="0"/>
                <w:sz w:val="24"/>
              </w:rPr>
            </w:pPr>
            <w:r>
              <w:rPr>
                <w:kern w:val="0"/>
                <w:sz w:val="24"/>
              </w:rPr>
              <w:t>环境</w:t>
            </w:r>
          </w:p>
          <w:p>
            <w:pPr>
              <w:adjustRightInd w:val="0"/>
              <w:snapToGrid w:val="0"/>
              <w:jc w:val="center"/>
              <w:rPr>
                <w:kern w:val="0"/>
                <w:sz w:val="24"/>
              </w:rPr>
            </w:pPr>
            <w:r>
              <w:rPr>
                <w:kern w:val="0"/>
                <w:sz w:val="24"/>
              </w:rPr>
              <w:t>保护</w:t>
            </w:r>
          </w:p>
          <w:p>
            <w:pPr>
              <w:adjustRightInd w:val="0"/>
              <w:snapToGrid w:val="0"/>
              <w:jc w:val="center"/>
              <w:rPr>
                <w:kern w:val="0"/>
                <w:szCs w:val="21"/>
              </w:rPr>
            </w:pPr>
            <w:r>
              <w:rPr>
                <w:kern w:val="0"/>
                <w:sz w:val="24"/>
              </w:rPr>
              <w:t>目标</w:t>
            </w:r>
          </w:p>
        </w:tc>
        <w:tc>
          <w:tcPr>
            <w:tcW w:w="8190" w:type="dxa"/>
            <w:vAlign w:val="center"/>
          </w:tcPr>
          <w:p>
            <w:pPr>
              <w:adjustRightInd w:val="0"/>
              <w:snapToGrid w:val="0"/>
              <w:spacing w:line="360" w:lineRule="auto"/>
              <w:ind w:firstLine="480" w:firstLineChars="200"/>
              <w:rPr>
                <w:b w:val="0"/>
                <w:bCs w:val="0"/>
                <w:kern w:val="0"/>
                <w:sz w:val="24"/>
              </w:rPr>
            </w:pPr>
            <w:r>
              <w:rPr>
                <w:b w:val="0"/>
                <w:bCs w:val="0"/>
                <w:kern w:val="0"/>
                <w:sz w:val="24"/>
              </w:rPr>
              <w:t>1、大气环境</w:t>
            </w:r>
          </w:p>
          <w:p>
            <w:pPr>
              <w:pStyle w:val="2"/>
              <w:spacing w:after="60" w:line="360" w:lineRule="auto"/>
              <w:ind w:firstLine="480" w:firstLineChars="200"/>
              <w:rPr>
                <w:sz w:val="24"/>
                <w:szCs w:val="24"/>
              </w:rPr>
            </w:pPr>
            <w:r>
              <w:rPr>
                <w:sz w:val="24"/>
                <w:szCs w:val="24"/>
              </w:rPr>
              <w:t>本项目评价范围内无自然保护区、风景旅游点和文物古迹等需要特殊保护的环境敏感对象。总体上不因本项目的实施而改变区域环境现有功能，具体环境保护目标如下（见附图2）</w:t>
            </w:r>
          </w:p>
          <w:p>
            <w:pPr>
              <w:pStyle w:val="9"/>
              <w:ind w:firstLine="0" w:firstLineChars="0"/>
              <w:jc w:val="center"/>
              <w:rPr>
                <w:sz w:val="24"/>
              </w:rPr>
            </w:pPr>
            <w:r>
              <w:rPr>
                <w:b/>
                <w:bCs/>
                <w:sz w:val="24"/>
              </w:rPr>
              <w:t>表3-</w:t>
            </w:r>
            <w:r>
              <w:rPr>
                <w:rFonts w:hint="eastAsia"/>
                <w:b/>
                <w:bCs/>
                <w:sz w:val="24"/>
                <w:lang w:val="en-US" w:eastAsia="zh-CN"/>
              </w:rPr>
              <w:t>4</w:t>
            </w:r>
            <w:r>
              <w:rPr>
                <w:b/>
                <w:bCs/>
                <w:sz w:val="24"/>
              </w:rPr>
              <w:t xml:space="preserve">  主要环境保护目标一览表</w:t>
            </w:r>
          </w:p>
          <w:tbl>
            <w:tblPr>
              <w:tblStyle w:val="23"/>
              <w:tblW w:w="7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25"/>
              <w:gridCol w:w="738"/>
              <w:gridCol w:w="794"/>
              <w:gridCol w:w="1134"/>
              <w:gridCol w:w="955"/>
              <w:gridCol w:w="100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restart"/>
                  <w:vAlign w:val="center"/>
                </w:tcPr>
                <w:p>
                  <w:pPr>
                    <w:pStyle w:val="2"/>
                    <w:spacing w:line="240" w:lineRule="auto"/>
                    <w:jc w:val="center"/>
                    <w:rPr>
                      <w:b/>
                      <w:sz w:val="21"/>
                      <w:szCs w:val="21"/>
                    </w:rPr>
                  </w:pPr>
                  <w:r>
                    <w:rPr>
                      <w:b/>
                      <w:sz w:val="21"/>
                      <w:szCs w:val="21"/>
                    </w:rPr>
                    <w:t>名称</w:t>
                  </w:r>
                </w:p>
              </w:tc>
              <w:tc>
                <w:tcPr>
                  <w:tcW w:w="1463" w:type="dxa"/>
                  <w:gridSpan w:val="2"/>
                  <w:vAlign w:val="center"/>
                </w:tcPr>
                <w:p>
                  <w:pPr>
                    <w:pStyle w:val="2"/>
                    <w:spacing w:line="240" w:lineRule="auto"/>
                    <w:jc w:val="center"/>
                    <w:rPr>
                      <w:b/>
                      <w:sz w:val="21"/>
                      <w:szCs w:val="21"/>
                    </w:rPr>
                  </w:pPr>
                  <w:r>
                    <w:rPr>
                      <w:b/>
                      <w:sz w:val="21"/>
                      <w:szCs w:val="21"/>
                    </w:rPr>
                    <w:t>坐标</w:t>
                  </w:r>
                  <w:r>
                    <w:rPr>
                      <w:rFonts w:ascii="Times New Roman" w:hAnsi="Times New Roman"/>
                      <w:b/>
                      <w:szCs w:val="21"/>
                      <w:lang w:bidi="ar"/>
                    </w:rPr>
                    <w:t>/m</w:t>
                  </w:r>
                </w:p>
              </w:tc>
              <w:tc>
                <w:tcPr>
                  <w:tcW w:w="794" w:type="dxa"/>
                  <w:vMerge w:val="restart"/>
                  <w:vAlign w:val="center"/>
                </w:tcPr>
                <w:p>
                  <w:pPr>
                    <w:pStyle w:val="2"/>
                    <w:spacing w:line="240" w:lineRule="auto"/>
                    <w:jc w:val="center"/>
                    <w:rPr>
                      <w:b/>
                      <w:sz w:val="21"/>
                      <w:szCs w:val="21"/>
                    </w:rPr>
                  </w:pPr>
                  <w:r>
                    <w:rPr>
                      <w:b/>
                      <w:sz w:val="21"/>
                      <w:szCs w:val="21"/>
                    </w:rPr>
                    <w:t>保护对象</w:t>
                  </w:r>
                </w:p>
              </w:tc>
              <w:tc>
                <w:tcPr>
                  <w:tcW w:w="1134" w:type="dxa"/>
                  <w:vMerge w:val="restart"/>
                  <w:vAlign w:val="center"/>
                </w:tcPr>
                <w:p>
                  <w:pPr>
                    <w:pStyle w:val="2"/>
                    <w:spacing w:line="240" w:lineRule="auto"/>
                    <w:jc w:val="center"/>
                    <w:rPr>
                      <w:b/>
                      <w:sz w:val="21"/>
                      <w:szCs w:val="21"/>
                    </w:rPr>
                  </w:pPr>
                  <w:r>
                    <w:rPr>
                      <w:b/>
                      <w:sz w:val="21"/>
                      <w:szCs w:val="21"/>
                    </w:rPr>
                    <w:t>保护内容</w:t>
                  </w:r>
                </w:p>
              </w:tc>
              <w:tc>
                <w:tcPr>
                  <w:tcW w:w="955" w:type="dxa"/>
                  <w:vMerge w:val="restart"/>
                  <w:vAlign w:val="center"/>
                </w:tcPr>
                <w:p>
                  <w:pPr>
                    <w:pStyle w:val="2"/>
                    <w:spacing w:line="240" w:lineRule="auto"/>
                    <w:jc w:val="center"/>
                    <w:rPr>
                      <w:b/>
                      <w:sz w:val="21"/>
                      <w:szCs w:val="21"/>
                    </w:rPr>
                  </w:pPr>
                  <w:r>
                    <w:rPr>
                      <w:b/>
                      <w:sz w:val="21"/>
                      <w:szCs w:val="21"/>
                    </w:rPr>
                    <w:t>环境功能区</w:t>
                  </w:r>
                </w:p>
              </w:tc>
              <w:tc>
                <w:tcPr>
                  <w:tcW w:w="1004" w:type="dxa"/>
                  <w:vMerge w:val="restart"/>
                  <w:vAlign w:val="center"/>
                </w:tcPr>
                <w:p>
                  <w:pPr>
                    <w:pStyle w:val="2"/>
                    <w:spacing w:line="240" w:lineRule="auto"/>
                    <w:jc w:val="center"/>
                    <w:rPr>
                      <w:b/>
                      <w:sz w:val="21"/>
                      <w:szCs w:val="21"/>
                    </w:rPr>
                  </w:pPr>
                  <w:r>
                    <w:rPr>
                      <w:b/>
                      <w:sz w:val="21"/>
                      <w:szCs w:val="21"/>
                    </w:rPr>
                    <w:t>相对厂址方位</w:t>
                  </w:r>
                </w:p>
              </w:tc>
              <w:tc>
                <w:tcPr>
                  <w:tcW w:w="1116" w:type="dxa"/>
                  <w:vMerge w:val="restart"/>
                  <w:vAlign w:val="center"/>
                </w:tcPr>
                <w:p>
                  <w:pPr>
                    <w:pStyle w:val="2"/>
                    <w:spacing w:line="240" w:lineRule="auto"/>
                    <w:jc w:val="center"/>
                    <w:rPr>
                      <w:b/>
                      <w:sz w:val="21"/>
                      <w:szCs w:val="21"/>
                    </w:rPr>
                  </w:pPr>
                  <w:r>
                    <w:rPr>
                      <w:b/>
                      <w:sz w:val="21"/>
                      <w:szCs w:val="21"/>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Merge w:val="continue"/>
                  <w:vAlign w:val="center"/>
                </w:tcPr>
                <w:p>
                  <w:pPr>
                    <w:pStyle w:val="2"/>
                    <w:spacing w:line="240" w:lineRule="auto"/>
                    <w:jc w:val="center"/>
                    <w:rPr>
                      <w:b/>
                      <w:sz w:val="21"/>
                      <w:szCs w:val="21"/>
                    </w:rPr>
                  </w:pPr>
                </w:p>
              </w:tc>
              <w:tc>
                <w:tcPr>
                  <w:tcW w:w="725" w:type="dxa"/>
                  <w:vAlign w:val="center"/>
                </w:tcPr>
                <w:p>
                  <w:pPr>
                    <w:pStyle w:val="2"/>
                    <w:spacing w:line="240" w:lineRule="auto"/>
                    <w:jc w:val="center"/>
                    <w:rPr>
                      <w:b/>
                      <w:sz w:val="21"/>
                      <w:szCs w:val="21"/>
                    </w:rPr>
                  </w:pPr>
                  <w:r>
                    <w:rPr>
                      <w:b/>
                      <w:sz w:val="21"/>
                      <w:szCs w:val="21"/>
                    </w:rPr>
                    <w:t>X</w:t>
                  </w:r>
                </w:p>
              </w:tc>
              <w:tc>
                <w:tcPr>
                  <w:tcW w:w="738" w:type="dxa"/>
                  <w:vAlign w:val="center"/>
                </w:tcPr>
                <w:p>
                  <w:pPr>
                    <w:pStyle w:val="2"/>
                    <w:spacing w:line="240" w:lineRule="auto"/>
                    <w:jc w:val="center"/>
                    <w:rPr>
                      <w:b/>
                      <w:sz w:val="21"/>
                      <w:szCs w:val="21"/>
                    </w:rPr>
                  </w:pPr>
                  <w:r>
                    <w:rPr>
                      <w:b/>
                      <w:sz w:val="21"/>
                      <w:szCs w:val="21"/>
                    </w:rPr>
                    <w:t>Y</w:t>
                  </w:r>
                </w:p>
              </w:tc>
              <w:tc>
                <w:tcPr>
                  <w:tcW w:w="794" w:type="dxa"/>
                  <w:vMerge w:val="continue"/>
                  <w:vAlign w:val="center"/>
                </w:tcPr>
                <w:p>
                  <w:pPr>
                    <w:pStyle w:val="2"/>
                    <w:spacing w:line="240" w:lineRule="auto"/>
                    <w:jc w:val="center"/>
                    <w:rPr>
                      <w:sz w:val="21"/>
                      <w:szCs w:val="21"/>
                    </w:rPr>
                  </w:pPr>
                </w:p>
              </w:tc>
              <w:tc>
                <w:tcPr>
                  <w:tcW w:w="1134" w:type="dxa"/>
                  <w:vMerge w:val="continue"/>
                  <w:vAlign w:val="center"/>
                </w:tcPr>
                <w:p>
                  <w:pPr>
                    <w:pStyle w:val="2"/>
                    <w:spacing w:line="240" w:lineRule="auto"/>
                    <w:jc w:val="center"/>
                    <w:rPr>
                      <w:sz w:val="21"/>
                      <w:szCs w:val="21"/>
                    </w:rPr>
                  </w:pPr>
                </w:p>
              </w:tc>
              <w:tc>
                <w:tcPr>
                  <w:tcW w:w="955" w:type="dxa"/>
                  <w:vMerge w:val="continue"/>
                  <w:vAlign w:val="center"/>
                </w:tcPr>
                <w:p>
                  <w:pPr>
                    <w:pStyle w:val="2"/>
                    <w:spacing w:line="240" w:lineRule="auto"/>
                    <w:jc w:val="center"/>
                    <w:rPr>
                      <w:sz w:val="21"/>
                      <w:szCs w:val="21"/>
                    </w:rPr>
                  </w:pPr>
                </w:p>
              </w:tc>
              <w:tc>
                <w:tcPr>
                  <w:tcW w:w="1004" w:type="dxa"/>
                  <w:vMerge w:val="continue"/>
                  <w:vAlign w:val="center"/>
                </w:tcPr>
                <w:p>
                  <w:pPr>
                    <w:pStyle w:val="2"/>
                    <w:spacing w:line="240" w:lineRule="auto"/>
                    <w:jc w:val="center"/>
                    <w:rPr>
                      <w:sz w:val="21"/>
                      <w:szCs w:val="21"/>
                    </w:rPr>
                  </w:pPr>
                </w:p>
              </w:tc>
              <w:tc>
                <w:tcPr>
                  <w:tcW w:w="1116" w:type="dxa"/>
                  <w:vMerge w:val="continue"/>
                  <w:vAlign w:val="center"/>
                </w:tcPr>
                <w:p>
                  <w:pPr>
                    <w:pStyle w:val="2"/>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304" w:type="dxa"/>
                  <w:vAlign w:val="center"/>
                </w:tcPr>
                <w:p>
                  <w:pPr>
                    <w:adjustRightInd w:val="0"/>
                    <w:snapToGrid w:val="0"/>
                    <w:spacing w:line="240" w:lineRule="auto"/>
                    <w:jc w:val="center"/>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宿州空艺景观工程有限公司</w:t>
                  </w:r>
                </w:p>
              </w:tc>
              <w:tc>
                <w:tcPr>
                  <w:tcW w:w="725" w:type="dxa"/>
                  <w:vAlign w:val="center"/>
                </w:tcPr>
                <w:p>
                  <w:pPr>
                    <w:pStyle w:val="2"/>
                    <w:spacing w:line="240" w:lineRule="auto"/>
                    <w:jc w:val="center"/>
                    <w:rPr>
                      <w:sz w:val="21"/>
                      <w:szCs w:val="21"/>
                    </w:rPr>
                  </w:pPr>
                  <w:r>
                    <w:rPr>
                      <w:sz w:val="21"/>
                      <w:szCs w:val="21"/>
                    </w:rPr>
                    <w:t>0</w:t>
                  </w:r>
                </w:p>
              </w:tc>
              <w:tc>
                <w:tcPr>
                  <w:tcW w:w="738" w:type="dxa"/>
                  <w:vAlign w:val="center"/>
                </w:tcPr>
                <w:p>
                  <w:pPr>
                    <w:pStyle w:val="2"/>
                    <w:spacing w:line="240" w:lineRule="auto"/>
                    <w:jc w:val="center"/>
                    <w:rPr>
                      <w:sz w:val="21"/>
                      <w:szCs w:val="21"/>
                    </w:rPr>
                  </w:pPr>
                  <w:r>
                    <w:rPr>
                      <w:sz w:val="21"/>
                      <w:szCs w:val="21"/>
                    </w:rPr>
                    <w:t>0</w:t>
                  </w:r>
                </w:p>
              </w:tc>
              <w:tc>
                <w:tcPr>
                  <w:tcW w:w="794" w:type="dxa"/>
                  <w:vAlign w:val="center"/>
                </w:tcPr>
                <w:p>
                  <w:pPr>
                    <w:pStyle w:val="2"/>
                    <w:spacing w:line="240" w:lineRule="auto"/>
                    <w:jc w:val="center"/>
                    <w:rPr>
                      <w:sz w:val="21"/>
                      <w:szCs w:val="21"/>
                    </w:rPr>
                  </w:pPr>
                  <w:r>
                    <w:rPr>
                      <w:sz w:val="21"/>
                      <w:szCs w:val="21"/>
                    </w:rPr>
                    <w:t>/</w:t>
                  </w:r>
                </w:p>
              </w:tc>
              <w:tc>
                <w:tcPr>
                  <w:tcW w:w="1134" w:type="dxa"/>
                  <w:vAlign w:val="center"/>
                </w:tcPr>
                <w:p>
                  <w:pPr>
                    <w:pStyle w:val="2"/>
                    <w:spacing w:line="240" w:lineRule="auto"/>
                    <w:jc w:val="center"/>
                    <w:rPr>
                      <w:sz w:val="21"/>
                      <w:szCs w:val="21"/>
                    </w:rPr>
                  </w:pPr>
                  <w:r>
                    <w:rPr>
                      <w:sz w:val="21"/>
                      <w:szCs w:val="21"/>
                    </w:rPr>
                    <w:t>/</w:t>
                  </w:r>
                </w:p>
              </w:tc>
              <w:tc>
                <w:tcPr>
                  <w:tcW w:w="955" w:type="dxa"/>
                  <w:vMerge w:val="restart"/>
                  <w:vAlign w:val="center"/>
                </w:tcPr>
                <w:p>
                  <w:pPr>
                    <w:pStyle w:val="2"/>
                    <w:spacing w:line="240" w:lineRule="auto"/>
                    <w:jc w:val="center"/>
                    <w:rPr>
                      <w:sz w:val="21"/>
                      <w:szCs w:val="21"/>
                    </w:rPr>
                  </w:pPr>
                  <w:r>
                    <w:rPr>
                      <w:sz w:val="21"/>
                      <w:szCs w:val="21"/>
                    </w:rPr>
                    <w:t>环境空气质量二类功能区</w:t>
                  </w:r>
                </w:p>
              </w:tc>
              <w:tc>
                <w:tcPr>
                  <w:tcW w:w="1004" w:type="dxa"/>
                  <w:vAlign w:val="center"/>
                </w:tcPr>
                <w:p>
                  <w:pPr>
                    <w:pStyle w:val="2"/>
                    <w:spacing w:line="240" w:lineRule="auto"/>
                    <w:jc w:val="center"/>
                    <w:rPr>
                      <w:sz w:val="21"/>
                      <w:szCs w:val="21"/>
                    </w:rPr>
                  </w:pPr>
                  <w:r>
                    <w:rPr>
                      <w:sz w:val="21"/>
                      <w:szCs w:val="21"/>
                    </w:rPr>
                    <w:t>坐标原点</w:t>
                  </w:r>
                </w:p>
              </w:tc>
              <w:tc>
                <w:tcPr>
                  <w:tcW w:w="1116" w:type="dxa"/>
                  <w:vAlign w:val="center"/>
                </w:tcPr>
                <w:p>
                  <w:pPr>
                    <w:pStyle w:val="2"/>
                    <w:spacing w:line="240" w:lineRule="auto"/>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04" w:type="dxa"/>
                  <w:vAlign w:val="center"/>
                </w:tcPr>
                <w:p>
                  <w:pPr>
                    <w:pStyle w:val="2"/>
                    <w:keepNext w:val="0"/>
                    <w:keepLines w:val="0"/>
                    <w:pageBreakBefore w:val="0"/>
                    <w:widowControl/>
                    <w:kinsoku/>
                    <w:wordWrap/>
                    <w:overflowPunct/>
                    <w:topLinePunct w:val="0"/>
                    <w:autoSpaceDE/>
                    <w:autoSpaceDN/>
                    <w:bidi w:val="0"/>
                    <w:adjustRightInd/>
                    <w:snapToGrid w:val="0"/>
                    <w:spacing w:before="0" w:after="0" w:line="240" w:lineRule="auto"/>
                    <w:ind w:right="113"/>
                    <w:jc w:val="center"/>
                    <w:textAlignment w:val="auto"/>
                    <w:rPr>
                      <w:rFonts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西陈</w:t>
                  </w:r>
                  <w:r>
                    <w:rPr>
                      <w:rFonts w:ascii="宋体" w:hAnsi="宋体" w:eastAsia="宋体" w:cs="宋体"/>
                      <w:kern w:val="0"/>
                      <w:sz w:val="21"/>
                      <w:szCs w:val="21"/>
                      <w:lang w:val="en-US" w:eastAsia="zh-CN" w:bidi="ar-SA"/>
                    </w:rPr>
                    <w:t>村</w:t>
                  </w:r>
                </w:p>
              </w:tc>
              <w:tc>
                <w:tcPr>
                  <w:tcW w:w="725"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rFonts w:hint="eastAsia"/>
                      <w:sz w:val="21"/>
                      <w:szCs w:val="21"/>
                      <w:lang w:val="en-US" w:eastAsia="zh-CN"/>
                    </w:rPr>
                    <w:t>230</w:t>
                  </w:r>
                </w:p>
              </w:tc>
              <w:tc>
                <w:tcPr>
                  <w:tcW w:w="73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rFonts w:hint="default" w:eastAsia="宋体"/>
                      <w:sz w:val="21"/>
                      <w:szCs w:val="21"/>
                      <w:lang w:val="en-US" w:eastAsia="zh-CN"/>
                    </w:rPr>
                  </w:pPr>
                  <w:r>
                    <w:rPr>
                      <w:rFonts w:hint="eastAsia"/>
                      <w:sz w:val="21"/>
                      <w:szCs w:val="21"/>
                    </w:rPr>
                    <w:t>-2</w:t>
                  </w:r>
                  <w:r>
                    <w:rPr>
                      <w:rFonts w:hint="eastAsia"/>
                      <w:sz w:val="21"/>
                      <w:szCs w:val="21"/>
                      <w:lang w:val="en-US" w:eastAsia="zh-CN"/>
                    </w:rPr>
                    <w:t>30</w:t>
                  </w:r>
                </w:p>
              </w:tc>
              <w:tc>
                <w:tcPr>
                  <w:tcW w:w="79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sz w:val="21"/>
                      <w:szCs w:val="21"/>
                    </w:rPr>
                    <w:t>居民</w:t>
                  </w:r>
                </w:p>
              </w:tc>
              <w:tc>
                <w:tcPr>
                  <w:tcW w:w="113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rFonts w:hint="eastAsia"/>
                      <w:sz w:val="21"/>
                      <w:szCs w:val="21"/>
                    </w:rPr>
                    <w:t>150户556人</w:t>
                  </w:r>
                </w:p>
              </w:tc>
              <w:tc>
                <w:tcPr>
                  <w:tcW w:w="955"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p>
              </w:tc>
              <w:tc>
                <w:tcPr>
                  <w:tcW w:w="100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sz w:val="21"/>
                      <w:szCs w:val="21"/>
                    </w:rPr>
                    <w:t>东南</w:t>
                  </w:r>
                </w:p>
              </w:tc>
              <w:tc>
                <w:tcPr>
                  <w:tcW w:w="1116"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rFonts w:hint="default" w:eastAsia="宋体"/>
                      <w:sz w:val="21"/>
                      <w:szCs w:val="21"/>
                      <w:lang w:val="en-US" w:eastAsia="zh-CN"/>
                    </w:rPr>
                  </w:pPr>
                  <w:r>
                    <w:rPr>
                      <w:rFonts w:hint="eastAsia"/>
                      <w:sz w:val="21"/>
                      <w:szCs w:val="21"/>
                      <w:lang w:val="en-US" w:eastAsia="zh-CN"/>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rFonts w:ascii="宋体" w:hAnsi="宋体" w:cs="宋体"/>
                      <w:sz w:val="21"/>
                      <w:szCs w:val="21"/>
                    </w:rPr>
                    <w:t>刘圩学府</w:t>
                  </w:r>
                </w:p>
              </w:tc>
              <w:tc>
                <w:tcPr>
                  <w:tcW w:w="725"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rFonts w:hint="default" w:eastAsia="宋体"/>
                      <w:sz w:val="21"/>
                      <w:szCs w:val="21"/>
                      <w:lang w:val="en-US" w:eastAsia="zh-CN"/>
                    </w:rPr>
                  </w:pPr>
                  <w:r>
                    <w:rPr>
                      <w:rFonts w:hint="eastAsia"/>
                      <w:sz w:val="21"/>
                      <w:szCs w:val="21"/>
                      <w:lang w:val="en-US" w:eastAsia="zh-CN"/>
                    </w:rPr>
                    <w:t>230</w:t>
                  </w:r>
                </w:p>
              </w:tc>
              <w:tc>
                <w:tcPr>
                  <w:tcW w:w="73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sz w:val="21"/>
                      <w:szCs w:val="21"/>
                    </w:rPr>
                    <w:t>-</w:t>
                  </w:r>
                  <w:r>
                    <w:rPr>
                      <w:rFonts w:hint="eastAsia"/>
                      <w:sz w:val="21"/>
                      <w:szCs w:val="21"/>
                      <w:lang w:val="en-US" w:eastAsia="zh-CN"/>
                    </w:rPr>
                    <w:t>44</w:t>
                  </w:r>
                  <w:r>
                    <w:rPr>
                      <w:rFonts w:hint="eastAsia"/>
                      <w:sz w:val="21"/>
                      <w:szCs w:val="21"/>
                    </w:rPr>
                    <w:t>0</w:t>
                  </w:r>
                </w:p>
              </w:tc>
              <w:tc>
                <w:tcPr>
                  <w:tcW w:w="79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sz w:val="21"/>
                      <w:szCs w:val="21"/>
                    </w:rPr>
                    <w:t>居民</w:t>
                  </w:r>
                </w:p>
              </w:tc>
              <w:tc>
                <w:tcPr>
                  <w:tcW w:w="113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rFonts w:hint="eastAsia"/>
                      <w:sz w:val="21"/>
                      <w:szCs w:val="21"/>
                    </w:rPr>
                    <w:t>230户726人</w:t>
                  </w:r>
                </w:p>
              </w:tc>
              <w:tc>
                <w:tcPr>
                  <w:tcW w:w="955"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p>
              </w:tc>
              <w:tc>
                <w:tcPr>
                  <w:tcW w:w="100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sz w:val="21"/>
                      <w:szCs w:val="21"/>
                    </w:rPr>
                    <w:t>东南</w:t>
                  </w:r>
                </w:p>
              </w:tc>
              <w:tc>
                <w:tcPr>
                  <w:tcW w:w="1116"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rFonts w:hint="default" w:eastAsia="宋体"/>
                      <w:sz w:val="21"/>
                      <w:szCs w:val="21"/>
                      <w:lang w:val="en-US" w:eastAsia="zh-CN"/>
                    </w:rPr>
                  </w:pPr>
                  <w:r>
                    <w:rPr>
                      <w:rFonts w:hint="eastAsia"/>
                      <w:sz w:val="21"/>
                      <w:szCs w:val="21"/>
                    </w:rPr>
                    <w:t>4</w:t>
                  </w:r>
                  <w:r>
                    <w:rPr>
                      <w:rFonts w:hint="eastAsia"/>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rFonts w:ascii="宋体" w:hAnsi="宋体" w:cs="宋体"/>
                      <w:sz w:val="21"/>
                      <w:szCs w:val="21"/>
                    </w:rPr>
                    <w:t>泗县刘圩初级中学</w:t>
                  </w:r>
                </w:p>
              </w:tc>
              <w:tc>
                <w:tcPr>
                  <w:tcW w:w="725"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rFonts w:hint="eastAsia" w:eastAsia="宋体"/>
                      <w:sz w:val="21"/>
                      <w:szCs w:val="21"/>
                      <w:lang w:eastAsia="zh-CN"/>
                    </w:rPr>
                  </w:pPr>
                  <w:r>
                    <w:rPr>
                      <w:rFonts w:hint="eastAsia"/>
                      <w:sz w:val="21"/>
                      <w:szCs w:val="21"/>
                      <w:lang w:val="en-US" w:eastAsia="zh-CN"/>
                    </w:rPr>
                    <w:t>0</w:t>
                  </w:r>
                </w:p>
              </w:tc>
              <w:tc>
                <w:tcPr>
                  <w:tcW w:w="738"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rFonts w:hint="default" w:eastAsia="宋体"/>
                      <w:sz w:val="21"/>
                      <w:szCs w:val="21"/>
                      <w:lang w:val="en-US" w:eastAsia="zh-CN"/>
                    </w:rPr>
                  </w:pPr>
                  <w:r>
                    <w:rPr>
                      <w:sz w:val="21"/>
                      <w:szCs w:val="21"/>
                    </w:rPr>
                    <w:t>-</w:t>
                  </w:r>
                  <w:r>
                    <w:rPr>
                      <w:rFonts w:hint="eastAsia"/>
                      <w:sz w:val="21"/>
                      <w:szCs w:val="21"/>
                    </w:rPr>
                    <w:t>4</w:t>
                  </w:r>
                  <w:r>
                    <w:rPr>
                      <w:rFonts w:hint="eastAsia"/>
                      <w:sz w:val="21"/>
                      <w:szCs w:val="21"/>
                      <w:lang w:val="en-US" w:eastAsia="zh-CN"/>
                    </w:rPr>
                    <w:t>56</w:t>
                  </w:r>
                </w:p>
              </w:tc>
              <w:tc>
                <w:tcPr>
                  <w:tcW w:w="79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sz w:val="21"/>
                      <w:szCs w:val="21"/>
                    </w:rPr>
                    <w:t>学校</w:t>
                  </w:r>
                </w:p>
              </w:tc>
              <w:tc>
                <w:tcPr>
                  <w:tcW w:w="113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rFonts w:hint="eastAsia"/>
                      <w:sz w:val="21"/>
                      <w:szCs w:val="21"/>
                    </w:rPr>
                    <w:t>48</w:t>
                  </w:r>
                  <w:r>
                    <w:rPr>
                      <w:sz w:val="21"/>
                      <w:szCs w:val="21"/>
                    </w:rPr>
                    <w:t>个班</w:t>
                  </w:r>
                </w:p>
              </w:tc>
              <w:tc>
                <w:tcPr>
                  <w:tcW w:w="955" w:type="dxa"/>
                  <w:vMerge w:val="continue"/>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p>
              </w:tc>
              <w:tc>
                <w:tcPr>
                  <w:tcW w:w="1004"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sz w:val="21"/>
                      <w:szCs w:val="21"/>
                    </w:rPr>
                    <w:t>南</w:t>
                  </w:r>
                </w:p>
              </w:tc>
              <w:tc>
                <w:tcPr>
                  <w:tcW w:w="1116" w:type="dxa"/>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sz w:val="21"/>
                      <w:szCs w:val="21"/>
                    </w:rPr>
                  </w:pPr>
                  <w:r>
                    <w:rPr>
                      <w:rFonts w:hint="eastAsia"/>
                      <w:sz w:val="21"/>
                      <w:szCs w:val="21"/>
                    </w:rPr>
                    <w:t>456</w:t>
                  </w:r>
                </w:p>
              </w:tc>
            </w:tr>
          </w:tbl>
          <w:p>
            <w:pPr>
              <w:adjustRightInd w:val="0"/>
              <w:snapToGrid w:val="0"/>
              <w:spacing w:line="360" w:lineRule="auto"/>
              <w:ind w:firstLine="480" w:firstLineChars="200"/>
              <w:rPr>
                <w:b/>
                <w:bCs/>
                <w:sz w:val="24"/>
              </w:rPr>
            </w:pPr>
            <w:r>
              <w:rPr>
                <w:b w:val="0"/>
                <w:bCs w:val="0"/>
                <w:kern w:val="0"/>
                <w:sz w:val="24"/>
              </w:rPr>
              <w:t>2、地表水环境</w:t>
            </w:r>
          </w:p>
          <w:p>
            <w:pPr>
              <w:spacing w:line="360" w:lineRule="auto"/>
              <w:ind w:firstLine="482" w:firstLineChars="200"/>
              <w:jc w:val="center"/>
              <w:rPr>
                <w:sz w:val="24"/>
              </w:rPr>
            </w:pPr>
            <w:r>
              <w:rPr>
                <w:b/>
                <w:sz w:val="24"/>
              </w:rPr>
              <w:t>表3-</w:t>
            </w:r>
            <w:r>
              <w:rPr>
                <w:rFonts w:hint="eastAsia"/>
                <w:b/>
                <w:sz w:val="24"/>
                <w:lang w:val="en-US" w:eastAsia="zh-CN"/>
              </w:rPr>
              <w:t>5</w:t>
            </w:r>
            <w:r>
              <w:rPr>
                <w:b/>
                <w:sz w:val="24"/>
              </w:rPr>
              <w:t xml:space="preserve">  水环境保护目标一览表</w:t>
            </w:r>
          </w:p>
          <w:tbl>
            <w:tblPr>
              <w:tblStyle w:val="22"/>
              <w:tblW w:w="79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1466"/>
              <w:gridCol w:w="1467"/>
              <w:gridCol w:w="1467"/>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123" w:type="dxa"/>
                  <w:vAlign w:val="center"/>
                </w:tcPr>
                <w:p>
                  <w:pPr>
                    <w:jc w:val="center"/>
                    <w:rPr>
                      <w:b/>
                      <w:bCs/>
                      <w:szCs w:val="21"/>
                    </w:rPr>
                  </w:pPr>
                  <w:r>
                    <w:rPr>
                      <w:b/>
                      <w:bCs/>
                      <w:szCs w:val="21"/>
                    </w:rPr>
                    <w:t>环境要素</w:t>
                  </w:r>
                </w:p>
              </w:tc>
              <w:tc>
                <w:tcPr>
                  <w:tcW w:w="1466" w:type="dxa"/>
                  <w:vAlign w:val="center"/>
                </w:tcPr>
                <w:p>
                  <w:pPr>
                    <w:jc w:val="center"/>
                    <w:rPr>
                      <w:b/>
                      <w:bCs/>
                      <w:szCs w:val="21"/>
                    </w:rPr>
                  </w:pPr>
                  <w:r>
                    <w:rPr>
                      <w:b/>
                      <w:bCs/>
                      <w:szCs w:val="21"/>
                    </w:rPr>
                    <w:t>环境保护对象</w:t>
                  </w:r>
                </w:p>
                <w:p>
                  <w:pPr>
                    <w:jc w:val="center"/>
                    <w:rPr>
                      <w:b/>
                      <w:bCs/>
                      <w:szCs w:val="21"/>
                    </w:rPr>
                  </w:pPr>
                  <w:r>
                    <w:rPr>
                      <w:b/>
                      <w:bCs/>
                      <w:szCs w:val="21"/>
                    </w:rPr>
                    <w:t>名称</w:t>
                  </w:r>
                </w:p>
              </w:tc>
              <w:tc>
                <w:tcPr>
                  <w:tcW w:w="1467" w:type="dxa"/>
                  <w:vAlign w:val="center"/>
                </w:tcPr>
                <w:p>
                  <w:pPr>
                    <w:jc w:val="center"/>
                    <w:rPr>
                      <w:b/>
                      <w:bCs/>
                      <w:szCs w:val="21"/>
                    </w:rPr>
                  </w:pPr>
                  <w:r>
                    <w:rPr>
                      <w:b/>
                      <w:bCs/>
                      <w:szCs w:val="21"/>
                    </w:rPr>
                    <w:t>方位/距离(m)</w:t>
                  </w:r>
                </w:p>
              </w:tc>
              <w:tc>
                <w:tcPr>
                  <w:tcW w:w="1467" w:type="dxa"/>
                  <w:vAlign w:val="center"/>
                </w:tcPr>
                <w:p>
                  <w:pPr>
                    <w:jc w:val="center"/>
                    <w:rPr>
                      <w:b/>
                      <w:bCs/>
                      <w:szCs w:val="21"/>
                    </w:rPr>
                  </w:pPr>
                  <w:r>
                    <w:rPr>
                      <w:b/>
                      <w:bCs/>
                      <w:szCs w:val="21"/>
                    </w:rPr>
                    <w:t>规模</w:t>
                  </w:r>
                </w:p>
              </w:tc>
              <w:tc>
                <w:tcPr>
                  <w:tcW w:w="2441" w:type="dxa"/>
                  <w:vAlign w:val="center"/>
                </w:tcPr>
                <w:p>
                  <w:pPr>
                    <w:jc w:val="center"/>
                    <w:rPr>
                      <w:b/>
                      <w:bCs/>
                      <w:szCs w:val="21"/>
                    </w:rPr>
                  </w:pPr>
                  <w:r>
                    <w:rPr>
                      <w:b/>
                      <w:bCs/>
                      <w:szCs w:val="21"/>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1123" w:type="dxa"/>
                  <w:vAlign w:val="center"/>
                </w:tcPr>
                <w:p>
                  <w:pPr>
                    <w:jc w:val="center"/>
                    <w:rPr>
                      <w:szCs w:val="21"/>
                    </w:rPr>
                  </w:pPr>
                  <w:r>
                    <w:rPr>
                      <w:szCs w:val="21"/>
                    </w:rPr>
                    <w:t>地表水</w:t>
                  </w:r>
                </w:p>
              </w:tc>
              <w:tc>
                <w:tcPr>
                  <w:tcW w:w="1466" w:type="dxa"/>
                  <w:vAlign w:val="center"/>
                </w:tcPr>
                <w:p>
                  <w:pPr>
                    <w:jc w:val="center"/>
                    <w:rPr>
                      <w:szCs w:val="21"/>
                    </w:rPr>
                  </w:pPr>
                  <w:r>
                    <w:rPr>
                      <w:szCs w:val="21"/>
                    </w:rPr>
                    <w:t>小余沟</w:t>
                  </w:r>
                </w:p>
              </w:tc>
              <w:tc>
                <w:tcPr>
                  <w:tcW w:w="1467" w:type="dxa"/>
                  <w:vAlign w:val="center"/>
                </w:tcPr>
                <w:p>
                  <w:pPr>
                    <w:jc w:val="center"/>
                    <w:rPr>
                      <w:szCs w:val="21"/>
                    </w:rPr>
                  </w:pPr>
                  <w:r>
                    <w:rPr>
                      <w:rFonts w:hint="eastAsia"/>
                      <w:szCs w:val="21"/>
                    </w:rPr>
                    <w:t>南276</w:t>
                  </w:r>
                  <w:r>
                    <w:rPr>
                      <w:szCs w:val="21"/>
                    </w:rPr>
                    <w:t>米处</w:t>
                  </w:r>
                </w:p>
              </w:tc>
              <w:tc>
                <w:tcPr>
                  <w:tcW w:w="1467" w:type="dxa"/>
                  <w:vAlign w:val="center"/>
                </w:tcPr>
                <w:p>
                  <w:pPr>
                    <w:jc w:val="center"/>
                    <w:rPr>
                      <w:szCs w:val="21"/>
                    </w:rPr>
                  </w:pPr>
                  <w:r>
                    <w:rPr>
                      <w:szCs w:val="21"/>
                    </w:rPr>
                    <w:t>小河</w:t>
                  </w:r>
                </w:p>
              </w:tc>
              <w:tc>
                <w:tcPr>
                  <w:tcW w:w="2441" w:type="dxa"/>
                  <w:vAlign w:val="center"/>
                </w:tcPr>
                <w:p>
                  <w:pPr>
                    <w:jc w:val="center"/>
                    <w:rPr>
                      <w:szCs w:val="21"/>
                    </w:rPr>
                  </w:pPr>
                  <w:r>
                    <w:rPr>
                      <w:szCs w:val="21"/>
                    </w:rPr>
                    <w:t>《</w:t>
                  </w:r>
                  <w:r>
                    <w:rPr>
                      <w:color w:val="000000"/>
                      <w:szCs w:val="21"/>
                    </w:rPr>
                    <w:t>地表水环境质量标准》（GB3838-2002）</w:t>
                  </w:r>
                  <w:r>
                    <w:rPr>
                      <w:rFonts w:hint="default" w:ascii="Times New Roman" w:hAnsi="Times New Roman" w:eastAsia="宋体" w:cs="Times New Roman"/>
                      <w:color w:val="000000"/>
                      <w:szCs w:val="21"/>
                    </w:rPr>
                    <w:t>Ⅲ</w:t>
                  </w:r>
                  <w:r>
                    <w:rPr>
                      <w:rFonts w:ascii="Times New Roman" w:hAnsi="Times New Roman" w:eastAsia="宋体" w:cs="Times New Roman"/>
                      <w:color w:val="000000"/>
                      <w:szCs w:val="21"/>
                    </w:rPr>
                    <w:t>类</w:t>
                  </w:r>
                </w:p>
              </w:tc>
            </w:tr>
          </w:tbl>
          <w:p>
            <w:pPr>
              <w:adjustRightInd w:val="0"/>
              <w:snapToGrid w:val="0"/>
              <w:spacing w:line="360" w:lineRule="auto"/>
              <w:ind w:firstLine="480" w:firstLineChars="200"/>
              <w:rPr>
                <w:kern w:val="0"/>
                <w:sz w:val="24"/>
                <w:szCs w:val="24"/>
              </w:rPr>
            </w:pPr>
            <w:r>
              <w:rPr>
                <w:rFonts w:hint="eastAsia"/>
                <w:kern w:val="0"/>
                <w:sz w:val="24"/>
                <w:szCs w:val="24"/>
              </w:rPr>
              <w:t>3</w:t>
            </w:r>
            <w:r>
              <w:rPr>
                <w:kern w:val="0"/>
                <w:sz w:val="24"/>
                <w:szCs w:val="24"/>
              </w:rPr>
              <w:t>、声环境</w:t>
            </w:r>
          </w:p>
          <w:p>
            <w:pPr>
              <w:adjustRightInd w:val="0"/>
              <w:snapToGrid w:val="0"/>
              <w:spacing w:line="360" w:lineRule="auto"/>
              <w:ind w:firstLine="480" w:firstLineChars="200"/>
              <w:rPr>
                <w:kern w:val="0"/>
                <w:sz w:val="24"/>
                <w:szCs w:val="24"/>
              </w:rPr>
            </w:pPr>
            <w:r>
              <w:rPr>
                <w:rFonts w:hint="eastAsia" w:ascii="宋体" w:hAnsi="宋体" w:cs="宋体"/>
                <w:sz w:val="24"/>
                <w:szCs w:val="24"/>
              </w:rPr>
              <w:t>本</w:t>
            </w:r>
            <w:r>
              <w:rPr>
                <w:kern w:val="0"/>
                <w:sz w:val="24"/>
                <w:szCs w:val="24"/>
              </w:rPr>
              <w:t>项目</w:t>
            </w:r>
            <w:r>
              <w:rPr>
                <w:rFonts w:ascii="宋体" w:hAnsi="宋体" w:cs="宋体"/>
                <w:sz w:val="24"/>
                <w:szCs w:val="24"/>
              </w:rPr>
              <w:t>周边</w:t>
            </w:r>
            <w:r>
              <w:rPr>
                <w:kern w:val="0"/>
                <w:sz w:val="24"/>
                <w:szCs w:val="24"/>
              </w:rPr>
              <w:t>50m范围内无</w:t>
            </w:r>
            <w:r>
              <w:rPr>
                <w:sz w:val="24"/>
                <w:szCs w:val="24"/>
              </w:rPr>
              <w:t>声</w:t>
            </w:r>
            <w:r>
              <w:rPr>
                <w:kern w:val="0"/>
                <w:sz w:val="24"/>
                <w:szCs w:val="24"/>
              </w:rPr>
              <w:t>环境保护目标。</w:t>
            </w:r>
          </w:p>
          <w:p>
            <w:pPr>
              <w:spacing w:line="360" w:lineRule="auto"/>
              <w:ind w:firstLine="480" w:firstLineChars="200"/>
              <w:rPr>
                <w:sz w:val="24"/>
                <w:szCs w:val="24"/>
              </w:rPr>
            </w:pPr>
            <w:r>
              <w:rPr>
                <w:rFonts w:hint="eastAsia"/>
                <w:sz w:val="24"/>
                <w:szCs w:val="24"/>
              </w:rPr>
              <w:t>4</w:t>
            </w:r>
            <w:r>
              <w:rPr>
                <w:sz w:val="24"/>
                <w:szCs w:val="24"/>
              </w:rPr>
              <w:t>、生态环境</w:t>
            </w:r>
          </w:p>
          <w:p>
            <w:pPr>
              <w:adjustRightInd w:val="0"/>
              <w:snapToGrid w:val="0"/>
              <w:spacing w:line="360" w:lineRule="auto"/>
              <w:ind w:firstLine="480" w:firstLineChars="200"/>
              <w:rPr>
                <w:sz w:val="24"/>
                <w:szCs w:val="24"/>
              </w:rPr>
            </w:pPr>
            <w:r>
              <w:rPr>
                <w:rFonts w:hint="eastAsia" w:ascii="宋体" w:hAnsi="宋体" w:cs="宋体"/>
                <w:sz w:val="24"/>
                <w:szCs w:val="24"/>
              </w:rPr>
              <w:t>本</w:t>
            </w:r>
            <w:r>
              <w:rPr>
                <w:sz w:val="24"/>
                <w:szCs w:val="24"/>
              </w:rPr>
              <w:t>项目</w:t>
            </w:r>
            <w:r>
              <w:rPr>
                <w:rFonts w:ascii="宋体" w:hAnsi="宋体" w:cs="宋体"/>
                <w:sz w:val="24"/>
                <w:szCs w:val="24"/>
              </w:rPr>
              <w:t>属于</w:t>
            </w:r>
            <w:r>
              <w:rPr>
                <w:rFonts w:hint="eastAsia" w:ascii="宋体" w:hAnsi="宋体" w:cs="宋体"/>
                <w:sz w:val="24"/>
                <w:szCs w:val="24"/>
                <w:lang w:val="en-US" w:eastAsia="zh-CN"/>
              </w:rPr>
              <w:t>园</w:t>
            </w:r>
            <w:r>
              <w:rPr>
                <w:rFonts w:ascii="宋体" w:hAnsi="宋体" w:cs="宋体"/>
                <w:sz w:val="24"/>
                <w:szCs w:val="24"/>
              </w:rPr>
              <w:t>区内工业用地</w:t>
            </w:r>
            <w:r>
              <w:rPr>
                <w:rFonts w:hint="eastAsia" w:ascii="宋体" w:hAnsi="宋体" w:cs="宋体"/>
                <w:sz w:val="24"/>
                <w:szCs w:val="24"/>
              </w:rPr>
              <w:t>，不</w:t>
            </w:r>
            <w:r>
              <w:rPr>
                <w:rFonts w:ascii="宋体" w:hAnsi="宋体" w:cs="宋体"/>
                <w:sz w:val="24"/>
                <w:szCs w:val="24"/>
              </w:rPr>
              <w:t>新增用地</w:t>
            </w:r>
            <w:r>
              <w:rPr>
                <w:sz w:val="24"/>
                <w:szCs w:val="24"/>
              </w:rPr>
              <w:t>。</w:t>
            </w:r>
          </w:p>
          <w:p>
            <w:pPr>
              <w:adjustRightInd w:val="0"/>
              <w:snapToGrid w:val="0"/>
              <w:spacing w:line="360" w:lineRule="auto"/>
              <w:ind w:firstLine="420" w:firstLineChars="200"/>
              <w:rPr>
                <w:rFonts w:hint="eastAsia" w:eastAsia="宋体"/>
                <w:kern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kern w:val="0"/>
                <w:sz w:val="24"/>
              </w:rPr>
            </w:pPr>
            <w:r>
              <w:rPr>
                <w:kern w:val="0"/>
                <w:sz w:val="24"/>
              </w:rPr>
              <w:t>污染</w:t>
            </w:r>
          </w:p>
          <w:p>
            <w:pPr>
              <w:adjustRightInd w:val="0"/>
              <w:snapToGrid w:val="0"/>
              <w:jc w:val="center"/>
              <w:rPr>
                <w:kern w:val="0"/>
                <w:sz w:val="24"/>
              </w:rPr>
            </w:pPr>
            <w:r>
              <w:rPr>
                <w:kern w:val="0"/>
                <w:sz w:val="24"/>
              </w:rPr>
              <w:t>物排</w:t>
            </w:r>
          </w:p>
          <w:p>
            <w:pPr>
              <w:adjustRightInd w:val="0"/>
              <w:snapToGrid w:val="0"/>
              <w:jc w:val="center"/>
              <w:rPr>
                <w:kern w:val="0"/>
                <w:sz w:val="24"/>
              </w:rPr>
            </w:pPr>
            <w:r>
              <w:rPr>
                <w:kern w:val="0"/>
                <w:sz w:val="24"/>
              </w:rPr>
              <w:t>放控</w:t>
            </w:r>
          </w:p>
          <w:p>
            <w:pPr>
              <w:adjustRightInd w:val="0"/>
              <w:snapToGrid w:val="0"/>
              <w:jc w:val="center"/>
              <w:rPr>
                <w:kern w:val="0"/>
                <w:sz w:val="24"/>
              </w:rPr>
            </w:pPr>
            <w:r>
              <w:rPr>
                <w:kern w:val="0"/>
                <w:sz w:val="24"/>
              </w:rPr>
              <w:t>制标</w:t>
            </w:r>
          </w:p>
          <w:p>
            <w:pPr>
              <w:adjustRightInd w:val="0"/>
              <w:snapToGrid w:val="0"/>
              <w:jc w:val="center"/>
              <w:rPr>
                <w:kern w:val="0"/>
                <w:szCs w:val="21"/>
              </w:rPr>
            </w:pPr>
            <w:r>
              <w:rPr>
                <w:kern w:val="0"/>
                <w:sz w:val="24"/>
              </w:rPr>
              <w:t>准</w:t>
            </w:r>
          </w:p>
        </w:tc>
        <w:tc>
          <w:tcPr>
            <w:tcW w:w="8190" w:type="dxa"/>
            <w:vAlign w:val="center"/>
          </w:tcPr>
          <w:p>
            <w:pPr>
              <w:tabs>
                <w:tab w:val="left" w:pos="402"/>
              </w:tabs>
              <w:spacing w:line="360" w:lineRule="auto"/>
              <w:ind w:firstLine="480" w:firstLineChars="200"/>
              <w:outlineLvl w:val="0"/>
              <w:rPr>
                <w:b w:val="0"/>
                <w:bCs w:val="0"/>
                <w:sz w:val="24"/>
              </w:rPr>
            </w:pPr>
            <w:r>
              <w:rPr>
                <w:rFonts w:hint="eastAsia"/>
                <w:b w:val="0"/>
                <w:bCs w:val="0"/>
                <w:sz w:val="24"/>
                <w:lang w:val="en-US" w:eastAsia="zh-CN"/>
              </w:rPr>
              <w:t>1</w:t>
            </w:r>
            <w:r>
              <w:rPr>
                <w:b w:val="0"/>
                <w:bCs w:val="0"/>
                <w:sz w:val="24"/>
              </w:rPr>
              <w:t>、大气污染物排放标准</w:t>
            </w:r>
          </w:p>
          <w:p>
            <w:pPr>
              <w:tabs>
                <w:tab w:val="left" w:pos="1275"/>
              </w:tabs>
              <w:spacing w:line="360" w:lineRule="auto"/>
              <w:ind w:firstLine="480" w:firstLineChars="200"/>
              <w:jc w:val="left"/>
              <w:rPr>
                <w:color w:val="000000"/>
                <w:sz w:val="24"/>
              </w:rPr>
            </w:pPr>
            <w:r>
              <w:rPr>
                <w:rFonts w:hint="eastAsia"/>
                <w:color w:val="000000"/>
                <w:sz w:val="24"/>
                <w:lang w:bidi="ar"/>
              </w:rPr>
              <w:t>本</w:t>
            </w:r>
            <w:r>
              <w:rPr>
                <w:color w:val="000000"/>
                <w:sz w:val="24"/>
                <w:lang w:bidi="ar"/>
              </w:rPr>
              <w:t>项目</w:t>
            </w:r>
            <w:r>
              <w:rPr>
                <w:rFonts w:hint="eastAsia" w:ascii="Times New Roman" w:hAnsi="Times New Roman" w:eastAsia="宋体" w:cs="Times New Roman"/>
                <w:color w:val="000000"/>
                <w:sz w:val="24"/>
                <w:lang w:bidi="ar"/>
              </w:rPr>
              <w:t>废气执行《大气污染物综合排放标准》（GB16297-1996）表2中二级标准和无组织排放限值要求。具体标</w:t>
            </w:r>
            <w:r>
              <w:rPr>
                <w:bCs/>
                <w:color w:val="000000"/>
                <w:sz w:val="24"/>
              </w:rPr>
              <w:t>准值如下表</w:t>
            </w:r>
            <w:r>
              <w:rPr>
                <w:color w:val="000000"/>
                <w:sz w:val="24"/>
              </w:rPr>
              <w:t>：</w:t>
            </w:r>
          </w:p>
          <w:p>
            <w:pPr>
              <w:spacing w:line="360" w:lineRule="auto"/>
              <w:jc w:val="center"/>
              <w:rPr>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表3-</w:t>
            </w:r>
            <w:r>
              <w:rPr>
                <w:rFonts w:hint="eastAsia"/>
                <w:b/>
                <w:bCs/>
                <w:color w:val="000000" w:themeColor="text1"/>
                <w:sz w:val="24"/>
                <w:szCs w:val="24"/>
                <w:lang w:val="en-US" w:eastAsia="zh-CN"/>
                <w14:textFill>
                  <w14:solidFill>
                    <w14:schemeClr w14:val="tx1"/>
                  </w14:solidFill>
                </w14:textFill>
              </w:rPr>
              <w:t>6</w:t>
            </w:r>
            <w:r>
              <w:rPr>
                <w:rFonts w:hint="eastAsia"/>
                <w:b/>
                <w:bCs/>
                <w:color w:val="000000" w:themeColor="text1"/>
                <w:sz w:val="24"/>
                <w:szCs w:val="24"/>
                <w14:textFill>
                  <w14:solidFill>
                    <w14:schemeClr w14:val="tx1"/>
                  </w14:solidFill>
                </w14:textFill>
              </w:rPr>
              <w:t xml:space="preserve">  大气污染物排放标准</w:t>
            </w:r>
          </w:p>
          <w:tbl>
            <w:tblPr>
              <w:tblStyle w:val="22"/>
              <w:tblW w:w="7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85"/>
              <w:gridCol w:w="1065"/>
              <w:gridCol w:w="853"/>
              <w:gridCol w:w="890"/>
              <w:gridCol w:w="978"/>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污染物</w:t>
                  </w:r>
                </w:p>
              </w:tc>
              <w:tc>
                <w:tcPr>
                  <w:tcW w:w="3003" w:type="dxa"/>
                  <w:gridSpan w:val="3"/>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大气污染物项目排放限值</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无组织排放监控浓度限值</w:t>
                  </w:r>
                </w:p>
              </w:tc>
              <w:tc>
                <w:tcPr>
                  <w:tcW w:w="2190"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最高允许排放浓度</w:t>
                  </w:r>
                  <w:r>
                    <w:rPr>
                      <w:b/>
                      <w:bCs/>
                      <w:color w:val="000000" w:themeColor="text1"/>
                      <w:sz w:val="21"/>
                      <w:szCs w:val="21"/>
                      <w:lang w:bidi="ar"/>
                      <w14:textFill>
                        <w14:solidFill>
                          <w14:schemeClr w14:val="tx1"/>
                        </w14:solidFill>
                      </w14:textFill>
                    </w:rPr>
                    <w:t>mg/m</w:t>
                  </w:r>
                  <w:r>
                    <w:rPr>
                      <w:b/>
                      <w:bCs/>
                      <w:color w:val="000000" w:themeColor="text1"/>
                      <w:sz w:val="21"/>
                      <w:szCs w:val="21"/>
                      <w:vertAlign w:val="superscript"/>
                      <w:lang w:bidi="ar"/>
                      <w14:textFill>
                        <w14:solidFill>
                          <w14:schemeClr w14:val="tx1"/>
                        </w14:solidFill>
                      </w14:textFill>
                    </w:rPr>
                    <w:t>3</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最高允许排放速率</w:t>
                  </w:r>
                  <w:r>
                    <w:rPr>
                      <w:b/>
                      <w:bCs/>
                      <w:color w:val="000000" w:themeColor="text1"/>
                      <w:sz w:val="21"/>
                      <w:szCs w:val="21"/>
                      <w:lang w:bidi="ar"/>
                      <w14:textFill>
                        <w14:solidFill>
                          <w14:schemeClr w14:val="tx1"/>
                        </w14:solidFill>
                      </w14:textFill>
                    </w:rPr>
                    <w:t>kg/h</w:t>
                  </w:r>
                </w:p>
              </w:tc>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000000" w:themeColor="text1"/>
                      <w:sz w:val="21"/>
                      <w:szCs w:val="21"/>
                      <w:lang w:bidi="ar"/>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排气筒高度</w:t>
                  </w:r>
                  <w:r>
                    <w:rPr>
                      <w:b/>
                      <w:bCs/>
                      <w:color w:val="000000" w:themeColor="text1"/>
                      <w:sz w:val="21"/>
                      <w:szCs w:val="21"/>
                      <w:lang w:bidi="ar"/>
                      <w14:textFill>
                        <w14:solidFill>
                          <w14:schemeClr w14:val="tx1"/>
                        </w14:solidFill>
                      </w14:textFill>
                    </w:rPr>
                    <w:t>m</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监控点</w:t>
                  </w:r>
                </w:p>
              </w:tc>
              <w:tc>
                <w:tcPr>
                  <w:tcW w:w="978" w:type="dxa"/>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1"/>
                      <w:szCs w:val="21"/>
                      <w14:textFill>
                        <w14:solidFill>
                          <w14:schemeClr w14:val="tx1"/>
                        </w14:solidFill>
                      </w14:textFill>
                    </w:rPr>
                  </w:pPr>
                  <w:r>
                    <w:rPr>
                      <w:rFonts w:hint="eastAsia" w:cs="宋体"/>
                      <w:b/>
                      <w:bCs/>
                      <w:color w:val="000000" w:themeColor="text1"/>
                      <w:sz w:val="21"/>
                      <w:szCs w:val="21"/>
                      <w:lang w:bidi="ar"/>
                      <w14:textFill>
                        <w14:solidFill>
                          <w14:schemeClr w14:val="tx1"/>
                        </w14:solidFill>
                      </w14:textFill>
                    </w:rPr>
                    <w:t>浓度</w:t>
                  </w:r>
                  <w:r>
                    <w:rPr>
                      <w:b/>
                      <w:bCs/>
                      <w:color w:val="000000" w:themeColor="text1"/>
                      <w:sz w:val="21"/>
                      <w:szCs w:val="21"/>
                      <w:lang w:bidi="ar"/>
                      <w14:textFill>
                        <w14:solidFill>
                          <w14:schemeClr w14:val="tx1"/>
                        </w14:solidFill>
                      </w14:textFill>
                    </w:rPr>
                    <w:t>mg/m</w:t>
                  </w:r>
                  <w:r>
                    <w:rPr>
                      <w:b/>
                      <w:bCs/>
                      <w:color w:val="000000" w:themeColor="text1"/>
                      <w:sz w:val="21"/>
                      <w:szCs w:val="21"/>
                      <w:vertAlign w:val="superscript"/>
                      <w:lang w:bidi="ar"/>
                      <w14:textFill>
                        <w14:solidFill>
                          <w14:schemeClr w14:val="tx1"/>
                        </w14:solidFill>
                      </w14:textFill>
                    </w:rPr>
                    <w:t>3</w:t>
                  </w:r>
                </w:p>
              </w:tc>
              <w:tc>
                <w:tcPr>
                  <w:tcW w:w="219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8"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21"/>
                      <w:szCs w:val="21"/>
                      <w:lang w:bidi="ar"/>
                      <w14:textFill>
                        <w14:solidFill>
                          <w14:schemeClr w14:val="tx1"/>
                        </w14:solidFill>
                      </w14:textFill>
                    </w:rPr>
                  </w:pPr>
                  <w:r>
                    <w:rPr>
                      <w:rFonts w:hint="eastAsia" w:cs="宋体"/>
                      <w:color w:val="000000" w:themeColor="text1"/>
                      <w:sz w:val="21"/>
                      <w:szCs w:val="21"/>
                      <w:lang w:bidi="ar"/>
                      <w14:textFill>
                        <w14:solidFill>
                          <w14:schemeClr w14:val="tx1"/>
                        </w14:solidFill>
                      </w14:textFill>
                    </w:rPr>
                    <w:t>非甲烷总烃</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120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s="宋体"/>
                      <w:color w:val="000000" w:themeColor="text1"/>
                      <w:sz w:val="21"/>
                      <w:szCs w:val="21"/>
                      <w:lang w:val="en-US" w:eastAsia="zh-CN" w:bidi="ar"/>
                      <w14:textFill>
                        <w14:solidFill>
                          <w14:schemeClr w14:val="tx1"/>
                        </w14:solidFill>
                      </w14:textFill>
                    </w:rPr>
                  </w:pPr>
                  <w:r>
                    <w:rPr>
                      <w:rFonts w:hint="eastAsia" w:cs="宋体"/>
                      <w:color w:val="000000" w:themeColor="text1"/>
                      <w:sz w:val="21"/>
                      <w:szCs w:val="21"/>
                      <w:lang w:val="en-US" w:eastAsia="zh-CN" w:bidi="ar"/>
                      <w14:textFill>
                        <w14:solidFill>
                          <w14:schemeClr w14:val="tx1"/>
                        </w14:solidFill>
                      </w14:textFill>
                    </w:rPr>
                    <w:t>15</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21"/>
                      <w:szCs w:val="21"/>
                      <w:lang w:bidi="ar"/>
                      <w14:textFill>
                        <w14:solidFill>
                          <w14:schemeClr w14:val="tx1"/>
                        </w14:solidFill>
                      </w14:textFill>
                    </w:rPr>
                  </w:pPr>
                  <w:r>
                    <w:rPr>
                      <w:rFonts w:hint="eastAsia" w:cs="宋体"/>
                      <w:color w:val="000000" w:themeColor="text1"/>
                      <w:sz w:val="21"/>
                      <w:szCs w:val="21"/>
                      <w:lang w:bidi="ar"/>
                      <w14:textFill>
                        <w14:solidFill>
                          <w14:schemeClr w14:val="tx1"/>
                        </w14:solidFill>
                      </w14:textFill>
                    </w:rPr>
                    <w:t>周界外浓度最高点</w:t>
                  </w:r>
                </w:p>
              </w:tc>
              <w:tc>
                <w:tcPr>
                  <w:tcW w:w="97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4.0</w:t>
                  </w:r>
                </w:p>
              </w:tc>
              <w:tc>
                <w:tcPr>
                  <w:tcW w:w="2190" w:type="dxa"/>
                  <w:vMerge w:val="restart"/>
                  <w:tcBorders>
                    <w:top w:val="single" w:color="auto" w:sz="4" w:space="0"/>
                    <w:left w:val="single" w:color="auto" w:sz="4" w:space="0"/>
                    <w:right w:val="single" w:color="auto" w:sz="4" w:space="0"/>
                  </w:tcBorders>
                  <w:vAlign w:val="center"/>
                </w:tcPr>
                <w:p>
                  <w:pPr>
                    <w:jc w:val="center"/>
                    <w:rPr>
                      <w:b/>
                      <w:bCs/>
                      <w:color w:val="000000" w:themeColor="text1"/>
                      <w:sz w:val="21"/>
                      <w:szCs w:val="21"/>
                      <w14:textFill>
                        <w14:solidFill>
                          <w14:schemeClr w14:val="tx1"/>
                        </w14:solidFill>
                      </w14:textFill>
                    </w:rPr>
                  </w:pPr>
                  <w:r>
                    <w:rPr>
                      <w:sz w:val="21"/>
                      <w:szCs w:val="21"/>
                    </w:rPr>
                    <w:t>《大气污染物综合排放标准》（GB16297-1996）表2中二级标准</w:t>
                  </w:r>
                  <w:r>
                    <w:rPr>
                      <w:rFonts w:hint="eastAsia"/>
                      <w:sz w:val="21"/>
                      <w:szCs w:val="21"/>
                    </w:rPr>
                    <w:t>和</w:t>
                  </w:r>
                  <w:r>
                    <w:rPr>
                      <w:sz w:val="21"/>
                      <w:szCs w:val="21"/>
                    </w:rPr>
                    <w:t>无组织排放限值要求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64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21"/>
                      <w:szCs w:val="21"/>
                      <w:lang w:bidi="ar"/>
                      <w14:textFill>
                        <w14:solidFill>
                          <w14:schemeClr w14:val="tx1"/>
                        </w14:solidFill>
                      </w14:textFill>
                    </w:rPr>
                  </w:pPr>
                  <w:r>
                    <w:rPr>
                      <w:rFonts w:hint="eastAsia" w:cs="宋体"/>
                      <w:color w:val="000000" w:themeColor="text1"/>
                      <w:sz w:val="21"/>
                      <w:szCs w:val="21"/>
                      <w:lang w:bidi="ar"/>
                      <w14:textFill>
                        <w14:solidFill>
                          <w14:schemeClr w14:val="tx1"/>
                        </w14:solidFill>
                      </w14:textFill>
                    </w:rPr>
                    <w:t>颗粒物</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120</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w:t>
                  </w:r>
                </w:p>
              </w:tc>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21"/>
                      <w:szCs w:val="21"/>
                      <w:lang w:bidi="ar"/>
                      <w14:textFill>
                        <w14:solidFill>
                          <w14:schemeClr w14:val="tx1"/>
                        </w14:solidFill>
                      </w14:textFill>
                    </w:rPr>
                  </w:pPr>
                  <w:r>
                    <w:rPr>
                      <w:rFonts w:hint="eastAsia" w:cs="宋体"/>
                      <w:color w:val="000000" w:themeColor="text1"/>
                      <w:sz w:val="21"/>
                      <w:szCs w:val="21"/>
                      <w:lang w:val="en-US" w:eastAsia="zh-CN" w:bidi="ar"/>
                      <w14:textFill>
                        <w14:solidFill>
                          <w14:schemeClr w14:val="tx1"/>
                        </w14:solidFill>
                      </w14:textFill>
                    </w:rPr>
                    <w:t>15</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 w:val="21"/>
                      <w:szCs w:val="21"/>
                      <w:lang w:bidi="ar"/>
                      <w14:textFill>
                        <w14:solidFill>
                          <w14:schemeClr w14:val="tx1"/>
                        </w14:solidFill>
                      </w14:textFill>
                    </w:rPr>
                  </w:pPr>
                  <w:r>
                    <w:rPr>
                      <w:rFonts w:hint="eastAsia" w:cs="宋体"/>
                      <w:color w:val="000000" w:themeColor="text1"/>
                      <w:sz w:val="21"/>
                      <w:szCs w:val="21"/>
                      <w:lang w:bidi="ar"/>
                      <w14:textFill>
                        <w14:solidFill>
                          <w14:schemeClr w14:val="tx1"/>
                        </w14:solidFill>
                      </w14:textFill>
                    </w:rPr>
                    <w:t>周界外浓度最高点</w:t>
                  </w:r>
                </w:p>
              </w:tc>
              <w:tc>
                <w:tcPr>
                  <w:tcW w:w="97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1.0</w:t>
                  </w:r>
                </w:p>
              </w:tc>
              <w:tc>
                <w:tcPr>
                  <w:tcW w:w="2190" w:type="dxa"/>
                  <w:vMerge w:val="continue"/>
                  <w:tcBorders>
                    <w:left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644" w:type="dxa"/>
                  <w:tcBorders>
                    <w:top w:val="single" w:color="auto" w:sz="4" w:space="0"/>
                    <w:left w:val="single" w:color="auto" w:sz="4" w:space="0"/>
                    <w:right w:val="single" w:color="auto" w:sz="4" w:space="0"/>
                  </w:tcBorders>
                  <w:vAlign w:val="center"/>
                </w:tcPr>
                <w:p>
                  <w:pPr>
                    <w:jc w:val="center"/>
                    <w:rPr>
                      <w:color w:val="000000" w:themeColor="text1"/>
                      <w:sz w:val="21"/>
                      <w:szCs w:val="21"/>
                      <w:lang w:bidi="ar"/>
                      <w14:textFill>
                        <w14:solidFill>
                          <w14:schemeClr w14:val="tx1"/>
                        </w14:solidFill>
                      </w14:textFill>
                    </w:rPr>
                  </w:pPr>
                  <w:r>
                    <w:rPr>
                      <w:color w:val="000000" w:themeColor="text1"/>
                      <w:sz w:val="21"/>
                      <w:szCs w:val="21"/>
                      <w:lang w:bidi="ar"/>
                      <w14:textFill>
                        <w14:solidFill>
                          <w14:schemeClr w14:val="tx1"/>
                        </w14:solidFill>
                      </w14:textFill>
                    </w:rPr>
                    <w:t>二甲苯</w:t>
                  </w:r>
                </w:p>
              </w:tc>
              <w:tc>
                <w:tcPr>
                  <w:tcW w:w="1085" w:type="dxa"/>
                  <w:tcBorders>
                    <w:top w:val="single" w:color="auto" w:sz="4" w:space="0"/>
                    <w:left w:val="single" w:color="auto" w:sz="4" w:space="0"/>
                    <w:right w:val="single" w:color="auto" w:sz="4" w:space="0"/>
                  </w:tcBorders>
                  <w:vAlign w:val="center"/>
                </w:tcPr>
                <w:p>
                  <w:pPr>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70</w:t>
                  </w:r>
                </w:p>
              </w:tc>
              <w:tc>
                <w:tcPr>
                  <w:tcW w:w="1065" w:type="dxa"/>
                  <w:tcBorders>
                    <w:top w:val="single" w:color="auto" w:sz="4" w:space="0"/>
                    <w:left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853" w:type="dxa"/>
                  <w:tcBorders>
                    <w:top w:val="single" w:color="auto" w:sz="4" w:space="0"/>
                    <w:left w:val="single" w:color="auto" w:sz="4" w:space="0"/>
                    <w:right w:val="single" w:color="auto" w:sz="4" w:space="0"/>
                  </w:tcBorders>
                  <w:vAlign w:val="center"/>
                </w:tcPr>
                <w:p>
                  <w:pPr>
                    <w:jc w:val="center"/>
                    <w:rPr>
                      <w:rFonts w:cs="宋体"/>
                      <w:color w:val="000000" w:themeColor="text1"/>
                      <w:sz w:val="21"/>
                      <w:szCs w:val="21"/>
                      <w:lang w:bidi="ar"/>
                      <w14:textFill>
                        <w14:solidFill>
                          <w14:schemeClr w14:val="tx1"/>
                        </w14:solidFill>
                      </w14:textFill>
                    </w:rPr>
                  </w:pPr>
                  <w:r>
                    <w:rPr>
                      <w:rFonts w:hint="eastAsia" w:cs="宋体"/>
                      <w:color w:val="000000" w:themeColor="text1"/>
                      <w:sz w:val="21"/>
                      <w:szCs w:val="21"/>
                      <w:lang w:val="en-US" w:eastAsia="zh-CN" w:bidi="ar"/>
                      <w14:textFill>
                        <w14:solidFill>
                          <w14:schemeClr w14:val="tx1"/>
                        </w14:solidFill>
                      </w14:textFill>
                    </w:rPr>
                    <w:t>15</w:t>
                  </w:r>
                </w:p>
              </w:tc>
              <w:tc>
                <w:tcPr>
                  <w:tcW w:w="890" w:type="dxa"/>
                  <w:tcBorders>
                    <w:top w:val="single" w:color="auto" w:sz="4" w:space="0"/>
                    <w:left w:val="single" w:color="auto" w:sz="4" w:space="0"/>
                    <w:right w:val="single" w:color="auto" w:sz="4" w:space="0"/>
                  </w:tcBorders>
                  <w:vAlign w:val="center"/>
                </w:tcPr>
                <w:p>
                  <w:pPr>
                    <w:jc w:val="center"/>
                    <w:rPr>
                      <w:rFonts w:cs="宋体"/>
                      <w:color w:val="000000" w:themeColor="text1"/>
                      <w:sz w:val="21"/>
                      <w:szCs w:val="21"/>
                      <w:lang w:bidi="ar"/>
                      <w14:textFill>
                        <w14:solidFill>
                          <w14:schemeClr w14:val="tx1"/>
                        </w14:solidFill>
                      </w14:textFill>
                    </w:rPr>
                  </w:pPr>
                  <w:r>
                    <w:rPr>
                      <w:rFonts w:hint="eastAsia" w:cs="宋体"/>
                      <w:color w:val="000000" w:themeColor="text1"/>
                      <w:sz w:val="21"/>
                      <w:szCs w:val="21"/>
                      <w:lang w:bidi="ar"/>
                      <w14:textFill>
                        <w14:solidFill>
                          <w14:schemeClr w14:val="tx1"/>
                        </w14:solidFill>
                      </w14:textFill>
                    </w:rPr>
                    <w:t>周界外浓度最高点</w:t>
                  </w:r>
                </w:p>
              </w:tc>
              <w:tc>
                <w:tcPr>
                  <w:tcW w:w="97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1"/>
                      <w:szCs w:val="21"/>
                      <w:lang w:bidi="ar"/>
                      <w14:textFill>
                        <w14:solidFill>
                          <w14:schemeClr w14:val="tx1"/>
                        </w14:solidFill>
                      </w14:textFill>
                    </w:rPr>
                  </w:pPr>
                  <w:r>
                    <w:rPr>
                      <w:rFonts w:hint="eastAsia"/>
                      <w:color w:val="000000" w:themeColor="text1"/>
                      <w:sz w:val="21"/>
                      <w:szCs w:val="21"/>
                      <w:lang w:bidi="ar"/>
                      <w14:textFill>
                        <w14:solidFill>
                          <w14:schemeClr w14:val="tx1"/>
                        </w14:solidFill>
                      </w14:textFill>
                    </w:rPr>
                    <w:t>1.2</w:t>
                  </w:r>
                </w:p>
              </w:tc>
              <w:tc>
                <w:tcPr>
                  <w:tcW w:w="2190" w:type="dxa"/>
                  <w:vMerge w:val="continue"/>
                  <w:tcBorders>
                    <w:left w:val="single" w:color="auto" w:sz="4" w:space="0"/>
                    <w:right w:val="single" w:color="auto" w:sz="4" w:space="0"/>
                  </w:tcBorders>
                  <w:vAlign w:val="center"/>
                </w:tcPr>
                <w:p>
                  <w:pPr>
                    <w:jc w:val="center"/>
                    <w:rPr>
                      <w:sz w:val="21"/>
                      <w:szCs w:val="21"/>
                    </w:rPr>
                  </w:pPr>
                </w:p>
              </w:tc>
            </w:tr>
          </w:tbl>
          <w:p>
            <w:pPr>
              <w:spacing w:line="360" w:lineRule="auto"/>
              <w:ind w:firstLine="480" w:firstLineChars="200"/>
              <w:rPr>
                <w:b w:val="0"/>
                <w:bCs w:val="0"/>
                <w:sz w:val="24"/>
              </w:rPr>
            </w:pPr>
            <w:r>
              <w:rPr>
                <w:rFonts w:hint="default"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rPr>
              <w:t>、废</w:t>
            </w:r>
            <w:r>
              <w:rPr>
                <w:b w:val="0"/>
                <w:bCs w:val="0"/>
                <w:sz w:val="24"/>
              </w:rPr>
              <w:t>水排放标准</w:t>
            </w:r>
          </w:p>
          <w:p>
            <w:pPr>
              <w:spacing w:line="360" w:lineRule="auto"/>
              <w:ind w:firstLine="480" w:firstLineChars="200"/>
              <w:rPr>
                <w:b/>
                <w:bCs/>
                <w:sz w:val="24"/>
              </w:rPr>
            </w:pPr>
            <w:r>
              <w:rPr>
                <w:rFonts w:hint="eastAsia"/>
                <w:color w:val="000000"/>
                <w:sz w:val="24"/>
                <w:lang w:bidi="ar"/>
              </w:rPr>
              <w:t>本</w:t>
            </w:r>
            <w:r>
              <w:rPr>
                <w:sz w:val="24"/>
              </w:rPr>
              <w:t>项目</w:t>
            </w:r>
            <w:r>
              <w:rPr>
                <w:rFonts w:ascii="宋体" w:hAnsi="宋体" w:cs="宋体"/>
                <w:sz w:val="24"/>
              </w:rPr>
              <w:t>无生产废水</w:t>
            </w:r>
            <w:r>
              <w:rPr>
                <w:rFonts w:hint="eastAsia" w:ascii="宋体" w:hAnsi="宋体" w:cs="宋体"/>
                <w:sz w:val="24"/>
              </w:rPr>
              <w:t>，</w:t>
            </w:r>
            <w:r>
              <w:rPr>
                <w:sz w:val="24"/>
              </w:rPr>
              <w:t>生活污水依托化粪池处理后定期</w:t>
            </w:r>
            <w:r>
              <w:rPr>
                <w:rFonts w:hint="eastAsia"/>
                <w:sz w:val="24"/>
              </w:rPr>
              <w:t>清掏外运，不外排。</w:t>
            </w:r>
          </w:p>
          <w:p>
            <w:pPr>
              <w:spacing w:line="360" w:lineRule="auto"/>
              <w:ind w:firstLine="480" w:firstLineChars="200"/>
              <w:rPr>
                <w:b w:val="0"/>
                <w:bCs w:val="0"/>
                <w:sz w:val="24"/>
              </w:rPr>
            </w:pPr>
            <w:r>
              <w:rPr>
                <w:rFonts w:hint="eastAsia"/>
                <w:b w:val="0"/>
                <w:bCs w:val="0"/>
                <w:sz w:val="24"/>
                <w:lang w:val="en-US" w:eastAsia="zh-CN"/>
              </w:rPr>
              <w:t>3</w:t>
            </w:r>
            <w:r>
              <w:rPr>
                <w:b w:val="0"/>
                <w:bCs w:val="0"/>
                <w:sz w:val="24"/>
              </w:rPr>
              <w:t>、噪声</w:t>
            </w:r>
          </w:p>
          <w:p>
            <w:pPr>
              <w:spacing w:line="360" w:lineRule="auto"/>
              <w:ind w:firstLine="480" w:firstLineChars="200"/>
              <w:rPr>
                <w:b/>
                <w:bCs/>
                <w:color w:val="000000"/>
                <w:sz w:val="24"/>
              </w:rPr>
            </w:pPr>
            <w:r>
              <w:rPr>
                <w:rFonts w:hint="eastAsia"/>
                <w:color w:val="000000"/>
                <w:sz w:val="24"/>
                <w:lang w:bidi="ar"/>
              </w:rPr>
              <w:t>本</w:t>
            </w:r>
            <w:r>
              <w:rPr>
                <w:color w:val="000000"/>
                <w:sz w:val="24"/>
                <w:lang w:bidi="ar"/>
              </w:rPr>
              <w:t>项目</w:t>
            </w:r>
            <w:r>
              <w:rPr>
                <w:rFonts w:ascii="宋体" w:hAnsi="宋体" w:cs="宋体"/>
                <w:sz w:val="24"/>
              </w:rPr>
              <w:t>施工期</w:t>
            </w:r>
            <w:r>
              <w:rPr>
                <w:color w:val="000000"/>
                <w:sz w:val="24"/>
              </w:rPr>
              <w:t>厂界噪声</w:t>
            </w:r>
            <w:r>
              <w:rPr>
                <w:rFonts w:ascii="宋体" w:hAnsi="宋体" w:cs="宋体"/>
                <w:sz w:val="24"/>
              </w:rPr>
              <w:t>执行</w:t>
            </w:r>
            <w:r>
              <w:rPr>
                <w:color w:val="000000"/>
                <w:sz w:val="24"/>
              </w:rPr>
              <w:t>《建筑施工场界环境噪声排放标准》（GB12523-2011）中相关标准限值</w:t>
            </w:r>
            <w:r>
              <w:rPr>
                <w:rFonts w:hint="eastAsia"/>
                <w:color w:val="000000"/>
                <w:sz w:val="24"/>
              </w:rPr>
              <w:t>，</w:t>
            </w:r>
            <w:r>
              <w:rPr>
                <w:color w:val="000000"/>
                <w:sz w:val="24"/>
              </w:rPr>
              <w:t>运营期厂界噪声执行《工业企业厂界环境噪声排放标准》（GB12348-2008）中</w:t>
            </w:r>
            <w:r>
              <w:rPr>
                <w:rFonts w:hint="eastAsia"/>
                <w:color w:val="000000"/>
                <w:sz w:val="24"/>
              </w:rPr>
              <w:t>2</w:t>
            </w:r>
            <w:r>
              <w:rPr>
                <w:color w:val="000000"/>
                <w:sz w:val="24"/>
              </w:rPr>
              <w:t>类标准要求，具体标准值如下表：</w:t>
            </w:r>
          </w:p>
          <w:p>
            <w:pPr>
              <w:tabs>
                <w:tab w:val="left" w:pos="402"/>
              </w:tabs>
              <w:jc w:val="center"/>
              <w:outlineLvl w:val="0"/>
              <w:rPr>
                <w:b/>
                <w:bCs/>
                <w:sz w:val="24"/>
                <w:szCs w:val="24"/>
              </w:rPr>
            </w:pPr>
            <w:r>
              <w:rPr>
                <w:b/>
                <w:bCs/>
                <w:sz w:val="24"/>
                <w:szCs w:val="24"/>
              </w:rPr>
              <w:t>表</w:t>
            </w:r>
            <w:r>
              <w:rPr>
                <w:rFonts w:hint="eastAsia"/>
                <w:b/>
                <w:bCs/>
                <w:sz w:val="24"/>
                <w:szCs w:val="24"/>
              </w:rPr>
              <w:t>3-</w:t>
            </w:r>
            <w:r>
              <w:rPr>
                <w:rFonts w:hint="eastAsia"/>
                <w:b/>
                <w:bCs/>
                <w:sz w:val="24"/>
                <w:szCs w:val="24"/>
                <w:lang w:val="en-US" w:eastAsia="zh-CN"/>
              </w:rPr>
              <w:t>7</w:t>
            </w:r>
            <w:r>
              <w:rPr>
                <w:b/>
                <w:bCs/>
                <w:sz w:val="24"/>
                <w:szCs w:val="24"/>
              </w:rPr>
              <w:t xml:space="preserve">  噪声排放标准限值</w:t>
            </w:r>
            <w:r>
              <w:rPr>
                <w:rFonts w:hint="eastAsia"/>
                <w:b/>
                <w:bCs/>
                <w:sz w:val="24"/>
                <w:szCs w:val="24"/>
              </w:rPr>
              <w:t xml:space="preserve">  </w:t>
            </w:r>
            <w:r>
              <w:rPr>
                <w:b/>
                <w:bCs/>
                <w:sz w:val="24"/>
                <w:szCs w:val="24"/>
              </w:rPr>
              <w:t>单位：dB（A）</w:t>
            </w:r>
          </w:p>
          <w:tbl>
            <w:tblPr>
              <w:tblStyle w:val="23"/>
              <w:tblW w:w="7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39"/>
              <w:gridCol w:w="1140"/>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522" w:type="dxa"/>
                  <w:vAlign w:val="center"/>
                </w:tcPr>
                <w:p>
                  <w:pPr>
                    <w:jc w:val="center"/>
                    <w:rPr>
                      <w:b/>
                      <w:bCs/>
                      <w:szCs w:val="21"/>
                    </w:rPr>
                  </w:pPr>
                  <w:r>
                    <w:rPr>
                      <w:b/>
                      <w:bCs/>
                      <w:szCs w:val="21"/>
                    </w:rPr>
                    <w:t>类别</w:t>
                  </w:r>
                </w:p>
              </w:tc>
              <w:tc>
                <w:tcPr>
                  <w:tcW w:w="1139" w:type="dxa"/>
                  <w:vAlign w:val="center"/>
                </w:tcPr>
                <w:p>
                  <w:pPr>
                    <w:jc w:val="center"/>
                    <w:rPr>
                      <w:b/>
                      <w:bCs/>
                      <w:szCs w:val="21"/>
                    </w:rPr>
                  </w:pPr>
                  <w:r>
                    <w:rPr>
                      <w:b/>
                      <w:bCs/>
                      <w:szCs w:val="21"/>
                    </w:rPr>
                    <w:t>标准限值</w:t>
                  </w:r>
                </w:p>
              </w:tc>
              <w:tc>
                <w:tcPr>
                  <w:tcW w:w="1140" w:type="dxa"/>
                  <w:vAlign w:val="center"/>
                </w:tcPr>
                <w:p>
                  <w:pPr>
                    <w:jc w:val="center"/>
                    <w:rPr>
                      <w:b/>
                      <w:bCs/>
                      <w:szCs w:val="21"/>
                    </w:rPr>
                  </w:pPr>
                  <w:r>
                    <w:rPr>
                      <w:b/>
                      <w:bCs/>
                      <w:szCs w:val="21"/>
                    </w:rPr>
                    <w:t>单位</w:t>
                  </w:r>
                </w:p>
              </w:tc>
              <w:tc>
                <w:tcPr>
                  <w:tcW w:w="3819" w:type="dxa"/>
                  <w:vAlign w:val="center"/>
                </w:tcPr>
                <w:p>
                  <w:pPr>
                    <w:jc w:val="center"/>
                    <w:rPr>
                      <w:b/>
                      <w:bCs/>
                      <w:szCs w:val="21"/>
                    </w:rPr>
                  </w:pPr>
                  <w:r>
                    <w:rPr>
                      <w:b/>
                      <w:bCs/>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522" w:type="dxa"/>
                  <w:vAlign w:val="center"/>
                </w:tcPr>
                <w:p>
                  <w:pPr>
                    <w:jc w:val="center"/>
                    <w:rPr>
                      <w:szCs w:val="21"/>
                    </w:rPr>
                  </w:pPr>
                  <w:r>
                    <w:rPr>
                      <w:szCs w:val="21"/>
                    </w:rPr>
                    <w:t>昼间</w:t>
                  </w:r>
                </w:p>
              </w:tc>
              <w:tc>
                <w:tcPr>
                  <w:tcW w:w="1139" w:type="dxa"/>
                  <w:vAlign w:val="center"/>
                </w:tcPr>
                <w:p>
                  <w:pPr>
                    <w:jc w:val="center"/>
                    <w:rPr>
                      <w:szCs w:val="21"/>
                    </w:rPr>
                  </w:pPr>
                  <w:r>
                    <w:rPr>
                      <w:szCs w:val="21"/>
                    </w:rPr>
                    <w:t>70</w:t>
                  </w:r>
                </w:p>
              </w:tc>
              <w:tc>
                <w:tcPr>
                  <w:tcW w:w="1140" w:type="dxa"/>
                  <w:vMerge w:val="restart"/>
                  <w:vAlign w:val="center"/>
                </w:tcPr>
                <w:p>
                  <w:pPr>
                    <w:jc w:val="center"/>
                    <w:rPr>
                      <w:szCs w:val="21"/>
                    </w:rPr>
                  </w:pPr>
                  <w:r>
                    <w:rPr>
                      <w:szCs w:val="21"/>
                    </w:rPr>
                    <w:t>dB（A）</w:t>
                  </w:r>
                </w:p>
              </w:tc>
              <w:tc>
                <w:tcPr>
                  <w:tcW w:w="3819" w:type="dxa"/>
                  <w:vMerge w:val="restart"/>
                  <w:vAlign w:val="center"/>
                </w:tcPr>
                <w:p>
                  <w:pPr>
                    <w:jc w:val="center"/>
                    <w:rPr>
                      <w:szCs w:val="21"/>
                    </w:rPr>
                  </w:pPr>
                  <w:r>
                    <w:rPr>
                      <w:szCs w:val="21"/>
                    </w:rPr>
                    <w:t>《建筑施工场界环境噪声排放标准》（GB12523-2011）中相关标准限值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522" w:type="dxa"/>
                  <w:vAlign w:val="center"/>
                </w:tcPr>
                <w:p>
                  <w:pPr>
                    <w:jc w:val="center"/>
                    <w:rPr>
                      <w:szCs w:val="21"/>
                    </w:rPr>
                  </w:pPr>
                  <w:r>
                    <w:rPr>
                      <w:szCs w:val="21"/>
                    </w:rPr>
                    <w:t>夜间</w:t>
                  </w:r>
                </w:p>
              </w:tc>
              <w:tc>
                <w:tcPr>
                  <w:tcW w:w="1139" w:type="dxa"/>
                  <w:vAlign w:val="center"/>
                </w:tcPr>
                <w:p>
                  <w:pPr>
                    <w:jc w:val="center"/>
                    <w:rPr>
                      <w:szCs w:val="21"/>
                    </w:rPr>
                  </w:pPr>
                  <w:r>
                    <w:rPr>
                      <w:szCs w:val="21"/>
                    </w:rPr>
                    <w:t>55</w:t>
                  </w:r>
                </w:p>
              </w:tc>
              <w:tc>
                <w:tcPr>
                  <w:tcW w:w="1140" w:type="dxa"/>
                  <w:vMerge w:val="continue"/>
                  <w:vAlign w:val="center"/>
                </w:tcPr>
                <w:p>
                  <w:pPr>
                    <w:jc w:val="center"/>
                    <w:rPr>
                      <w:szCs w:val="21"/>
                    </w:rPr>
                  </w:pPr>
                </w:p>
              </w:tc>
              <w:tc>
                <w:tcPr>
                  <w:tcW w:w="3819"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522" w:type="dxa"/>
                  <w:vAlign w:val="center"/>
                </w:tcPr>
                <w:p>
                  <w:pPr>
                    <w:jc w:val="center"/>
                    <w:rPr>
                      <w:szCs w:val="21"/>
                    </w:rPr>
                  </w:pPr>
                  <w:r>
                    <w:rPr>
                      <w:szCs w:val="21"/>
                    </w:rPr>
                    <w:t>昼间</w:t>
                  </w:r>
                </w:p>
              </w:tc>
              <w:tc>
                <w:tcPr>
                  <w:tcW w:w="1139" w:type="dxa"/>
                  <w:vAlign w:val="center"/>
                </w:tcPr>
                <w:p>
                  <w:pPr>
                    <w:jc w:val="center"/>
                    <w:rPr>
                      <w:szCs w:val="21"/>
                    </w:rPr>
                  </w:pPr>
                  <w:r>
                    <w:rPr>
                      <w:rFonts w:hint="eastAsia"/>
                      <w:szCs w:val="21"/>
                    </w:rPr>
                    <w:t>60</w:t>
                  </w:r>
                </w:p>
              </w:tc>
              <w:tc>
                <w:tcPr>
                  <w:tcW w:w="1140" w:type="dxa"/>
                  <w:vMerge w:val="continue"/>
                  <w:vAlign w:val="center"/>
                </w:tcPr>
                <w:p>
                  <w:pPr>
                    <w:jc w:val="center"/>
                    <w:rPr>
                      <w:szCs w:val="21"/>
                    </w:rPr>
                  </w:pPr>
                </w:p>
              </w:tc>
              <w:tc>
                <w:tcPr>
                  <w:tcW w:w="3819" w:type="dxa"/>
                  <w:vMerge w:val="restart"/>
                  <w:vAlign w:val="center"/>
                </w:tcPr>
                <w:p>
                  <w:pPr>
                    <w:jc w:val="center"/>
                    <w:rPr>
                      <w:szCs w:val="21"/>
                    </w:rPr>
                  </w:pPr>
                  <w:r>
                    <w:rPr>
                      <w:szCs w:val="21"/>
                    </w:rPr>
                    <w:t>《工业企业厂界环境噪声排放标准》（GB12348-2008）中</w:t>
                  </w:r>
                  <w:r>
                    <w:rPr>
                      <w:rFonts w:hint="eastAsia"/>
                      <w:szCs w:val="21"/>
                    </w:rPr>
                    <w:t>2</w:t>
                  </w:r>
                  <w:r>
                    <w:rPr>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1522" w:type="dxa"/>
                  <w:vAlign w:val="center"/>
                </w:tcPr>
                <w:p>
                  <w:pPr>
                    <w:jc w:val="center"/>
                    <w:rPr>
                      <w:szCs w:val="21"/>
                    </w:rPr>
                  </w:pPr>
                  <w:r>
                    <w:rPr>
                      <w:szCs w:val="21"/>
                    </w:rPr>
                    <w:t>夜间</w:t>
                  </w:r>
                </w:p>
              </w:tc>
              <w:tc>
                <w:tcPr>
                  <w:tcW w:w="1139" w:type="dxa"/>
                  <w:vAlign w:val="center"/>
                </w:tcPr>
                <w:p>
                  <w:pPr>
                    <w:jc w:val="center"/>
                    <w:rPr>
                      <w:szCs w:val="21"/>
                    </w:rPr>
                  </w:pPr>
                  <w:r>
                    <w:rPr>
                      <w:szCs w:val="21"/>
                    </w:rPr>
                    <w:t>5</w:t>
                  </w:r>
                  <w:r>
                    <w:rPr>
                      <w:rFonts w:hint="eastAsia"/>
                      <w:szCs w:val="21"/>
                    </w:rPr>
                    <w:t>0</w:t>
                  </w:r>
                </w:p>
              </w:tc>
              <w:tc>
                <w:tcPr>
                  <w:tcW w:w="1140" w:type="dxa"/>
                  <w:vMerge w:val="continue"/>
                  <w:vAlign w:val="center"/>
                </w:tcPr>
                <w:p>
                  <w:pPr>
                    <w:jc w:val="center"/>
                    <w:rPr>
                      <w:szCs w:val="21"/>
                    </w:rPr>
                  </w:pPr>
                </w:p>
              </w:tc>
              <w:tc>
                <w:tcPr>
                  <w:tcW w:w="3819" w:type="dxa"/>
                  <w:vMerge w:val="continue"/>
                  <w:vAlign w:val="center"/>
                </w:tcPr>
                <w:p>
                  <w:pPr>
                    <w:jc w:val="center"/>
                    <w:rPr>
                      <w:szCs w:val="21"/>
                    </w:rPr>
                  </w:pPr>
                </w:p>
              </w:tc>
            </w:tr>
          </w:tbl>
          <w:p>
            <w:pPr>
              <w:spacing w:line="360" w:lineRule="auto"/>
              <w:ind w:firstLine="480" w:firstLineChars="200"/>
              <w:rPr>
                <w:b w:val="0"/>
                <w:bCs w:val="0"/>
                <w:sz w:val="24"/>
              </w:rPr>
            </w:pPr>
            <w:r>
              <w:rPr>
                <w:rFonts w:hint="eastAsia"/>
                <w:b w:val="0"/>
                <w:bCs w:val="0"/>
                <w:sz w:val="24"/>
                <w:lang w:val="en-US" w:eastAsia="zh-CN"/>
              </w:rPr>
              <w:t>4</w:t>
            </w:r>
            <w:r>
              <w:rPr>
                <w:b w:val="0"/>
                <w:bCs w:val="0"/>
                <w:sz w:val="24"/>
              </w:rPr>
              <w:t>、固体废物</w:t>
            </w:r>
          </w:p>
          <w:p>
            <w:pPr>
              <w:adjustRightInd w:val="0"/>
              <w:snapToGrid w:val="0"/>
              <w:spacing w:line="360" w:lineRule="auto"/>
              <w:ind w:firstLine="480" w:firstLineChars="200"/>
              <w:jc w:val="left"/>
              <w:rPr>
                <w:kern w:val="0"/>
                <w:szCs w:val="21"/>
              </w:rPr>
            </w:pPr>
            <w:r>
              <w:rPr>
                <w:sz w:val="24"/>
                <w:szCs w:val="24"/>
              </w:rPr>
              <w:t>一般工业固体废物执行《一般工业固体废物贮存和填埋污染控制标准》（GB18599-2020）中有关要求；危险废物执行《危险废物贮存污染控制标准》（GB18597-2001）及其2013修改清单相关要求。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800" w:type="dxa"/>
            <w:vAlign w:val="center"/>
          </w:tcPr>
          <w:p>
            <w:pPr>
              <w:adjustRightInd w:val="0"/>
              <w:snapToGrid w:val="0"/>
              <w:jc w:val="center"/>
              <w:rPr>
                <w:kern w:val="0"/>
                <w:sz w:val="24"/>
              </w:rPr>
            </w:pPr>
            <w:r>
              <w:rPr>
                <w:kern w:val="0"/>
                <w:sz w:val="24"/>
              </w:rPr>
              <w:t>总量</w:t>
            </w:r>
          </w:p>
          <w:p>
            <w:pPr>
              <w:adjustRightInd w:val="0"/>
              <w:snapToGrid w:val="0"/>
              <w:jc w:val="center"/>
              <w:rPr>
                <w:kern w:val="0"/>
                <w:sz w:val="24"/>
              </w:rPr>
            </w:pPr>
            <w:r>
              <w:rPr>
                <w:kern w:val="0"/>
                <w:sz w:val="24"/>
              </w:rPr>
              <w:t>控制</w:t>
            </w:r>
          </w:p>
          <w:p>
            <w:pPr>
              <w:adjustRightInd w:val="0"/>
              <w:snapToGrid w:val="0"/>
              <w:jc w:val="center"/>
              <w:rPr>
                <w:kern w:val="0"/>
                <w:szCs w:val="21"/>
              </w:rPr>
            </w:pPr>
            <w:r>
              <w:rPr>
                <w:kern w:val="0"/>
                <w:sz w:val="24"/>
              </w:rPr>
              <w:t>指标</w:t>
            </w:r>
          </w:p>
        </w:tc>
        <w:tc>
          <w:tcPr>
            <w:tcW w:w="8190" w:type="dxa"/>
            <w:vAlign w:val="center"/>
          </w:tcPr>
          <w:p>
            <w:pPr>
              <w:spacing w:line="360" w:lineRule="auto"/>
              <w:rPr>
                <w:sz w:val="24"/>
              </w:rPr>
            </w:pPr>
          </w:p>
          <w:p>
            <w:pPr>
              <w:spacing w:line="360" w:lineRule="auto"/>
              <w:rPr>
                <w:sz w:val="24"/>
              </w:rPr>
            </w:pPr>
          </w:p>
          <w:p>
            <w:pPr>
              <w:pStyle w:val="2"/>
            </w:pPr>
          </w:p>
          <w:p/>
          <w:p>
            <w:pPr>
              <w:pStyle w:val="2"/>
            </w:pPr>
          </w:p>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spacing w:line="360" w:lineRule="auto"/>
              <w:ind w:firstLine="480" w:firstLineChars="200"/>
              <w:rPr>
                <w:sz w:val="24"/>
              </w:rPr>
            </w:pPr>
            <w:r>
              <w:rPr>
                <w:sz w:val="24"/>
              </w:rPr>
              <w:t>根据</w:t>
            </w:r>
            <w:r>
              <w:rPr>
                <w:rFonts w:hint="eastAsia"/>
                <w:sz w:val="24"/>
              </w:rPr>
              <w:t>安徽省</w:t>
            </w:r>
            <w:r>
              <w:rPr>
                <w:sz w:val="24"/>
              </w:rPr>
              <w:t>主要污染物排放总量控制计划，废水总量控制因子为COD、NH</w:t>
            </w:r>
            <w:r>
              <w:rPr>
                <w:sz w:val="24"/>
                <w:vertAlign w:val="subscript"/>
              </w:rPr>
              <w:t>3</w:t>
            </w:r>
            <w:r>
              <w:rPr>
                <w:sz w:val="24"/>
              </w:rPr>
              <w:t>-N；废气总量控制因子为SO</w:t>
            </w:r>
            <w:r>
              <w:rPr>
                <w:sz w:val="24"/>
                <w:vertAlign w:val="subscript"/>
              </w:rPr>
              <w:t>2</w:t>
            </w:r>
            <w:r>
              <w:rPr>
                <w:sz w:val="24"/>
              </w:rPr>
              <w:t>、NO</w:t>
            </w:r>
            <w:r>
              <w:rPr>
                <w:sz w:val="24"/>
                <w:vertAlign w:val="subscript"/>
              </w:rPr>
              <w:t>2</w:t>
            </w:r>
            <w:r>
              <w:rPr>
                <w:sz w:val="24"/>
              </w:rPr>
              <w:t>、烟（粉）尘、VOCs。本项目涉及的废水总量控制因子为COD、NH</w:t>
            </w:r>
            <w:r>
              <w:rPr>
                <w:sz w:val="24"/>
                <w:vertAlign w:val="subscript"/>
              </w:rPr>
              <w:t>3</w:t>
            </w:r>
            <w:r>
              <w:rPr>
                <w:sz w:val="24"/>
              </w:rPr>
              <w:t>-N；废气总量控制因子为烟（粉）尘、VOCs。核算本项目污染总量控制指标，具体如下：</w:t>
            </w:r>
          </w:p>
          <w:p>
            <w:pPr>
              <w:spacing w:line="360" w:lineRule="auto"/>
              <w:ind w:firstLine="480" w:firstLineChars="200"/>
              <w:rPr>
                <w:sz w:val="24"/>
              </w:rPr>
            </w:pPr>
            <w:r>
              <w:rPr>
                <w:sz w:val="24"/>
              </w:rPr>
              <w:t>（1）废水</w:t>
            </w:r>
          </w:p>
          <w:p>
            <w:pPr>
              <w:spacing w:line="360" w:lineRule="auto"/>
              <w:ind w:firstLine="480" w:firstLineChars="200"/>
              <w:rPr>
                <w:rFonts w:ascii="宋体" w:hAnsi="宋体" w:cs="宋体"/>
                <w:sz w:val="24"/>
              </w:rPr>
            </w:pPr>
            <w:r>
              <w:rPr>
                <w:rFonts w:ascii="宋体" w:hAnsi="宋体" w:cs="宋体"/>
                <w:sz w:val="24"/>
              </w:rPr>
              <w:t>项目生活污水依托化粪池处理后定期</w:t>
            </w:r>
            <w:r>
              <w:rPr>
                <w:rFonts w:hint="eastAsia" w:ascii="宋体" w:hAnsi="宋体" w:cs="宋体"/>
                <w:sz w:val="24"/>
              </w:rPr>
              <w:t>清掏外运</w:t>
            </w:r>
            <w:r>
              <w:rPr>
                <w:rFonts w:ascii="宋体" w:hAnsi="宋体" w:cs="宋体"/>
                <w:sz w:val="24"/>
              </w:rPr>
              <w:t>，不外排。</w:t>
            </w:r>
          </w:p>
          <w:p>
            <w:pPr>
              <w:spacing w:line="360" w:lineRule="auto"/>
              <w:ind w:firstLine="480" w:firstLineChars="200"/>
              <w:rPr>
                <w:sz w:val="24"/>
              </w:rPr>
            </w:pPr>
            <w:r>
              <w:rPr>
                <w:sz w:val="24"/>
              </w:rPr>
              <w:t>（2）废气</w:t>
            </w:r>
          </w:p>
          <w:p>
            <w:pPr>
              <w:adjustRightInd w:val="0"/>
              <w:snapToGrid w:val="0"/>
              <w:spacing w:line="360" w:lineRule="auto"/>
              <w:ind w:firstLine="480" w:firstLineChars="200"/>
              <w:rPr>
                <w:sz w:val="24"/>
              </w:rPr>
            </w:pPr>
            <w:r>
              <w:rPr>
                <w:sz w:val="24"/>
              </w:rPr>
              <w:t>项目运营期排放的废气污染物主要为烟（粉）尘</w:t>
            </w:r>
            <w:r>
              <w:rPr>
                <w:rFonts w:hint="eastAsia"/>
                <w:sz w:val="24"/>
              </w:rPr>
              <w:t>和</w:t>
            </w:r>
            <w:r>
              <w:rPr>
                <w:sz w:val="24"/>
              </w:rPr>
              <w:t>VOCs，烟（粉）尘排放量为</w:t>
            </w:r>
            <w:r>
              <w:rPr>
                <w:rFonts w:hint="eastAsia"/>
                <w:sz w:val="24"/>
              </w:rPr>
              <w:t>0.</w:t>
            </w:r>
            <w:r>
              <w:rPr>
                <w:rFonts w:hint="eastAsia"/>
                <w:sz w:val="24"/>
                <w:lang w:val="en-US" w:eastAsia="zh-CN"/>
              </w:rPr>
              <w:t>096</w:t>
            </w:r>
            <w:r>
              <w:rPr>
                <w:sz w:val="24"/>
              </w:rPr>
              <w:t>t/a</w:t>
            </w:r>
            <w:r>
              <w:rPr>
                <w:rFonts w:hint="eastAsia"/>
                <w:sz w:val="24"/>
              </w:rPr>
              <w:t>，</w:t>
            </w:r>
            <w:r>
              <w:rPr>
                <w:sz w:val="24"/>
              </w:rPr>
              <w:t>VOCs排放量为</w:t>
            </w:r>
            <w:r>
              <w:rPr>
                <w:rFonts w:hint="eastAsia"/>
                <w:sz w:val="24"/>
              </w:rPr>
              <w:t>0.</w:t>
            </w:r>
            <w:r>
              <w:rPr>
                <w:rFonts w:hint="eastAsia"/>
                <w:sz w:val="24"/>
                <w:lang w:val="en-US" w:eastAsia="zh-CN"/>
              </w:rPr>
              <w:t>111</w:t>
            </w:r>
            <w:r>
              <w:rPr>
                <w:rFonts w:hint="eastAsia"/>
                <w:sz w:val="24"/>
              </w:rPr>
              <w:t>t/a。</w:t>
            </w: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rFonts w:hint="eastAsia"/>
                <w:sz w:val="24"/>
                <w:lang w:val="en-US" w:eastAsia="zh-CN"/>
              </w:rPr>
            </w:pPr>
          </w:p>
          <w:p>
            <w:pPr>
              <w:adjustRightInd w:val="0"/>
              <w:snapToGrid w:val="0"/>
              <w:spacing w:line="360" w:lineRule="auto"/>
              <w:rPr>
                <w:rFonts w:hint="eastAsia"/>
                <w:sz w:val="24"/>
                <w:lang w:val="en-US" w:eastAsia="zh-CN"/>
              </w:rPr>
            </w:pPr>
          </w:p>
          <w:p>
            <w:pPr>
              <w:adjustRightInd w:val="0"/>
              <w:snapToGrid w:val="0"/>
              <w:spacing w:line="360" w:lineRule="auto"/>
              <w:rPr>
                <w:rFonts w:hint="eastAsia" w:eastAsia="宋体"/>
                <w:sz w:val="24"/>
                <w:lang w:val="en-US" w:eastAsia="zh-CN"/>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sz w:val="24"/>
              </w:rPr>
            </w:pPr>
          </w:p>
          <w:p>
            <w:pPr>
              <w:adjustRightInd w:val="0"/>
              <w:snapToGrid w:val="0"/>
              <w:spacing w:line="360" w:lineRule="auto"/>
              <w:rPr>
                <w:kern w:val="0"/>
                <w:szCs w:val="21"/>
              </w:rPr>
            </w:pPr>
          </w:p>
        </w:tc>
      </w:tr>
    </w:tbl>
    <w:p>
      <w:pPr>
        <w:pStyle w:val="18"/>
        <w:jc w:val="center"/>
        <w:outlineLvl w:val="0"/>
        <w:rPr>
          <w:rFonts w:ascii="Times New Roman" w:hAnsi="Times New Roman" w:eastAsia="黑体"/>
          <w:snapToGrid w:val="0"/>
          <w:sz w:val="30"/>
          <w:szCs w:val="30"/>
        </w:rPr>
      </w:pPr>
      <w:r>
        <w:rPr>
          <w:rFonts w:ascii="Times New Roman" w:hAnsi="Times New Roman"/>
          <w:snapToGrid w:val="0"/>
          <w:sz w:val="36"/>
          <w:szCs w:val="36"/>
        </w:rPr>
        <w:br w:type="page"/>
      </w:r>
      <w:r>
        <w:rPr>
          <w:rFonts w:ascii="Times New Roman" w:hAnsi="Times New Roman" w:eastAsia="黑体"/>
          <w:snapToGrid w:val="0"/>
          <w:sz w:val="30"/>
          <w:szCs w:val="30"/>
        </w:rPr>
        <w:t>四、主要环境影响和保护措施</w:t>
      </w:r>
    </w:p>
    <w:tbl>
      <w:tblPr>
        <w:tblStyle w:val="22"/>
        <w:tblW w:w="890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pStyle w:val="18"/>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pPr>
              <w:pStyle w:val="18"/>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pPr>
              <w:pStyle w:val="18"/>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pPr>
              <w:pStyle w:val="18"/>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pPr>
              <w:pStyle w:val="18"/>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Cs w:val="24"/>
              </w:rPr>
              <w:t>施</w:t>
            </w:r>
          </w:p>
        </w:tc>
        <w:tc>
          <w:tcPr>
            <w:tcW w:w="8162" w:type="dxa"/>
            <w:vAlign w:val="center"/>
          </w:tcPr>
          <w:p>
            <w:pPr>
              <w:spacing w:line="360" w:lineRule="auto"/>
              <w:ind w:firstLine="482" w:firstLineChars="200"/>
              <w:rPr>
                <w:b/>
                <w:bCs w:val="0"/>
                <w:sz w:val="24"/>
              </w:rPr>
            </w:pPr>
            <w:r>
              <w:rPr>
                <w:b/>
                <w:bCs w:val="0"/>
                <w:sz w:val="24"/>
                <w:lang w:bidi="ar"/>
              </w:rPr>
              <w:t>一、大气环境保护措施</w:t>
            </w:r>
          </w:p>
          <w:p>
            <w:pPr>
              <w:pStyle w:val="2"/>
              <w:spacing w:before="0" w:after="0" w:line="360" w:lineRule="auto"/>
              <w:ind w:firstLine="480" w:firstLineChars="200"/>
              <w:rPr>
                <w:kern w:val="2"/>
                <w:sz w:val="24"/>
                <w:szCs w:val="24"/>
                <w:lang w:bidi="ar"/>
              </w:rPr>
            </w:pPr>
            <w:r>
              <w:rPr>
                <w:rFonts w:ascii="宋体" w:hAnsi="宋体" w:cs="宋体"/>
                <w:sz w:val="24"/>
                <w:szCs w:val="24"/>
              </w:rPr>
              <w:t>项目租赁</w:t>
            </w:r>
            <w:r>
              <w:rPr>
                <w:sz w:val="24"/>
              </w:rPr>
              <w:t>宿州市泗县刘圩镇工业园区金光大道</w:t>
            </w:r>
            <w:r>
              <w:rPr>
                <w:rFonts w:ascii="宋体" w:hAnsi="宋体" w:eastAsia="宋体" w:cs="宋体"/>
                <w:sz w:val="24"/>
                <w:szCs w:val="24"/>
              </w:rPr>
              <w:t>西</w:t>
            </w:r>
            <w:r>
              <w:rPr>
                <w:rFonts w:hint="default" w:ascii="Times New Roman" w:hAnsi="Times New Roman" w:eastAsia="宋体" w:cs="Times New Roman"/>
                <w:sz w:val="24"/>
                <w:szCs w:val="24"/>
              </w:rPr>
              <w:t>侧变电所南50米</w:t>
            </w:r>
            <w:r>
              <w:rPr>
                <w:rFonts w:hint="eastAsia" w:ascii="Times New Roman" w:hAnsi="Times New Roman" w:cs="Times New Roman"/>
                <w:sz w:val="24"/>
                <w:szCs w:val="24"/>
                <w:lang w:val="en-US" w:eastAsia="zh-CN"/>
              </w:rPr>
              <w:t>处</w:t>
            </w:r>
            <w:r>
              <w:rPr>
                <w:rFonts w:hint="eastAsia"/>
                <w:sz w:val="24"/>
                <w:szCs w:val="24"/>
              </w:rPr>
              <w:t>厂房</w:t>
            </w:r>
            <w:r>
              <w:rPr>
                <w:rFonts w:ascii="宋体" w:hAnsi="宋体" w:cs="宋体"/>
                <w:sz w:val="24"/>
                <w:szCs w:val="24"/>
              </w:rPr>
              <w:t>，</w:t>
            </w:r>
            <w:r>
              <w:rPr>
                <w:b w:val="0"/>
                <w:bCs w:val="0"/>
                <w:sz w:val="24"/>
                <w:szCs w:val="24"/>
              </w:rPr>
              <w:t>仅进行机械设备的安装，无涉及厂房改造，不需大型施工机器施工，不会产生施工扬尘，因此不会对项目所在区域大气环境产生影响。</w:t>
            </w:r>
          </w:p>
          <w:p>
            <w:pPr>
              <w:spacing w:line="360" w:lineRule="auto"/>
              <w:ind w:firstLine="482" w:firstLineChars="200"/>
              <w:rPr>
                <w:b/>
                <w:bCs/>
                <w:sz w:val="24"/>
                <w:lang w:bidi="ar"/>
              </w:rPr>
            </w:pPr>
            <w:r>
              <w:rPr>
                <w:rFonts w:ascii="宋体" w:hAnsi="宋体" w:cs="宋体"/>
                <w:b/>
                <w:bCs/>
                <w:sz w:val="24"/>
              </w:rPr>
              <w:t>二、水环境保护措施</w:t>
            </w:r>
          </w:p>
          <w:p>
            <w:pPr>
              <w:pStyle w:val="2"/>
              <w:spacing w:after="60" w:line="360" w:lineRule="auto"/>
              <w:ind w:right="0" w:firstLine="480" w:firstLineChars="200"/>
              <w:rPr>
                <w:rFonts w:ascii="宋体" w:hAnsi="宋体" w:cs="宋体"/>
                <w:sz w:val="24"/>
                <w:szCs w:val="24"/>
              </w:rPr>
            </w:pPr>
            <w:r>
              <w:rPr>
                <w:rFonts w:ascii="宋体" w:hAnsi="宋体" w:cs="宋体"/>
                <w:sz w:val="24"/>
                <w:szCs w:val="24"/>
              </w:rPr>
              <w:t>本项目施工人员产生的生活废水经化粪池处理</w:t>
            </w:r>
            <w:r>
              <w:rPr>
                <w:sz w:val="24"/>
                <w:szCs w:val="24"/>
                <w:lang w:bidi="ar"/>
              </w:rPr>
              <w:t>水质简单，</w:t>
            </w:r>
            <w:r>
              <w:rPr>
                <w:sz w:val="24"/>
                <w:szCs w:val="24"/>
              </w:rPr>
              <w:t>定期</w:t>
            </w:r>
            <w:r>
              <w:rPr>
                <w:rFonts w:hint="eastAsia"/>
                <w:sz w:val="24"/>
                <w:szCs w:val="24"/>
              </w:rPr>
              <w:t>清掏外运，不外排</w:t>
            </w:r>
            <w:r>
              <w:rPr>
                <w:rFonts w:ascii="宋体" w:hAnsi="宋体" w:cs="宋体"/>
                <w:sz w:val="24"/>
                <w:szCs w:val="24"/>
              </w:rPr>
              <w:t>。通过采取上述废水治理措施后，项目施工期产生的废水可以得到妥善处理，不会对项目所在区域地表水环境产生影响。</w:t>
            </w:r>
          </w:p>
          <w:p>
            <w:pPr>
              <w:pStyle w:val="2"/>
              <w:spacing w:line="240" w:lineRule="auto"/>
              <w:ind w:firstLine="482" w:firstLineChars="200"/>
              <w:rPr>
                <w:b w:val="0"/>
                <w:bCs w:val="0"/>
                <w:sz w:val="24"/>
                <w:lang w:bidi="ar"/>
              </w:rPr>
            </w:pPr>
            <w:r>
              <w:rPr>
                <w:rFonts w:ascii="宋体" w:hAnsi="宋体" w:cs="宋体"/>
                <w:b/>
                <w:bCs/>
                <w:sz w:val="24"/>
                <w:szCs w:val="24"/>
              </w:rPr>
              <w:t>三、声环境保护措施</w:t>
            </w:r>
          </w:p>
          <w:p>
            <w:pPr>
              <w:pStyle w:val="2"/>
              <w:spacing w:after="60" w:line="360" w:lineRule="auto"/>
              <w:ind w:left="479" w:leftChars="228"/>
              <w:rPr>
                <w:sz w:val="24"/>
                <w:lang w:bidi="ar"/>
              </w:rPr>
            </w:pPr>
            <w:r>
              <w:rPr>
                <w:sz w:val="24"/>
                <w:szCs w:val="24"/>
              </w:rPr>
              <w:t>本项目施工方应在施工期采取有效的噪声控制措施：</w:t>
            </w:r>
          </w:p>
          <w:p>
            <w:pPr>
              <w:pStyle w:val="2"/>
              <w:spacing w:after="60" w:line="360" w:lineRule="auto"/>
              <w:ind w:firstLine="480" w:firstLineChars="200"/>
              <w:rPr>
                <w:sz w:val="24"/>
                <w:lang w:bidi="ar"/>
              </w:rPr>
            </w:pPr>
            <w:r>
              <w:rPr>
                <w:sz w:val="24"/>
                <w:szCs w:val="24"/>
              </w:rPr>
              <w:t>①合理安排施工时间，高噪声设备禁止在夜间(22:00-6:00)进行施工，尤其是要严格控制施工机械噪声值在大于85dB(A)的作业。</w:t>
            </w:r>
          </w:p>
          <w:p>
            <w:pPr>
              <w:spacing w:line="360" w:lineRule="auto"/>
              <w:ind w:firstLine="480" w:firstLineChars="200"/>
              <w:rPr>
                <w:sz w:val="24"/>
              </w:rPr>
            </w:pPr>
            <w:r>
              <w:rPr>
                <w:sz w:val="24"/>
              </w:rPr>
              <w:t>②加强管理，尽量减少人为噪声（如设备、原材料的装卸、搬运等）。</w:t>
            </w:r>
          </w:p>
          <w:p>
            <w:pPr>
              <w:spacing w:line="360" w:lineRule="auto"/>
              <w:ind w:firstLine="480" w:firstLineChars="200"/>
              <w:rPr>
                <w:sz w:val="24"/>
                <w:lang w:bidi="ar"/>
              </w:rPr>
            </w:pPr>
            <w:r>
              <w:rPr>
                <w:sz w:val="24"/>
              </w:rPr>
              <w:t>由于本项目施工工期较短，负面影响只是暂时性的，在采取隔声降噪措施和严格管理下，场界噪声能达到国家《建筑施工场界环境噪声排放标准》（GB12523－2011）的规定，因此在采取以上措施后，施工噪声对周围环境产生的影响较小。</w:t>
            </w:r>
          </w:p>
          <w:p>
            <w:pPr>
              <w:pStyle w:val="2"/>
              <w:ind w:firstLine="482" w:firstLineChars="200"/>
              <w:rPr>
                <w:b/>
                <w:bCs/>
                <w:sz w:val="24"/>
                <w:lang w:bidi="ar"/>
              </w:rPr>
            </w:pPr>
            <w:r>
              <w:rPr>
                <w:rFonts w:ascii="宋体" w:hAnsi="宋体" w:cs="宋体"/>
                <w:b/>
                <w:bCs/>
                <w:sz w:val="24"/>
                <w:szCs w:val="24"/>
              </w:rPr>
              <w:t>四、固体废弃物保护措施</w:t>
            </w:r>
          </w:p>
          <w:p>
            <w:pPr>
              <w:spacing w:line="360" w:lineRule="auto"/>
              <w:ind w:firstLine="480" w:firstLineChars="200"/>
              <w:rPr>
                <w:sz w:val="24"/>
                <w:lang w:bidi="ar"/>
              </w:rPr>
            </w:pPr>
            <w:r>
              <w:rPr>
                <w:rFonts w:ascii="宋体" w:hAnsi="宋体" w:cs="宋体"/>
                <w:sz w:val="24"/>
              </w:rPr>
              <w:t>项目施工人员产生的生活垃圾</w:t>
            </w:r>
            <w:r>
              <w:rPr>
                <w:rFonts w:hint="eastAsia" w:ascii="宋体" w:hAnsi="宋体" w:cs="宋体"/>
                <w:sz w:val="24"/>
              </w:rPr>
              <w:t>及装修废物</w:t>
            </w:r>
            <w:r>
              <w:rPr>
                <w:rFonts w:ascii="宋体" w:hAnsi="宋体" w:cs="宋体"/>
                <w:sz w:val="24"/>
              </w:rPr>
              <w:t>应全部及时交由环卫部门进行处置。施工期产生的环境影响相对营运期而言属于短期和暂时影响，环境影响随着施工期的结束而消失。</w:t>
            </w:r>
          </w:p>
          <w:p>
            <w:pPr>
              <w:pStyle w:val="2"/>
              <w:rPr>
                <w:sz w:val="24"/>
                <w:lang w:bidi="ar"/>
              </w:rPr>
            </w:pPr>
          </w:p>
          <w:p>
            <w:pPr>
              <w:rPr>
                <w:sz w:val="24"/>
                <w:lang w:bidi="ar"/>
              </w:rPr>
            </w:pPr>
          </w:p>
          <w:p/>
          <w:p>
            <w:pPr>
              <w:adjustRightInd w:val="0"/>
              <w:snapToGrid w:val="0"/>
              <w:rPr>
                <w:bCs/>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bCs/>
                <w:sz w:val="24"/>
              </w:rPr>
            </w:pPr>
            <w:r>
              <w:rPr>
                <w:bCs/>
                <w:sz w:val="24"/>
              </w:rPr>
              <w:t>运营</w:t>
            </w:r>
          </w:p>
          <w:p>
            <w:pPr>
              <w:adjustRightInd w:val="0"/>
              <w:snapToGrid w:val="0"/>
              <w:jc w:val="center"/>
              <w:rPr>
                <w:bCs/>
                <w:sz w:val="24"/>
              </w:rPr>
            </w:pPr>
            <w:r>
              <w:rPr>
                <w:bCs/>
                <w:sz w:val="24"/>
              </w:rPr>
              <w:t>期环</w:t>
            </w:r>
          </w:p>
          <w:p>
            <w:pPr>
              <w:adjustRightInd w:val="0"/>
              <w:snapToGrid w:val="0"/>
              <w:jc w:val="center"/>
              <w:rPr>
                <w:bCs/>
                <w:sz w:val="24"/>
              </w:rPr>
            </w:pPr>
            <w:r>
              <w:rPr>
                <w:bCs/>
                <w:sz w:val="24"/>
              </w:rPr>
              <w:t>境影</w:t>
            </w:r>
          </w:p>
          <w:p>
            <w:pPr>
              <w:adjustRightInd w:val="0"/>
              <w:snapToGrid w:val="0"/>
              <w:jc w:val="center"/>
              <w:rPr>
                <w:bCs/>
                <w:sz w:val="24"/>
              </w:rPr>
            </w:pPr>
            <w:r>
              <w:rPr>
                <w:bCs/>
                <w:sz w:val="24"/>
              </w:rPr>
              <w:t>响和</w:t>
            </w:r>
          </w:p>
          <w:p>
            <w:pPr>
              <w:adjustRightInd w:val="0"/>
              <w:snapToGrid w:val="0"/>
              <w:jc w:val="center"/>
              <w:rPr>
                <w:bCs/>
                <w:sz w:val="24"/>
              </w:rPr>
            </w:pPr>
            <w:r>
              <w:rPr>
                <w:bCs/>
                <w:sz w:val="24"/>
              </w:rPr>
              <w:t>保护</w:t>
            </w:r>
          </w:p>
          <w:p>
            <w:pPr>
              <w:adjustRightInd w:val="0"/>
              <w:snapToGrid w:val="0"/>
              <w:jc w:val="center"/>
              <w:rPr>
                <w:bCs/>
                <w:szCs w:val="21"/>
              </w:rPr>
            </w:pPr>
            <w:r>
              <w:rPr>
                <w:bCs/>
                <w:sz w:val="24"/>
              </w:rPr>
              <w:t>措施</w:t>
            </w:r>
          </w:p>
        </w:tc>
        <w:tc>
          <w:tcPr>
            <w:tcW w:w="8162" w:type="dxa"/>
            <w:vAlign w:val="center"/>
          </w:tcPr>
          <w:p>
            <w:pPr>
              <w:numPr>
                <w:ilvl w:val="0"/>
                <w:numId w:val="0"/>
              </w:numPr>
              <w:spacing w:line="360" w:lineRule="auto"/>
              <w:ind w:firstLine="482" w:firstLineChars="200"/>
            </w:pPr>
            <w:r>
              <w:rPr>
                <w:rFonts w:hint="eastAsia"/>
                <w:b/>
                <w:bCs/>
                <w:sz w:val="24"/>
                <w:lang w:val="en-US" w:eastAsia="zh-CN"/>
              </w:rPr>
              <w:t>一、</w:t>
            </w:r>
            <w:r>
              <w:rPr>
                <w:b/>
                <w:bCs/>
                <w:sz w:val="24"/>
              </w:rPr>
              <w:t>大气污染</w:t>
            </w:r>
          </w:p>
          <w:p>
            <w:pPr>
              <w:tabs>
                <w:tab w:val="left" w:pos="1275"/>
              </w:tabs>
              <w:spacing w:line="360" w:lineRule="auto"/>
              <w:ind w:firstLine="480" w:firstLineChars="200"/>
              <w:rPr>
                <w:rFonts w:hint="eastAsia" w:eastAsia="宋体"/>
                <w:sz w:val="24"/>
                <w:lang w:val="en-US" w:eastAsia="zh-CN"/>
              </w:rPr>
            </w:pPr>
            <w:r>
              <w:rPr>
                <w:rFonts w:hint="eastAsia"/>
                <w:color w:val="000000"/>
                <w:sz w:val="24"/>
                <w:szCs w:val="24"/>
              </w:rPr>
              <w:t>1、主要污染物源强</w:t>
            </w:r>
          </w:p>
          <w:p>
            <w:pPr>
              <w:spacing w:line="360" w:lineRule="auto"/>
              <w:ind w:firstLine="480" w:firstLineChars="200"/>
              <w:jc w:val="left"/>
              <w:rPr>
                <w:color w:val="000000"/>
                <w:sz w:val="24"/>
                <w:lang w:bidi="ar"/>
              </w:rPr>
            </w:pPr>
            <w:r>
              <w:rPr>
                <w:rFonts w:hint="eastAsia"/>
                <w:sz w:val="24"/>
                <w:lang w:eastAsia="zh-CN"/>
              </w:rPr>
              <w:t>（</w:t>
            </w:r>
            <w:r>
              <w:rPr>
                <w:sz w:val="24"/>
              </w:rPr>
              <w:t>1</w:t>
            </w:r>
            <w:r>
              <w:rPr>
                <w:rFonts w:hint="eastAsia"/>
                <w:sz w:val="24"/>
                <w:lang w:eastAsia="zh-CN"/>
              </w:rPr>
              <w:t>）</w:t>
            </w:r>
            <w:r>
              <w:rPr>
                <w:rFonts w:ascii="宋体" w:hAnsi="宋体" w:cs="宋体"/>
                <w:sz w:val="24"/>
              </w:rPr>
              <w:t>调漆</w:t>
            </w:r>
            <w:r>
              <w:rPr>
                <w:rFonts w:hint="eastAsia" w:ascii="宋体" w:hAnsi="宋体" w:cs="宋体"/>
                <w:sz w:val="24"/>
              </w:rPr>
              <w:t>、</w:t>
            </w:r>
            <w:r>
              <w:rPr>
                <w:bCs/>
                <w:sz w:val="24"/>
              </w:rPr>
              <w:t>喷漆</w:t>
            </w:r>
            <w:r>
              <w:rPr>
                <w:rFonts w:hint="eastAsia"/>
                <w:bCs/>
                <w:sz w:val="24"/>
              </w:rPr>
              <w:t>及风干产生的</w:t>
            </w:r>
            <w:r>
              <w:rPr>
                <w:rFonts w:ascii="宋体" w:hAnsi="宋体" w:cs="宋体"/>
                <w:sz w:val="24"/>
              </w:rPr>
              <w:t>有机废气</w:t>
            </w:r>
          </w:p>
          <w:p>
            <w:pPr>
              <w:spacing w:line="360" w:lineRule="auto"/>
              <w:ind w:firstLine="480"/>
              <w:rPr>
                <w:b/>
                <w:color w:val="FF0000"/>
                <w:sz w:val="24"/>
              </w:rPr>
            </w:pPr>
            <w:r>
              <w:rPr>
                <w:rFonts w:hint="eastAsia"/>
                <w:color w:val="000000" w:themeColor="text1"/>
                <w:sz w:val="24"/>
                <w:szCs w:val="24"/>
                <w14:textFill>
                  <w14:solidFill>
                    <w14:schemeClr w14:val="tx1"/>
                  </w14:solidFill>
                </w14:textFill>
              </w:rPr>
              <w:t>本项目</w:t>
            </w:r>
            <w:r>
              <w:rPr>
                <w:rFonts w:ascii="宋体" w:hAnsi="宋体" w:cs="宋体"/>
                <w:color w:val="000000" w:themeColor="text1"/>
                <w:sz w:val="24"/>
                <w:szCs w:val="24"/>
                <w14:textFill>
                  <w14:solidFill>
                    <w14:schemeClr w14:val="tx1"/>
                  </w14:solidFill>
                </w14:textFill>
              </w:rPr>
              <w:t>喷漆</w:t>
            </w:r>
            <w:r>
              <w:rPr>
                <w:rFonts w:hint="eastAsia" w:ascii="宋体" w:hAnsi="宋体" w:cs="宋体"/>
                <w:color w:val="000000" w:themeColor="text1"/>
                <w:sz w:val="24"/>
                <w:szCs w:val="24"/>
                <w14:textFill>
                  <w14:solidFill>
                    <w14:schemeClr w14:val="tx1"/>
                  </w14:solidFill>
                </w14:textFill>
              </w:rPr>
              <w:t>前</w:t>
            </w:r>
            <w:r>
              <w:rPr>
                <w:rFonts w:ascii="宋体" w:hAnsi="宋体" w:cs="宋体"/>
                <w:color w:val="000000" w:themeColor="text1"/>
                <w:sz w:val="24"/>
                <w:szCs w:val="24"/>
                <w14:textFill>
                  <w14:solidFill>
                    <w14:schemeClr w14:val="tx1"/>
                  </w14:solidFill>
                </w14:textFill>
              </w:rPr>
              <w:t>需要调漆，调漆在喷漆房内</w:t>
            </w:r>
            <w:r>
              <w:rPr>
                <w:rFonts w:ascii="宋体" w:hAnsi="宋体" w:cs="宋体"/>
                <w:sz w:val="24"/>
                <w:szCs w:val="24"/>
              </w:rPr>
              <w:t>密闭条件下</w:t>
            </w:r>
            <w:r>
              <w:rPr>
                <w:rFonts w:ascii="宋体" w:hAnsi="宋体" w:cs="宋体"/>
                <w:color w:val="000000" w:themeColor="text1"/>
                <w:sz w:val="24"/>
                <w:szCs w:val="24"/>
                <w14:textFill>
                  <w14:solidFill>
                    <w14:schemeClr w14:val="tx1"/>
                  </w14:solidFill>
                </w14:textFill>
              </w:rPr>
              <w:t>进行</w:t>
            </w:r>
            <w:r>
              <w:rPr>
                <w:rFonts w:hint="eastAsia" w:ascii="宋体" w:hAnsi="宋体"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喷漆和</w:t>
            </w:r>
            <w:r>
              <w:rPr>
                <w:rFonts w:ascii="宋体" w:hAnsi="宋体" w:cs="宋体"/>
                <w:color w:val="000000" w:themeColor="text1"/>
                <w:sz w:val="24"/>
                <w:szCs w:val="24"/>
                <w14:textFill>
                  <w14:solidFill>
                    <w14:schemeClr w14:val="tx1"/>
                  </w14:solidFill>
                </w14:textFill>
              </w:rPr>
              <w:t>自然晾干也均</w:t>
            </w:r>
            <w:r>
              <w:rPr>
                <w:rFonts w:hint="eastAsia"/>
                <w:color w:val="000000" w:themeColor="text1"/>
                <w:sz w:val="24"/>
                <w:szCs w:val="24"/>
                <w14:textFill>
                  <w14:solidFill>
                    <w14:schemeClr w14:val="tx1"/>
                  </w14:solidFill>
                </w14:textFill>
              </w:rPr>
              <w:t>在</w:t>
            </w:r>
            <w:r>
              <w:rPr>
                <w:rFonts w:ascii="宋体" w:hAnsi="宋体" w:cs="宋体"/>
                <w:color w:val="000000" w:themeColor="text1"/>
                <w:sz w:val="24"/>
                <w:szCs w:val="24"/>
                <w14:textFill>
                  <w14:solidFill>
                    <w14:schemeClr w14:val="tx1"/>
                  </w14:solidFill>
                </w14:textFill>
              </w:rPr>
              <w:t>喷漆房</w:t>
            </w:r>
            <w:r>
              <w:rPr>
                <w:rFonts w:hint="eastAsia"/>
                <w:color w:val="000000" w:themeColor="text1"/>
                <w:sz w:val="24"/>
                <w:szCs w:val="24"/>
                <w14:textFill>
                  <w14:solidFill>
                    <w14:schemeClr w14:val="tx1"/>
                  </w14:solidFill>
                </w14:textFill>
              </w:rPr>
              <w:t>内</w:t>
            </w:r>
            <w:r>
              <w:rPr>
                <w:rFonts w:ascii="宋体" w:hAnsi="宋体" w:cs="宋体"/>
                <w:sz w:val="24"/>
                <w:szCs w:val="24"/>
              </w:rPr>
              <w:t>密闭条件下</w:t>
            </w:r>
            <w:r>
              <w:rPr>
                <w:rFonts w:hint="eastAsia"/>
                <w:color w:val="000000" w:themeColor="text1"/>
                <w:sz w:val="24"/>
                <w:szCs w:val="24"/>
                <w14:textFill>
                  <w14:solidFill>
                    <w14:schemeClr w14:val="tx1"/>
                  </w14:solidFill>
                </w14:textFill>
              </w:rPr>
              <w:t>进行</w:t>
            </w:r>
            <w:r>
              <w:rPr>
                <w:color w:val="000000" w:themeColor="text1"/>
                <w:sz w:val="24"/>
                <w:szCs w:val="24"/>
                <w14:textFill>
                  <w14:solidFill>
                    <w14:schemeClr w14:val="tx1"/>
                  </w14:solidFill>
                </w14:textFill>
              </w:rPr>
              <w:t>。同时产生的废气经过</w:t>
            </w:r>
            <w:r>
              <w:rPr>
                <w:rFonts w:ascii="宋体" w:hAnsi="宋体" w:cs="宋体"/>
                <w:color w:val="000000" w:themeColor="text1"/>
                <w:sz w:val="24"/>
                <w:szCs w:val="24"/>
                <w14:textFill>
                  <w14:solidFill>
                    <w14:schemeClr w14:val="tx1"/>
                  </w14:solidFill>
                </w14:textFill>
              </w:rPr>
              <w:t>喷漆房</w:t>
            </w:r>
            <w:r>
              <w:rPr>
                <w:rFonts w:hint="eastAsia"/>
                <w:color w:val="000000" w:themeColor="text1"/>
                <w:sz w:val="24"/>
                <w:szCs w:val="24"/>
                <w14:textFill>
                  <w14:solidFill>
                    <w14:schemeClr w14:val="tx1"/>
                  </w14:solidFill>
                </w14:textFill>
              </w:rPr>
              <w:t>内</w:t>
            </w:r>
            <w:r>
              <w:rPr>
                <w:rFonts w:ascii="宋体" w:hAnsi="宋体" w:cs="宋体"/>
                <w:sz w:val="24"/>
                <w:szCs w:val="24"/>
              </w:rPr>
              <w:t>密闭条件下负压收集后</w:t>
            </w:r>
            <w:r>
              <w:rPr>
                <w:color w:val="000000" w:themeColor="text1"/>
                <w:sz w:val="24"/>
                <w:szCs w:val="24"/>
                <w14:textFill>
                  <w14:solidFill>
                    <w14:schemeClr w14:val="tx1"/>
                  </w14:solidFill>
                </w14:textFill>
              </w:rPr>
              <w:t>，同时产生的废气经过滤棉除漆雾后送</w:t>
            </w:r>
            <w:r>
              <w:rPr>
                <w:rFonts w:hint="eastAsia"/>
                <w:color w:val="000000" w:themeColor="text1"/>
                <w:sz w:val="24"/>
                <w:szCs w:val="24"/>
                <w14:textFill>
                  <w14:solidFill>
                    <w14:schemeClr w14:val="tx1"/>
                  </w14:solidFill>
                </w14:textFill>
              </w:rPr>
              <w:t>入二级</w:t>
            </w:r>
            <w:r>
              <w:rPr>
                <w:color w:val="000000" w:themeColor="text1"/>
                <w:sz w:val="24"/>
                <w:szCs w:val="24"/>
                <w14:textFill>
                  <w14:solidFill>
                    <w14:schemeClr w14:val="tx1"/>
                  </w14:solidFill>
                </w14:textFill>
              </w:rPr>
              <w:t>活性炭吸附装置进行吸附处</w:t>
            </w:r>
            <w:r>
              <w:rPr>
                <w:color w:val="000000" w:themeColor="text1"/>
                <w:sz w:val="24"/>
                <w14:textFill>
                  <w14:solidFill>
                    <w14:schemeClr w14:val="tx1"/>
                  </w14:solidFill>
                </w14:textFill>
              </w:rPr>
              <w:t>理，最后通过15m高的排</w:t>
            </w:r>
            <w:r>
              <w:rPr>
                <w:color w:val="000000" w:themeColor="text1"/>
                <w:sz w:val="24"/>
                <w:szCs w:val="24"/>
                <w14:textFill>
                  <w14:solidFill>
                    <w14:schemeClr w14:val="tx1"/>
                  </w14:solidFill>
                </w14:textFill>
              </w:rPr>
              <w:t>气筒</w:t>
            </w:r>
            <w:r>
              <w:rPr>
                <w:rFonts w:hint="eastAsia"/>
                <w:sz w:val="24"/>
                <w:szCs w:val="24"/>
              </w:rPr>
              <w:t>（</w:t>
            </w:r>
            <w:r>
              <w:rPr>
                <w:rFonts w:hint="eastAsia"/>
                <w:sz w:val="24"/>
                <w:szCs w:val="24"/>
                <w:lang w:val="en-US" w:eastAsia="zh-CN"/>
              </w:rPr>
              <w:t>DA002</w:t>
            </w:r>
            <w:r>
              <w:rPr>
                <w:rFonts w:hint="eastAsia"/>
                <w:sz w:val="24"/>
                <w:szCs w:val="24"/>
              </w:rPr>
              <w:t>）</w:t>
            </w:r>
            <w:r>
              <w:rPr>
                <w:color w:val="000000" w:themeColor="text1"/>
                <w:sz w:val="24"/>
                <w:szCs w:val="24"/>
                <w14:textFill>
                  <w14:solidFill>
                    <w14:schemeClr w14:val="tx1"/>
                  </w14:solidFill>
                </w14:textFill>
              </w:rPr>
              <w:t>排</w:t>
            </w:r>
            <w:r>
              <w:rPr>
                <w:rFonts w:hint="eastAsia"/>
                <w:color w:val="000000" w:themeColor="text1"/>
                <w:sz w:val="24"/>
                <w:szCs w:val="24"/>
                <w14:textFill>
                  <w14:solidFill>
                    <w14:schemeClr w14:val="tx1"/>
                  </w14:solidFill>
                </w14:textFill>
              </w:rPr>
              <w:t>放</w:t>
            </w:r>
            <w:r>
              <w:rPr>
                <w:color w:val="000000" w:themeColor="text1"/>
                <w:sz w:val="24"/>
                <w:szCs w:val="24"/>
                <w14:textFill>
                  <w14:solidFill>
                    <w14:schemeClr w14:val="tx1"/>
                  </w14:solidFill>
                </w14:textFill>
              </w:rPr>
              <w:t>。</w:t>
            </w:r>
          </w:p>
          <w:p>
            <w:pPr>
              <w:spacing w:line="360" w:lineRule="auto"/>
              <w:jc w:val="center"/>
              <w:rPr>
                <w:rFonts w:hint="eastAsia"/>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drawing>
                <wp:inline distT="0" distB="0" distL="114300" distR="114300">
                  <wp:extent cx="4831080" cy="3442335"/>
                  <wp:effectExtent l="0" t="0" r="0" b="0"/>
                  <wp:docPr id="1" name="ECB019B1-382A-4266-B25C-5B523AA43C14-3" descr="C:/Users/86136/AppData/Local/Temp/wps.YsepWn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3" descr="C:/Users/86136/AppData/Local/Temp/wps.YsepWnwps"/>
                          <pic:cNvPicPr>
                            <a:picLocks noChangeAspect="1"/>
                          </pic:cNvPicPr>
                        </pic:nvPicPr>
                        <pic:blipFill>
                          <a:blip r:embed="rId12"/>
                          <a:stretch>
                            <a:fillRect/>
                          </a:stretch>
                        </pic:blipFill>
                        <pic:spPr>
                          <a:xfrm>
                            <a:off x="0" y="0"/>
                            <a:ext cx="4831080" cy="3442335"/>
                          </a:xfrm>
                          <a:prstGeom prst="rect">
                            <a:avLst/>
                          </a:prstGeom>
                        </pic:spPr>
                      </pic:pic>
                    </a:graphicData>
                  </a:graphic>
                </wp:inline>
              </w:drawing>
            </w:r>
          </w:p>
          <w:p>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图4-1 物料平衡图 t/a</w:t>
            </w:r>
          </w:p>
          <w:p>
            <w:pPr>
              <w:spacing w:line="360" w:lineRule="auto"/>
              <w:jc w:val="center"/>
              <w:rPr>
                <w:rFonts w:hint="eastAsia" w:eastAsia="宋体"/>
                <w:b/>
                <w:color w:val="000000" w:themeColor="text1"/>
                <w:sz w:val="24"/>
                <w:lang w:eastAsia="zh-CN"/>
                <w14:textFill>
                  <w14:solidFill>
                    <w14:schemeClr w14:val="tx1"/>
                  </w14:solidFill>
                </w14:textFill>
              </w:rPr>
            </w:pPr>
            <w:r>
              <w:rPr>
                <w:rFonts w:hint="eastAsia" w:eastAsia="宋体"/>
                <w:b/>
                <w:color w:val="000000" w:themeColor="text1"/>
                <w:sz w:val="24"/>
                <w:lang w:eastAsia="zh-CN"/>
                <w14:textFill>
                  <w14:solidFill>
                    <w14:schemeClr w14:val="tx1"/>
                  </w14:solidFill>
                </w14:textFill>
              </w:rPr>
              <w:drawing>
                <wp:inline distT="0" distB="0" distL="114300" distR="114300">
                  <wp:extent cx="5107940" cy="3294380"/>
                  <wp:effectExtent l="0" t="0" r="0" b="0"/>
                  <wp:docPr id="2" name="ECB019B1-382A-4266-B25C-5B523AA43C14-4" descr="C:/Users/86136/AppData/Local/Temp/wps.PmLYZp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4" descr="C:/Users/86136/AppData/Local/Temp/wps.PmLYZpwps"/>
                          <pic:cNvPicPr>
                            <a:picLocks noChangeAspect="1"/>
                          </pic:cNvPicPr>
                        </pic:nvPicPr>
                        <pic:blipFill>
                          <a:blip r:embed="rId13"/>
                          <a:stretch>
                            <a:fillRect/>
                          </a:stretch>
                        </pic:blipFill>
                        <pic:spPr>
                          <a:xfrm>
                            <a:off x="0" y="0"/>
                            <a:ext cx="5107940" cy="3294380"/>
                          </a:xfrm>
                          <a:prstGeom prst="rect">
                            <a:avLst/>
                          </a:prstGeom>
                        </pic:spPr>
                      </pic:pic>
                    </a:graphicData>
                  </a:graphic>
                </wp:inline>
              </w:drawing>
            </w:r>
          </w:p>
          <w:p>
            <w:pPr>
              <w:spacing w:line="360" w:lineRule="auto"/>
              <w:jc w:val="center"/>
              <w:rPr>
                <w:rFonts w:hint="default" w:eastAsia="宋体"/>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 xml:space="preserve">图4-2 </w:t>
            </w:r>
            <w:r>
              <w:rPr>
                <w:rFonts w:ascii="宋体" w:hAnsi="宋体" w:eastAsia="宋体" w:cs="宋体"/>
                <w:b/>
                <w:bCs/>
                <w:sz w:val="24"/>
                <w:szCs w:val="24"/>
              </w:rPr>
              <w:t>废气走向图</w:t>
            </w:r>
          </w:p>
          <w:p>
            <w:pPr>
              <w:spacing w:line="360" w:lineRule="auto"/>
              <w:jc w:val="center"/>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表4-1 油漆物料平衡一览表</w:t>
            </w:r>
          </w:p>
          <w:tbl>
            <w:tblPr>
              <w:tblStyle w:val="23"/>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491"/>
              <w:gridCol w:w="1589"/>
              <w:gridCol w:w="1589"/>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78" w:type="dxa"/>
                  <w:gridSpan w:val="2"/>
                  <w:vAlign w:val="center"/>
                </w:tcPr>
                <w:p>
                  <w:pPr>
                    <w:jc w:val="center"/>
                    <w:rPr>
                      <w:color w:val="000000" w:themeColor="text1"/>
                      <w:sz w:val="24"/>
                      <w14:textFill>
                        <w14:solidFill>
                          <w14:schemeClr w14:val="tx1"/>
                        </w14:solidFill>
                      </w14:textFill>
                    </w:rPr>
                  </w:pPr>
                  <w:r>
                    <w:rPr>
                      <w:rFonts w:hint="eastAsia"/>
                      <w:b/>
                      <w:bCs/>
                      <w:color w:val="000000" w:themeColor="text1"/>
                      <w14:textFill>
                        <w14:solidFill>
                          <w14:schemeClr w14:val="tx1"/>
                        </w14:solidFill>
                      </w14:textFill>
                    </w:rPr>
                    <w:t>输入</w:t>
                  </w:r>
                </w:p>
              </w:tc>
              <w:tc>
                <w:tcPr>
                  <w:tcW w:w="4768" w:type="dxa"/>
                  <w:gridSpan w:val="3"/>
                  <w:vAlign w:val="center"/>
                </w:tcPr>
                <w:p>
                  <w:pPr>
                    <w:jc w:val="center"/>
                    <w:rPr>
                      <w:color w:val="000000" w:themeColor="text1"/>
                      <w:sz w:val="24"/>
                      <w14:textFill>
                        <w14:solidFill>
                          <w14:schemeClr w14:val="tx1"/>
                        </w14:solidFill>
                      </w14:textFill>
                    </w:rPr>
                  </w:pPr>
                  <w:r>
                    <w:rPr>
                      <w:rFonts w:hint="eastAsia"/>
                      <w:b/>
                      <w:bCs/>
                      <w:color w:val="000000" w:themeColor="text1"/>
                      <w14:textFill>
                        <w14:solidFill>
                          <w14:schemeClr w14:val="tx1"/>
                        </w14:solidFill>
                      </w14:textFill>
                    </w:rPr>
                    <w:t>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项目</w:t>
                  </w:r>
                </w:p>
              </w:tc>
              <w:tc>
                <w:tcPr>
                  <w:tcW w:w="1491" w:type="dxa"/>
                  <w:vMerge w:val="restart"/>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数量（t/a）</w:t>
                  </w:r>
                </w:p>
              </w:tc>
              <w:tc>
                <w:tcPr>
                  <w:tcW w:w="3178" w:type="dxa"/>
                  <w:gridSpan w:val="2"/>
                  <w:vAlign w:val="center"/>
                </w:tcPr>
                <w:p>
                  <w:pPr>
                    <w:jc w:val="center"/>
                    <w:rPr>
                      <w:color w:val="000000" w:themeColor="text1"/>
                      <w:sz w:val="24"/>
                      <w14:textFill>
                        <w14:solidFill>
                          <w14:schemeClr w14:val="tx1"/>
                        </w14:solidFill>
                      </w14:textFill>
                    </w:rPr>
                  </w:pPr>
                  <w:r>
                    <w:rPr>
                      <w:rFonts w:hint="eastAsia"/>
                      <w:b/>
                      <w:bCs/>
                      <w:color w:val="000000" w:themeColor="text1"/>
                      <w14:textFill>
                        <w14:solidFill>
                          <w14:schemeClr w14:val="tx1"/>
                        </w14:solidFill>
                      </w14:textFill>
                    </w:rPr>
                    <w:t>项目</w:t>
                  </w:r>
                </w:p>
              </w:tc>
              <w:tc>
                <w:tcPr>
                  <w:tcW w:w="1590" w:type="dxa"/>
                  <w:vAlign w:val="center"/>
                </w:tcPr>
                <w:p>
                  <w:pPr>
                    <w:jc w:val="center"/>
                    <w:rPr>
                      <w:color w:val="000000" w:themeColor="text1"/>
                      <w:sz w:val="24"/>
                      <w14:textFill>
                        <w14:solidFill>
                          <w14:schemeClr w14:val="tx1"/>
                        </w14:solidFill>
                      </w14:textFill>
                    </w:rPr>
                  </w:pPr>
                  <w:r>
                    <w:rPr>
                      <w:rFonts w:hint="eastAsia"/>
                      <w:b/>
                      <w:bCs/>
                      <w:color w:val="000000" w:themeColor="text1"/>
                      <w14:textFill>
                        <w14:solidFill>
                          <w14:schemeClr w14:val="tx1"/>
                        </w14:solidFill>
                      </w14:textFill>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continue"/>
                </w:tcPr>
                <w:p>
                  <w:pPr>
                    <w:rPr>
                      <w:color w:val="000000" w:themeColor="text1"/>
                      <w:szCs w:val="21"/>
                      <w14:textFill>
                        <w14:solidFill>
                          <w14:schemeClr w14:val="tx1"/>
                        </w14:solidFill>
                      </w14:textFill>
                    </w:rPr>
                  </w:pPr>
                </w:p>
              </w:tc>
              <w:tc>
                <w:tcPr>
                  <w:tcW w:w="1491" w:type="dxa"/>
                  <w:vMerge w:val="continue"/>
                </w:tcPr>
                <w:p>
                  <w:pPr>
                    <w:rPr>
                      <w:color w:val="000000" w:themeColor="text1"/>
                      <w:szCs w:val="21"/>
                      <w14:textFill>
                        <w14:solidFill>
                          <w14:schemeClr w14:val="tx1"/>
                        </w14:solidFill>
                      </w14:textFill>
                    </w:rPr>
                  </w:pPr>
                </w:p>
              </w:tc>
              <w:tc>
                <w:tcPr>
                  <w:tcW w:w="3178" w:type="dxa"/>
                  <w:gridSpan w:val="2"/>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油漆工件附着</w:t>
                  </w:r>
                </w:p>
              </w:tc>
              <w:tc>
                <w:tcPr>
                  <w:tcW w:w="1590"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sz w:val="21"/>
                      <w:szCs w:val="21"/>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restart"/>
                  <w:vAlign w:val="center"/>
                </w:tcPr>
                <w:p>
                  <w:pPr>
                    <w:pStyle w:val="55"/>
                    <w:rPr>
                      <w:color w:val="000000" w:themeColor="text1"/>
                      <w14:textFill>
                        <w14:solidFill>
                          <w14:schemeClr w14:val="tx1"/>
                        </w14:solidFill>
                      </w14:textFill>
                    </w:rPr>
                  </w:pPr>
                  <w:r>
                    <w:rPr>
                      <w:color w:val="000000" w:themeColor="text1"/>
                      <w14:textFill>
                        <w14:solidFill>
                          <w14:schemeClr w14:val="tx1"/>
                        </w14:solidFill>
                      </w14:textFill>
                    </w:rPr>
                    <w:t>面漆</w:t>
                  </w:r>
                </w:p>
              </w:tc>
              <w:tc>
                <w:tcPr>
                  <w:tcW w:w="1491" w:type="dxa"/>
                  <w:vMerge w:val="restart"/>
                  <w:vAlign w:val="center"/>
                </w:tcPr>
                <w:p>
                  <w:pPr>
                    <w:pStyle w:val="55"/>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油漆：1</w:t>
                  </w:r>
                  <w:r>
                    <w:rPr>
                      <w:rFonts w:hint="eastAsia"/>
                      <w:color w:val="000000" w:themeColor="text1"/>
                      <w:lang w:val="en-US" w:eastAsia="zh-CN"/>
                      <w14:textFill>
                        <w14:solidFill>
                          <w14:schemeClr w14:val="tx1"/>
                        </w14:solidFill>
                      </w14:textFill>
                    </w:rPr>
                    <w:t>.2</w:t>
                  </w:r>
                </w:p>
                <w:p>
                  <w:pPr>
                    <w:pStyle w:val="55"/>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稀释剂：0.</w:t>
                  </w:r>
                  <w:r>
                    <w:rPr>
                      <w:rFonts w:hint="eastAsia"/>
                      <w:color w:val="000000" w:themeColor="text1"/>
                      <w:lang w:val="en-US" w:eastAsia="zh-CN"/>
                      <w14:textFill>
                        <w14:solidFill>
                          <w14:schemeClr w14:val="tx1"/>
                        </w14:solidFill>
                      </w14:textFill>
                    </w:rPr>
                    <w:t>36</w:t>
                  </w:r>
                </w:p>
                <w:p>
                  <w:pPr>
                    <w:pStyle w:val="55"/>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固化剂：0.</w:t>
                  </w:r>
                  <w:r>
                    <w:rPr>
                      <w:rFonts w:hint="eastAsia"/>
                      <w:color w:val="000000" w:themeColor="text1"/>
                      <w:lang w:val="en-US" w:eastAsia="zh-CN"/>
                      <w14:textFill>
                        <w14:solidFill>
                          <w14:schemeClr w14:val="tx1"/>
                        </w14:solidFill>
                      </w14:textFill>
                    </w:rPr>
                    <w:t>6</w:t>
                  </w:r>
                </w:p>
                <w:p>
                  <w:pPr>
                    <w:pStyle w:val="55"/>
                    <w:rPr>
                      <w:color w:val="000000" w:themeColor="text1"/>
                      <w14:textFill>
                        <w14:solidFill>
                          <w14:schemeClr w14:val="tx1"/>
                        </w14:solidFill>
                      </w14:textFill>
                    </w:rPr>
                  </w:pPr>
                </w:p>
              </w:tc>
              <w:tc>
                <w:tcPr>
                  <w:tcW w:w="1589" w:type="dxa"/>
                  <w:vMerge w:val="restart"/>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有组织排放废气</w:t>
                  </w:r>
                </w:p>
              </w:tc>
              <w:tc>
                <w:tcPr>
                  <w:tcW w:w="1589"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漆雾</w:t>
                  </w:r>
                </w:p>
              </w:tc>
              <w:tc>
                <w:tcPr>
                  <w:tcW w:w="1590"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rPr>
                    <w:t>0.0</w:t>
                  </w:r>
                  <w:r>
                    <w:rPr>
                      <w:rFonts w:hint="eastAsia"/>
                      <w:color w:val="000000"/>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continue"/>
                </w:tcPr>
                <w:p>
                  <w:pPr>
                    <w:rPr>
                      <w:color w:val="000000" w:themeColor="text1"/>
                      <w:sz w:val="24"/>
                      <w14:textFill>
                        <w14:solidFill>
                          <w14:schemeClr w14:val="tx1"/>
                        </w14:solidFill>
                      </w14:textFill>
                    </w:rPr>
                  </w:pPr>
                </w:p>
              </w:tc>
              <w:tc>
                <w:tcPr>
                  <w:tcW w:w="1491" w:type="dxa"/>
                  <w:vMerge w:val="continue"/>
                </w:tcPr>
                <w:p>
                  <w:pPr>
                    <w:rPr>
                      <w:color w:val="000000" w:themeColor="text1"/>
                      <w:sz w:val="24"/>
                      <w14:textFill>
                        <w14:solidFill>
                          <w14:schemeClr w14:val="tx1"/>
                        </w14:solidFill>
                      </w14:textFill>
                    </w:rPr>
                  </w:pPr>
                </w:p>
              </w:tc>
              <w:tc>
                <w:tcPr>
                  <w:tcW w:w="1589" w:type="dxa"/>
                  <w:vMerge w:val="continue"/>
                  <w:vAlign w:val="center"/>
                </w:tcPr>
                <w:p>
                  <w:pPr>
                    <w:jc w:val="center"/>
                    <w:rPr>
                      <w:color w:val="000000" w:themeColor="text1"/>
                      <w:sz w:val="24"/>
                      <w14:textFill>
                        <w14:solidFill>
                          <w14:schemeClr w14:val="tx1"/>
                        </w14:solidFill>
                      </w14:textFill>
                    </w:rPr>
                  </w:pPr>
                </w:p>
              </w:tc>
              <w:tc>
                <w:tcPr>
                  <w:tcW w:w="1589"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非甲烷总烃</w:t>
                  </w:r>
                </w:p>
              </w:tc>
              <w:tc>
                <w:tcPr>
                  <w:tcW w:w="1590"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rPr>
                    <w:t>0.0</w:t>
                  </w:r>
                  <w:r>
                    <w:rPr>
                      <w:rFonts w:hint="eastAsia"/>
                      <w:color w:val="000000"/>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continue"/>
                </w:tcPr>
                <w:p>
                  <w:pPr>
                    <w:rPr>
                      <w:color w:val="000000" w:themeColor="text1"/>
                      <w:sz w:val="24"/>
                      <w14:textFill>
                        <w14:solidFill>
                          <w14:schemeClr w14:val="tx1"/>
                        </w14:solidFill>
                      </w14:textFill>
                    </w:rPr>
                  </w:pPr>
                </w:p>
              </w:tc>
              <w:tc>
                <w:tcPr>
                  <w:tcW w:w="1491" w:type="dxa"/>
                  <w:vMerge w:val="continue"/>
                </w:tcPr>
                <w:p>
                  <w:pPr>
                    <w:rPr>
                      <w:color w:val="000000" w:themeColor="text1"/>
                      <w:sz w:val="24"/>
                      <w14:textFill>
                        <w14:solidFill>
                          <w14:schemeClr w14:val="tx1"/>
                        </w14:solidFill>
                      </w14:textFill>
                    </w:rPr>
                  </w:pPr>
                </w:p>
              </w:tc>
              <w:tc>
                <w:tcPr>
                  <w:tcW w:w="1589" w:type="dxa"/>
                  <w:vMerge w:val="continue"/>
                  <w:vAlign w:val="center"/>
                </w:tcPr>
                <w:p>
                  <w:pPr>
                    <w:jc w:val="center"/>
                    <w:rPr>
                      <w:color w:val="000000" w:themeColor="text1"/>
                      <w:sz w:val="24"/>
                      <w14:textFill>
                        <w14:solidFill>
                          <w14:schemeClr w14:val="tx1"/>
                        </w14:solidFill>
                      </w14:textFill>
                    </w:rPr>
                  </w:pPr>
                </w:p>
              </w:tc>
              <w:tc>
                <w:tcPr>
                  <w:tcW w:w="158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二甲苯</w:t>
                  </w:r>
                </w:p>
              </w:tc>
              <w:tc>
                <w:tcPr>
                  <w:tcW w:w="159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rPr>
                    <w:t>0.0</w:t>
                  </w:r>
                  <w:r>
                    <w:rPr>
                      <w:rFonts w:hint="eastAsia"/>
                      <w:color w:val="000000"/>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continue"/>
                  <w:vAlign w:val="center"/>
                </w:tcPr>
                <w:p>
                  <w:pPr>
                    <w:jc w:val="center"/>
                    <w:rPr>
                      <w:color w:val="000000" w:themeColor="text1"/>
                      <w:sz w:val="24"/>
                      <w14:textFill>
                        <w14:solidFill>
                          <w14:schemeClr w14:val="tx1"/>
                        </w14:solidFill>
                      </w14:textFill>
                    </w:rPr>
                  </w:pPr>
                </w:p>
              </w:tc>
              <w:tc>
                <w:tcPr>
                  <w:tcW w:w="1491" w:type="dxa"/>
                  <w:vMerge w:val="continue"/>
                  <w:vAlign w:val="center"/>
                </w:tcPr>
                <w:p>
                  <w:pPr>
                    <w:jc w:val="center"/>
                    <w:rPr>
                      <w:color w:val="000000" w:themeColor="text1"/>
                      <w:sz w:val="24"/>
                      <w14:textFill>
                        <w14:solidFill>
                          <w14:schemeClr w14:val="tx1"/>
                        </w14:solidFill>
                      </w14:textFill>
                    </w:rPr>
                  </w:pPr>
                </w:p>
              </w:tc>
              <w:tc>
                <w:tcPr>
                  <w:tcW w:w="1589" w:type="dxa"/>
                  <w:vMerge w:val="restart"/>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无组织排放废气</w:t>
                  </w:r>
                </w:p>
              </w:tc>
              <w:tc>
                <w:tcPr>
                  <w:tcW w:w="1589"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漆雾</w:t>
                  </w:r>
                </w:p>
              </w:tc>
              <w:tc>
                <w:tcPr>
                  <w:tcW w:w="1590"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rPr>
                    <w:t>0.0</w:t>
                  </w:r>
                  <w:r>
                    <w:rPr>
                      <w:rFonts w:hint="eastAsia"/>
                      <w:color w:val="00000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continue"/>
                </w:tcPr>
                <w:p>
                  <w:pPr>
                    <w:rPr>
                      <w:color w:val="000000" w:themeColor="text1"/>
                      <w:sz w:val="24"/>
                      <w14:textFill>
                        <w14:solidFill>
                          <w14:schemeClr w14:val="tx1"/>
                        </w14:solidFill>
                      </w14:textFill>
                    </w:rPr>
                  </w:pPr>
                </w:p>
              </w:tc>
              <w:tc>
                <w:tcPr>
                  <w:tcW w:w="1491" w:type="dxa"/>
                  <w:vMerge w:val="continue"/>
                </w:tcPr>
                <w:p>
                  <w:pPr>
                    <w:rPr>
                      <w:color w:val="000000" w:themeColor="text1"/>
                      <w:sz w:val="24"/>
                      <w14:textFill>
                        <w14:solidFill>
                          <w14:schemeClr w14:val="tx1"/>
                        </w14:solidFill>
                      </w14:textFill>
                    </w:rPr>
                  </w:pPr>
                </w:p>
              </w:tc>
              <w:tc>
                <w:tcPr>
                  <w:tcW w:w="1589" w:type="dxa"/>
                  <w:vMerge w:val="continue"/>
                  <w:vAlign w:val="center"/>
                </w:tcPr>
                <w:p>
                  <w:pPr>
                    <w:jc w:val="center"/>
                    <w:rPr>
                      <w:color w:val="000000" w:themeColor="text1"/>
                      <w:sz w:val="24"/>
                      <w14:textFill>
                        <w14:solidFill>
                          <w14:schemeClr w14:val="tx1"/>
                        </w14:solidFill>
                      </w14:textFill>
                    </w:rPr>
                  </w:pPr>
                </w:p>
              </w:tc>
              <w:tc>
                <w:tcPr>
                  <w:tcW w:w="1589"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非甲烷总烃</w:t>
                  </w:r>
                </w:p>
              </w:tc>
              <w:tc>
                <w:tcPr>
                  <w:tcW w:w="1590"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rPr>
                    <w:t>0.0</w:t>
                  </w:r>
                  <w:r>
                    <w:rPr>
                      <w:rFonts w:hint="eastAsia"/>
                      <w:color w:val="000000"/>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continue"/>
                </w:tcPr>
                <w:p>
                  <w:pPr>
                    <w:rPr>
                      <w:color w:val="000000" w:themeColor="text1"/>
                      <w:sz w:val="24"/>
                      <w14:textFill>
                        <w14:solidFill>
                          <w14:schemeClr w14:val="tx1"/>
                        </w14:solidFill>
                      </w14:textFill>
                    </w:rPr>
                  </w:pPr>
                </w:p>
              </w:tc>
              <w:tc>
                <w:tcPr>
                  <w:tcW w:w="1491" w:type="dxa"/>
                  <w:vMerge w:val="continue"/>
                </w:tcPr>
                <w:p>
                  <w:pPr>
                    <w:rPr>
                      <w:color w:val="000000" w:themeColor="text1"/>
                      <w:sz w:val="24"/>
                      <w14:textFill>
                        <w14:solidFill>
                          <w14:schemeClr w14:val="tx1"/>
                        </w14:solidFill>
                      </w14:textFill>
                    </w:rPr>
                  </w:pPr>
                </w:p>
              </w:tc>
              <w:tc>
                <w:tcPr>
                  <w:tcW w:w="1589" w:type="dxa"/>
                  <w:vMerge w:val="continue"/>
                  <w:vAlign w:val="center"/>
                </w:tcPr>
                <w:p>
                  <w:pPr>
                    <w:jc w:val="center"/>
                    <w:rPr>
                      <w:color w:val="000000" w:themeColor="text1"/>
                      <w:sz w:val="24"/>
                      <w14:textFill>
                        <w14:solidFill>
                          <w14:schemeClr w14:val="tx1"/>
                        </w14:solidFill>
                      </w14:textFill>
                    </w:rPr>
                  </w:pPr>
                </w:p>
              </w:tc>
              <w:tc>
                <w:tcPr>
                  <w:tcW w:w="158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二甲苯</w:t>
                  </w:r>
                </w:p>
              </w:tc>
              <w:tc>
                <w:tcPr>
                  <w:tcW w:w="159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rPr>
                    <w:t>0.0</w:t>
                  </w:r>
                  <w:r>
                    <w:rPr>
                      <w:rFonts w:hint="eastAsia"/>
                      <w:color w:val="000000"/>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continue"/>
                  <w:vAlign w:val="center"/>
                </w:tcPr>
                <w:p>
                  <w:pPr>
                    <w:jc w:val="center"/>
                    <w:rPr>
                      <w:color w:val="000000" w:themeColor="text1"/>
                      <w:sz w:val="24"/>
                      <w14:textFill>
                        <w14:solidFill>
                          <w14:schemeClr w14:val="tx1"/>
                        </w14:solidFill>
                      </w14:textFill>
                    </w:rPr>
                  </w:pPr>
                </w:p>
              </w:tc>
              <w:tc>
                <w:tcPr>
                  <w:tcW w:w="1491" w:type="dxa"/>
                  <w:vMerge w:val="continue"/>
                  <w:vAlign w:val="center"/>
                </w:tcPr>
                <w:p>
                  <w:pPr>
                    <w:jc w:val="center"/>
                    <w:rPr>
                      <w:color w:val="000000" w:themeColor="text1"/>
                      <w:sz w:val="24"/>
                      <w14:textFill>
                        <w14:solidFill>
                          <w14:schemeClr w14:val="tx1"/>
                        </w14:solidFill>
                      </w14:textFill>
                    </w:rPr>
                  </w:pPr>
                </w:p>
              </w:tc>
              <w:tc>
                <w:tcPr>
                  <w:tcW w:w="1589" w:type="dxa"/>
                  <w:vMerge w:val="restart"/>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处理的废气</w:t>
                  </w:r>
                </w:p>
              </w:tc>
              <w:tc>
                <w:tcPr>
                  <w:tcW w:w="1589"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漆雾</w:t>
                  </w:r>
                </w:p>
              </w:tc>
              <w:tc>
                <w:tcPr>
                  <w:tcW w:w="1590"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rPr>
                    <w:t>0.1</w:t>
                  </w:r>
                  <w:r>
                    <w:rPr>
                      <w:rFonts w:hint="eastAsia"/>
                      <w:color w:val="000000"/>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continue"/>
                </w:tcPr>
                <w:p>
                  <w:pPr>
                    <w:rPr>
                      <w:color w:val="000000" w:themeColor="text1"/>
                      <w:sz w:val="24"/>
                      <w14:textFill>
                        <w14:solidFill>
                          <w14:schemeClr w14:val="tx1"/>
                        </w14:solidFill>
                      </w14:textFill>
                    </w:rPr>
                  </w:pPr>
                </w:p>
              </w:tc>
              <w:tc>
                <w:tcPr>
                  <w:tcW w:w="1491" w:type="dxa"/>
                  <w:vMerge w:val="continue"/>
                </w:tcPr>
                <w:p>
                  <w:pPr>
                    <w:rPr>
                      <w:color w:val="000000" w:themeColor="text1"/>
                      <w:sz w:val="24"/>
                      <w14:textFill>
                        <w14:solidFill>
                          <w14:schemeClr w14:val="tx1"/>
                        </w14:solidFill>
                      </w14:textFill>
                    </w:rPr>
                  </w:pPr>
                </w:p>
              </w:tc>
              <w:tc>
                <w:tcPr>
                  <w:tcW w:w="1589" w:type="dxa"/>
                  <w:vMerge w:val="continue"/>
                  <w:vAlign w:val="center"/>
                </w:tcPr>
                <w:p>
                  <w:pPr>
                    <w:jc w:val="center"/>
                    <w:rPr>
                      <w:color w:val="000000" w:themeColor="text1"/>
                      <w:sz w:val="24"/>
                      <w14:textFill>
                        <w14:solidFill>
                          <w14:schemeClr w14:val="tx1"/>
                        </w14:solidFill>
                      </w14:textFill>
                    </w:rPr>
                  </w:pPr>
                </w:p>
              </w:tc>
              <w:tc>
                <w:tcPr>
                  <w:tcW w:w="1589" w:type="dxa"/>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非甲烷总烃</w:t>
                  </w:r>
                </w:p>
              </w:tc>
              <w:tc>
                <w:tcPr>
                  <w:tcW w:w="1590"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rPr>
                    <w:t>0.</w:t>
                  </w:r>
                  <w:r>
                    <w:rPr>
                      <w:rFonts w:hint="eastAsia"/>
                      <w:color w:val="000000"/>
                      <w:lang w:val="en-US" w:eastAsia="zh-CN"/>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continue"/>
                </w:tcPr>
                <w:p>
                  <w:pPr>
                    <w:rPr>
                      <w:color w:val="000000" w:themeColor="text1"/>
                      <w:sz w:val="24"/>
                      <w14:textFill>
                        <w14:solidFill>
                          <w14:schemeClr w14:val="tx1"/>
                        </w14:solidFill>
                      </w14:textFill>
                    </w:rPr>
                  </w:pPr>
                </w:p>
              </w:tc>
              <w:tc>
                <w:tcPr>
                  <w:tcW w:w="1491" w:type="dxa"/>
                  <w:vMerge w:val="continue"/>
                </w:tcPr>
                <w:p>
                  <w:pPr>
                    <w:rPr>
                      <w:color w:val="000000" w:themeColor="text1"/>
                      <w:sz w:val="24"/>
                      <w14:textFill>
                        <w14:solidFill>
                          <w14:schemeClr w14:val="tx1"/>
                        </w14:solidFill>
                      </w14:textFill>
                    </w:rPr>
                  </w:pPr>
                </w:p>
              </w:tc>
              <w:tc>
                <w:tcPr>
                  <w:tcW w:w="1589" w:type="dxa"/>
                  <w:vMerge w:val="continue"/>
                  <w:vAlign w:val="center"/>
                </w:tcPr>
                <w:p>
                  <w:pPr>
                    <w:jc w:val="center"/>
                    <w:rPr>
                      <w:color w:val="000000" w:themeColor="text1"/>
                      <w:sz w:val="24"/>
                      <w14:textFill>
                        <w14:solidFill>
                          <w14:schemeClr w14:val="tx1"/>
                        </w14:solidFill>
                      </w14:textFill>
                    </w:rPr>
                  </w:pPr>
                </w:p>
              </w:tc>
              <w:tc>
                <w:tcPr>
                  <w:tcW w:w="158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二甲苯</w:t>
                  </w:r>
                </w:p>
              </w:tc>
              <w:tc>
                <w:tcPr>
                  <w:tcW w:w="1590" w:type="dxa"/>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rPr>
                    <w:t>0.</w:t>
                  </w:r>
                  <w:r>
                    <w:rPr>
                      <w:rFonts w:hint="eastAsia"/>
                      <w:color w:val="000000"/>
                      <w:lang w:val="en-US" w:eastAsia="zh-CN"/>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Merge w:val="continue"/>
                </w:tcPr>
                <w:p>
                  <w:pPr>
                    <w:rPr>
                      <w:color w:val="000000" w:themeColor="text1"/>
                      <w:sz w:val="24"/>
                      <w14:textFill>
                        <w14:solidFill>
                          <w14:schemeClr w14:val="tx1"/>
                        </w14:solidFill>
                      </w14:textFill>
                    </w:rPr>
                  </w:pPr>
                </w:p>
              </w:tc>
              <w:tc>
                <w:tcPr>
                  <w:tcW w:w="1491" w:type="dxa"/>
                  <w:vMerge w:val="continue"/>
                </w:tcPr>
                <w:p>
                  <w:pPr>
                    <w:rPr>
                      <w:color w:val="000000" w:themeColor="text1"/>
                      <w:sz w:val="24"/>
                      <w14:textFill>
                        <w14:solidFill>
                          <w14:schemeClr w14:val="tx1"/>
                        </w14:solidFill>
                      </w14:textFill>
                    </w:rPr>
                  </w:pPr>
                </w:p>
              </w:tc>
              <w:tc>
                <w:tcPr>
                  <w:tcW w:w="3178" w:type="dxa"/>
                  <w:gridSpan w:val="2"/>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漆渣</w:t>
                  </w:r>
                </w:p>
              </w:tc>
              <w:tc>
                <w:tcPr>
                  <w:tcW w:w="1590" w:type="dxa"/>
                  <w:vAlign w:val="center"/>
                </w:tcPr>
                <w:p>
                  <w:pPr>
                    <w:jc w:val="center"/>
                    <w:rPr>
                      <w:rFonts w:hint="eastAsia" w:eastAsia="宋体"/>
                      <w:color w:val="000000" w:themeColor="text1"/>
                      <w:sz w:val="24"/>
                      <w:lang w:val="en-US" w:eastAsia="zh-CN"/>
                      <w14:textFill>
                        <w14:solidFill>
                          <w14:schemeClr w14:val="tx1"/>
                        </w14:solidFill>
                      </w14:textFill>
                    </w:rPr>
                  </w:pPr>
                  <w:r>
                    <w:rPr>
                      <w:rFonts w:hint="eastAsia"/>
                      <w:color w:val="000000"/>
                    </w:rPr>
                    <w:t>0.0</w:t>
                  </w:r>
                  <w:r>
                    <w:rPr>
                      <w:rFonts w:hint="eastAsia"/>
                      <w:color w:val="00000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8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1491"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2.16</w:t>
                  </w:r>
                </w:p>
              </w:tc>
              <w:tc>
                <w:tcPr>
                  <w:tcW w:w="3178" w:type="dxa"/>
                  <w:gridSpan w:val="2"/>
                  <w:vAlign w:val="center"/>
                </w:tcPr>
                <w:p>
                  <w:pPr>
                    <w:jc w:val="center"/>
                    <w:rPr>
                      <w:color w:val="000000" w:themeColor="text1"/>
                      <w:sz w:val="24"/>
                      <w14:textFill>
                        <w14:solidFill>
                          <w14:schemeClr w14:val="tx1"/>
                        </w14:solidFill>
                      </w14:textFill>
                    </w:rPr>
                  </w:pPr>
                  <w:r>
                    <w:rPr>
                      <w:rFonts w:hint="eastAsia"/>
                      <w:color w:val="000000" w:themeColor="text1"/>
                      <w14:textFill>
                        <w14:solidFill>
                          <w14:schemeClr w14:val="tx1"/>
                        </w14:solidFill>
                      </w14:textFill>
                    </w:rPr>
                    <w:t>合计</w:t>
                  </w:r>
                </w:p>
              </w:tc>
              <w:tc>
                <w:tcPr>
                  <w:tcW w:w="1590" w:type="dxa"/>
                  <w:vAlign w:val="center"/>
                </w:tcPr>
                <w:p>
                  <w:pPr>
                    <w:jc w:val="center"/>
                    <w:rPr>
                      <w:rFonts w:hint="default" w:eastAsia="宋体"/>
                      <w:color w:val="000000" w:themeColor="text1"/>
                      <w:sz w:val="24"/>
                      <w:lang w:val="en-US" w:eastAsia="zh-CN"/>
                      <w14:textFill>
                        <w14:solidFill>
                          <w14:schemeClr w14:val="tx1"/>
                        </w14:solidFill>
                      </w14:textFill>
                    </w:rPr>
                  </w:pPr>
                  <w:r>
                    <w:rPr>
                      <w:rFonts w:hint="eastAsia"/>
                      <w:color w:val="000000"/>
                      <w:lang w:val="en-US" w:eastAsia="zh-CN"/>
                    </w:rPr>
                    <w:t>2.16</w:t>
                  </w:r>
                </w:p>
              </w:tc>
            </w:tr>
          </w:tbl>
          <w:p>
            <w:pPr>
              <w:spacing w:line="360" w:lineRule="auto"/>
              <w:ind w:firstLine="480" w:firstLineChars="200"/>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由上述物料平衡可知本项目</w:t>
            </w:r>
            <w:r>
              <w:rPr>
                <w:rFonts w:hint="eastAsia"/>
                <w:color w:val="000000" w:themeColor="text1"/>
                <w:sz w:val="24"/>
                <w14:textFill>
                  <w14:solidFill>
                    <w14:schemeClr w14:val="tx1"/>
                  </w14:solidFill>
                </w14:textFill>
              </w:rPr>
              <w:t>颗粒物</w:t>
            </w:r>
            <w:r>
              <w:rPr>
                <w:color w:val="000000" w:themeColor="text1"/>
                <w:sz w:val="24"/>
                <w14:textFill>
                  <w14:solidFill>
                    <w14:schemeClr w14:val="tx1"/>
                  </w14:solidFill>
                </w14:textFill>
              </w:rPr>
              <w:t>产生量为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r>
              <w:rPr>
                <w:rFonts w:ascii="Times New Roman" w:hAnsi="Times New Roman" w:eastAsia="宋体" w:cs="Times New Roman"/>
                <w:color w:val="000000" w:themeColor="text1"/>
                <w:sz w:val="24"/>
                <w14:textFill>
                  <w14:solidFill>
                    <w14:schemeClr w14:val="tx1"/>
                  </w14:solidFill>
                </w14:textFill>
              </w:rPr>
              <w:t>负压收集</w:t>
            </w:r>
            <w:r>
              <w:rPr>
                <w:rFonts w:hint="eastAsia" w:ascii="Times New Roman" w:hAnsi="Times New Roman" w:eastAsia="宋体" w:cs="Times New Roman"/>
                <w:color w:val="000000" w:themeColor="text1"/>
                <w:sz w:val="24"/>
                <w14:textFill>
                  <w14:solidFill>
                    <w14:schemeClr w14:val="tx1"/>
                  </w14:solidFill>
                </w14:textFill>
              </w:rPr>
              <w:t>对废气的收集效率为90%，</w:t>
            </w:r>
            <w:r>
              <w:rPr>
                <w:rFonts w:ascii="Times New Roman" w:hAnsi="Times New Roman" w:eastAsia="宋体" w:cs="Times New Roman"/>
                <w:color w:val="000000" w:themeColor="text1"/>
                <w:sz w:val="24"/>
                <w14:textFill>
                  <w14:solidFill>
                    <w14:schemeClr w14:val="tx1"/>
                  </w14:solidFill>
                </w14:textFill>
              </w:rPr>
              <w:t>一周大约喷漆3次，每次3小时，则一年大约有</w:t>
            </w:r>
            <w:r>
              <w:rPr>
                <w:color w:val="000000" w:themeColor="text1"/>
                <w:sz w:val="24"/>
                <w14:textFill>
                  <w14:solidFill>
                    <w14:schemeClr w14:val="tx1"/>
                  </w14:solidFill>
                </w14:textFill>
              </w:rPr>
              <w:t>450小时，</w:t>
            </w:r>
            <w:r>
              <w:rPr>
                <w:rFonts w:hint="eastAsia"/>
                <w:color w:val="000000" w:themeColor="text1"/>
                <w:sz w:val="24"/>
                <w14:textFill>
                  <w14:solidFill>
                    <w14:schemeClr w14:val="tx1"/>
                  </w14:solidFill>
                </w14:textFill>
              </w:rPr>
              <w:t>过滤棉对漆雾过滤效率为85%，风机风量为8000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，则颗粒物有组织产生量为0.</w:t>
            </w:r>
            <w:r>
              <w:rPr>
                <w:rFonts w:hint="eastAsia"/>
                <w:color w:val="000000" w:themeColor="text1"/>
                <w:sz w:val="24"/>
                <w:lang w:val="en-US" w:eastAsia="zh-CN"/>
                <w14:textFill>
                  <w14:solidFill>
                    <w14:schemeClr w14:val="tx1"/>
                  </w14:solidFill>
                </w14:textFill>
              </w:rPr>
              <w:t>18</w:t>
            </w:r>
            <w:r>
              <w:rPr>
                <w:rFonts w:hint="eastAsia"/>
                <w:color w:val="000000" w:themeColor="text1"/>
                <w:sz w:val="24"/>
                <w14:textFill>
                  <w14:solidFill>
                    <w14:schemeClr w14:val="tx1"/>
                  </w14:solidFill>
                </w14:textFill>
              </w:rPr>
              <w:t>t/a，产生速率0.</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kg/h，产生浓度</w:t>
            </w:r>
            <w:r>
              <w:rPr>
                <w:rFonts w:hint="eastAsia"/>
                <w:color w:val="000000" w:themeColor="text1"/>
                <w:sz w:val="24"/>
                <w:lang w:val="en-US" w:eastAsia="zh-CN"/>
                <w14:textFill>
                  <w14:solidFill>
                    <w14:schemeClr w14:val="tx1"/>
                  </w14:solidFill>
                </w14:textFill>
              </w:rPr>
              <w:t>50</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，颗粒物排放量为0.0</w:t>
            </w:r>
            <w:r>
              <w:rPr>
                <w:rFonts w:hint="eastAsia"/>
                <w:color w:val="000000" w:themeColor="text1"/>
                <w:sz w:val="24"/>
                <w:lang w:val="en-US" w:eastAsia="zh-CN"/>
                <w14:textFill>
                  <w14:solidFill>
                    <w14:schemeClr w14:val="tx1"/>
                  </w14:solidFill>
                </w14:textFill>
              </w:rPr>
              <w:t>27</w:t>
            </w:r>
            <w:r>
              <w:rPr>
                <w:rFonts w:hint="eastAsia"/>
                <w:color w:val="000000" w:themeColor="text1"/>
                <w:sz w:val="24"/>
                <w14:textFill>
                  <w14:solidFill>
                    <w14:schemeClr w14:val="tx1"/>
                  </w14:solidFill>
                </w14:textFill>
              </w:rPr>
              <w:t>t/a，排放速率0.0</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kg/h，排放浓度</w:t>
            </w:r>
            <w:r>
              <w:rPr>
                <w:rFonts w:hint="eastAsia"/>
                <w:color w:val="000000" w:themeColor="text1"/>
                <w:sz w:val="24"/>
                <w:lang w:val="en-US" w:eastAsia="zh-CN"/>
                <w14:textFill>
                  <w14:solidFill>
                    <w14:schemeClr w14:val="tx1"/>
                  </w14:solidFill>
                </w14:textFill>
              </w:rPr>
              <w:t>7.5</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。无组织排放量为0.0</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t/a，排放速率为0.0</w:t>
            </w:r>
            <w:r>
              <w:rPr>
                <w:rFonts w:hint="eastAsia"/>
                <w:color w:val="000000" w:themeColor="text1"/>
                <w:sz w:val="24"/>
                <w:lang w:val="en-US" w:eastAsia="zh-CN"/>
                <w14:textFill>
                  <w14:solidFill>
                    <w14:schemeClr w14:val="tx1"/>
                  </w14:solidFill>
                </w14:textFill>
              </w:rPr>
              <w:t>44</w:t>
            </w:r>
            <w:r>
              <w:rPr>
                <w:rFonts w:hint="eastAsia"/>
                <w:color w:val="000000" w:themeColor="text1"/>
                <w:sz w:val="24"/>
                <w14:textFill>
                  <w14:solidFill>
                    <w14:schemeClr w14:val="tx1"/>
                  </w14:solidFill>
                </w14:textFill>
              </w:rPr>
              <w:t>kg/h。</w:t>
            </w:r>
          </w:p>
          <w:p>
            <w:pPr>
              <w:spacing w:line="360" w:lineRule="auto"/>
              <w:ind w:firstLine="480" w:firstLineChars="200"/>
              <w:jc w:val="left"/>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由上述物料平衡可知本项目</w:t>
            </w:r>
            <w:r>
              <w:rPr>
                <w:color w:val="000000" w:themeColor="text1"/>
                <w:sz w:val="24"/>
                <w14:textFill>
                  <w14:solidFill>
                    <w14:schemeClr w14:val="tx1"/>
                  </w14:solidFill>
                </w14:textFill>
              </w:rPr>
              <w:t>调漆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喷漆和</w:t>
            </w:r>
            <w:r>
              <w:rPr>
                <w:rFonts w:hint="eastAsia"/>
                <w:color w:val="000000" w:themeColor="text1"/>
                <w:sz w:val="24"/>
                <w14:textFill>
                  <w14:solidFill>
                    <w14:schemeClr w14:val="tx1"/>
                  </w14:solidFill>
                </w14:textFill>
              </w:rPr>
              <w:t>自然晾干非甲烷总烃产生量为0.</w:t>
            </w:r>
            <w:r>
              <w:rPr>
                <w:rFonts w:hint="eastAsia"/>
                <w:color w:val="000000" w:themeColor="text1"/>
                <w:sz w:val="24"/>
                <w:lang w:val="en-US" w:eastAsia="zh-CN"/>
                <w14:textFill>
                  <w14:solidFill>
                    <w14:schemeClr w14:val="tx1"/>
                  </w14:solidFill>
                </w14:textFill>
              </w:rPr>
              <w:t>52</w:t>
            </w:r>
            <w:r>
              <w:rPr>
                <w:rFonts w:hint="eastAsia"/>
                <w:color w:val="000000" w:themeColor="text1"/>
                <w:sz w:val="24"/>
                <w14:textFill>
                  <w14:solidFill>
                    <w14:schemeClr w14:val="tx1"/>
                  </w14:solidFill>
                </w14:textFill>
              </w:rPr>
              <w:t>t/a，</w:t>
            </w:r>
            <w:r>
              <w:rPr>
                <w:rFonts w:ascii="Times New Roman" w:hAnsi="Times New Roman" w:eastAsia="宋体" w:cs="Times New Roman"/>
                <w:color w:val="000000" w:themeColor="text1"/>
                <w:sz w:val="24"/>
                <w14:textFill>
                  <w14:solidFill>
                    <w14:schemeClr w14:val="tx1"/>
                  </w14:solidFill>
                </w14:textFill>
              </w:rPr>
              <w:t>负压收集</w:t>
            </w:r>
            <w:r>
              <w:rPr>
                <w:rFonts w:hint="eastAsia"/>
                <w:color w:val="000000" w:themeColor="text1"/>
                <w:sz w:val="24"/>
                <w14:textFill>
                  <w14:solidFill>
                    <w14:schemeClr w14:val="tx1"/>
                  </w14:solidFill>
                </w14:textFill>
              </w:rPr>
              <w:t>收集效率为90%，风机风量为8000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一周大约喷漆3次，每次3小时，则一年大约有450小时，</w:t>
            </w:r>
            <w:r>
              <w:rPr>
                <w:rFonts w:hint="eastAsia"/>
                <w:color w:val="000000" w:themeColor="text1"/>
                <w:sz w:val="24"/>
                <w14:textFill>
                  <w14:solidFill>
                    <w14:schemeClr w14:val="tx1"/>
                  </w14:solidFill>
                </w14:textFill>
              </w:rPr>
              <w:t>则非甲烷总烃有组织产生量为0.</w:t>
            </w:r>
            <w:r>
              <w:rPr>
                <w:rFonts w:hint="eastAsia"/>
                <w:color w:val="000000" w:themeColor="text1"/>
                <w:sz w:val="24"/>
                <w:lang w:val="en-US" w:eastAsia="zh-CN"/>
                <w14:textFill>
                  <w14:solidFill>
                    <w14:schemeClr w14:val="tx1"/>
                  </w14:solidFill>
                </w14:textFill>
              </w:rPr>
              <w:t>468</w:t>
            </w:r>
            <w:r>
              <w:rPr>
                <w:rFonts w:hint="eastAsia"/>
                <w:color w:val="000000" w:themeColor="text1"/>
                <w:sz w:val="24"/>
                <w14:textFill>
                  <w14:solidFill>
                    <w14:schemeClr w14:val="tx1"/>
                  </w14:solidFill>
                </w14:textFill>
              </w:rPr>
              <w:t>t/a，产生速率</w:t>
            </w:r>
            <w:r>
              <w:rPr>
                <w:rFonts w:hint="eastAsia"/>
                <w:color w:val="000000" w:themeColor="text1"/>
                <w:sz w:val="24"/>
                <w:lang w:val="en-US" w:eastAsia="zh-CN"/>
                <w14:textFill>
                  <w14:solidFill>
                    <w14:schemeClr w14:val="tx1"/>
                  </w14:solidFill>
                </w14:textFill>
              </w:rPr>
              <w:t>1.04</w:t>
            </w:r>
            <w:r>
              <w:rPr>
                <w:rFonts w:hint="eastAsia"/>
                <w:color w:val="000000" w:themeColor="text1"/>
                <w:sz w:val="24"/>
                <w14:textFill>
                  <w14:solidFill>
                    <w14:schemeClr w14:val="tx1"/>
                  </w14:solidFill>
                </w14:textFill>
              </w:rPr>
              <w:t>kg/h，产生浓度</w:t>
            </w:r>
            <w:r>
              <w:rPr>
                <w:rFonts w:hint="eastAsia"/>
                <w:color w:val="000000" w:themeColor="text1"/>
                <w:sz w:val="24"/>
                <w:lang w:val="en-US" w:eastAsia="zh-CN"/>
                <w14:textFill>
                  <w14:solidFill>
                    <w14:schemeClr w14:val="tx1"/>
                  </w14:solidFill>
                </w14:textFill>
              </w:rPr>
              <w:t>130</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，收集后的废气经二级活性炭吸附装置处理后排放，二级活性炭处理效率为90%，则非甲烷总烃排放量为0.0</w:t>
            </w:r>
            <w:r>
              <w:rPr>
                <w:rFonts w:hint="eastAsia"/>
                <w:color w:val="000000" w:themeColor="text1"/>
                <w:sz w:val="24"/>
                <w:lang w:val="en-US" w:eastAsia="zh-CN"/>
                <w14:textFill>
                  <w14:solidFill>
                    <w14:schemeClr w14:val="tx1"/>
                  </w14:solidFill>
                </w14:textFill>
              </w:rPr>
              <w:t>47</w:t>
            </w:r>
            <w:r>
              <w:rPr>
                <w:rFonts w:hint="eastAsia"/>
                <w:color w:val="000000" w:themeColor="text1"/>
                <w:sz w:val="24"/>
                <w14:textFill>
                  <w14:solidFill>
                    <w14:schemeClr w14:val="tx1"/>
                  </w14:solidFill>
                </w14:textFill>
              </w:rPr>
              <w:t>t/a，排放速率0.</w:t>
            </w:r>
            <w:r>
              <w:rPr>
                <w:rFonts w:hint="eastAsia"/>
                <w:color w:val="000000" w:themeColor="text1"/>
                <w:sz w:val="24"/>
                <w:lang w:val="en-US" w:eastAsia="zh-CN"/>
                <w14:textFill>
                  <w14:solidFill>
                    <w14:schemeClr w14:val="tx1"/>
                  </w14:solidFill>
                </w14:textFill>
              </w:rPr>
              <w:t>104</w:t>
            </w:r>
            <w:r>
              <w:rPr>
                <w:rFonts w:hint="eastAsia"/>
                <w:color w:val="000000" w:themeColor="text1"/>
                <w:sz w:val="24"/>
                <w14:textFill>
                  <w14:solidFill>
                    <w14:schemeClr w14:val="tx1"/>
                  </w14:solidFill>
                </w14:textFill>
              </w:rPr>
              <w:t>kg/h，排放浓度1</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。无组织排放量为0.0</w:t>
            </w:r>
            <w:r>
              <w:rPr>
                <w:rFonts w:hint="eastAsia"/>
                <w:color w:val="000000" w:themeColor="text1"/>
                <w:sz w:val="24"/>
                <w:lang w:val="en-US" w:eastAsia="zh-CN"/>
                <w14:textFill>
                  <w14:solidFill>
                    <w14:schemeClr w14:val="tx1"/>
                  </w14:solidFill>
                </w14:textFill>
              </w:rPr>
              <w:t>52</w:t>
            </w:r>
            <w:r>
              <w:rPr>
                <w:rFonts w:hint="eastAsia"/>
                <w:color w:val="000000" w:themeColor="text1"/>
                <w:sz w:val="24"/>
                <w14:textFill>
                  <w14:solidFill>
                    <w14:schemeClr w14:val="tx1"/>
                  </w14:solidFill>
                </w14:textFill>
              </w:rPr>
              <w:t>t/a，排放速率为0.</w:t>
            </w:r>
            <w:r>
              <w:rPr>
                <w:rFonts w:hint="eastAsia"/>
                <w:color w:val="000000" w:themeColor="text1"/>
                <w:sz w:val="24"/>
                <w:lang w:val="en-US" w:eastAsia="zh-CN"/>
                <w14:textFill>
                  <w14:solidFill>
                    <w14:schemeClr w14:val="tx1"/>
                  </w14:solidFill>
                </w14:textFill>
              </w:rPr>
              <w:t>116</w:t>
            </w:r>
            <w:r>
              <w:rPr>
                <w:rFonts w:hint="eastAsia"/>
                <w:color w:val="000000" w:themeColor="text1"/>
                <w:sz w:val="24"/>
                <w14:textFill>
                  <w14:solidFill>
                    <w14:schemeClr w14:val="tx1"/>
                  </w14:solidFill>
                </w14:textFill>
              </w:rPr>
              <w:t>kg/h。</w:t>
            </w:r>
          </w:p>
          <w:p>
            <w:pPr>
              <w:spacing w:line="360" w:lineRule="auto"/>
              <w:ind w:firstLine="480" w:firstLineChars="200"/>
              <w:jc w:val="left"/>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由上述物料平衡可知本项目</w:t>
            </w:r>
            <w:r>
              <w:rPr>
                <w:color w:val="000000" w:themeColor="text1"/>
                <w:sz w:val="24"/>
                <w14:textFill>
                  <w14:solidFill>
                    <w14:schemeClr w14:val="tx1"/>
                  </w14:solidFill>
                </w14:textFill>
              </w:rPr>
              <w:t>二甲苯产生量为0.</w:t>
            </w:r>
            <w:r>
              <w:rPr>
                <w:rFonts w:hint="eastAsia"/>
                <w:color w:val="000000" w:themeColor="text1"/>
                <w:sz w:val="24"/>
                <w:lang w:val="en-US" w:eastAsia="zh-CN"/>
                <w14:textFill>
                  <w14:solidFill>
                    <w14:schemeClr w14:val="tx1"/>
                  </w14:solidFill>
                </w14:textFill>
              </w:rPr>
              <w:t>28</w:t>
            </w:r>
            <w:r>
              <w:rPr>
                <w:rFonts w:hint="eastAsia"/>
                <w:color w:val="000000" w:themeColor="text1"/>
                <w:sz w:val="24"/>
                <w14:textFill>
                  <w14:solidFill>
                    <w14:schemeClr w14:val="tx1"/>
                  </w14:solidFill>
                </w14:textFill>
              </w:rPr>
              <w:t>t/a，</w:t>
            </w:r>
            <w:r>
              <w:rPr>
                <w:rFonts w:ascii="Times New Roman" w:hAnsi="Times New Roman" w:eastAsia="宋体" w:cs="Times New Roman"/>
                <w:color w:val="000000" w:themeColor="text1"/>
                <w:sz w:val="24"/>
                <w14:textFill>
                  <w14:solidFill>
                    <w14:schemeClr w14:val="tx1"/>
                  </w14:solidFill>
                </w14:textFill>
              </w:rPr>
              <w:t>负压收集</w:t>
            </w:r>
            <w:r>
              <w:rPr>
                <w:rFonts w:hint="eastAsia"/>
                <w:color w:val="000000" w:themeColor="text1"/>
                <w:sz w:val="24"/>
                <w14:textFill>
                  <w14:solidFill>
                    <w14:schemeClr w14:val="tx1"/>
                  </w14:solidFill>
                </w14:textFill>
              </w:rPr>
              <w:t>收集效率为90%，</w:t>
            </w:r>
            <w:r>
              <w:rPr>
                <w:color w:val="000000" w:themeColor="text1"/>
                <w:sz w:val="24"/>
                <w14:textFill>
                  <w14:solidFill>
                    <w14:schemeClr w14:val="tx1"/>
                  </w14:solidFill>
                </w14:textFill>
              </w:rPr>
              <w:t>一周大约喷漆3次，每次3小时，则一年大约有450小时，</w:t>
            </w:r>
            <w:r>
              <w:rPr>
                <w:rFonts w:hint="eastAsia"/>
                <w:color w:val="000000" w:themeColor="text1"/>
                <w:sz w:val="24"/>
                <w14:textFill>
                  <w14:solidFill>
                    <w14:schemeClr w14:val="tx1"/>
                  </w14:solidFill>
                </w14:textFill>
              </w:rPr>
              <w:t>则二甲苯有组织产生量为0.</w:t>
            </w:r>
            <w:r>
              <w:rPr>
                <w:rFonts w:hint="eastAsia"/>
                <w:color w:val="000000" w:themeColor="text1"/>
                <w:sz w:val="24"/>
                <w:lang w:val="en-US" w:eastAsia="zh-CN"/>
                <w14:textFill>
                  <w14:solidFill>
                    <w14:schemeClr w14:val="tx1"/>
                  </w14:solidFill>
                </w14:textFill>
              </w:rPr>
              <w:t>252</w:t>
            </w:r>
            <w:r>
              <w:rPr>
                <w:rFonts w:hint="eastAsia"/>
                <w:color w:val="000000" w:themeColor="text1"/>
                <w:sz w:val="24"/>
                <w14:textFill>
                  <w14:solidFill>
                    <w14:schemeClr w14:val="tx1"/>
                  </w14:solidFill>
                </w14:textFill>
              </w:rPr>
              <w:t>t/a，产生速率0.</w:t>
            </w:r>
            <w:r>
              <w:rPr>
                <w:rFonts w:hint="eastAsia"/>
                <w:color w:val="000000" w:themeColor="text1"/>
                <w:sz w:val="24"/>
                <w:lang w:val="en-US" w:eastAsia="zh-CN"/>
                <w14:textFill>
                  <w14:solidFill>
                    <w14:schemeClr w14:val="tx1"/>
                  </w14:solidFill>
                </w14:textFill>
              </w:rPr>
              <w:t>56</w:t>
            </w:r>
            <w:r>
              <w:rPr>
                <w:rFonts w:hint="eastAsia"/>
                <w:color w:val="000000" w:themeColor="text1"/>
                <w:sz w:val="24"/>
                <w14:textFill>
                  <w14:solidFill>
                    <w14:schemeClr w14:val="tx1"/>
                  </w14:solidFill>
                </w14:textFill>
              </w:rPr>
              <w:t>kg/h，产生浓度</w:t>
            </w:r>
            <w:r>
              <w:rPr>
                <w:rFonts w:hint="eastAsia"/>
                <w:color w:val="000000" w:themeColor="text1"/>
                <w:sz w:val="24"/>
                <w:lang w:val="en-US" w:eastAsia="zh-CN"/>
                <w14:textFill>
                  <w14:solidFill>
                    <w14:schemeClr w14:val="tx1"/>
                  </w14:solidFill>
                </w14:textFill>
              </w:rPr>
              <w:t>70</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，收集后的废气经二级活性炭吸附装置处理后排放，二级活性炭处理效率为90%，</w:t>
            </w:r>
            <w:r>
              <w:rPr>
                <w:rFonts w:hint="eastAsia"/>
                <w:color w:val="000000" w:themeColor="text1"/>
                <w:sz w:val="24"/>
                <w:lang w:val="en-US" w:eastAsia="zh-CN"/>
                <w14:textFill>
                  <w14:solidFill>
                    <w14:schemeClr w14:val="tx1"/>
                  </w14:solidFill>
                </w14:textFill>
              </w:rPr>
              <w:t>则</w:t>
            </w:r>
            <w:r>
              <w:rPr>
                <w:rFonts w:hint="eastAsia"/>
                <w:color w:val="000000" w:themeColor="text1"/>
                <w:sz w:val="24"/>
                <w14:textFill>
                  <w14:solidFill>
                    <w14:schemeClr w14:val="tx1"/>
                  </w14:solidFill>
                </w14:textFill>
              </w:rPr>
              <w:t>排放量为0.0</w:t>
            </w:r>
            <w:r>
              <w:rPr>
                <w:rFonts w:hint="eastAsia"/>
                <w:color w:val="000000" w:themeColor="text1"/>
                <w:sz w:val="24"/>
                <w:lang w:val="en-US" w:eastAsia="zh-CN"/>
                <w14:textFill>
                  <w14:solidFill>
                    <w14:schemeClr w14:val="tx1"/>
                  </w14:solidFill>
                </w14:textFill>
              </w:rPr>
              <w:t>25</w:t>
            </w:r>
            <w:r>
              <w:rPr>
                <w:rFonts w:hint="eastAsia"/>
                <w:color w:val="000000" w:themeColor="text1"/>
                <w:sz w:val="24"/>
                <w14:textFill>
                  <w14:solidFill>
                    <w14:schemeClr w14:val="tx1"/>
                  </w14:solidFill>
                </w14:textFill>
              </w:rPr>
              <w:t>t/a，排放速率0.0</w:t>
            </w:r>
            <w:r>
              <w:rPr>
                <w:rFonts w:hint="eastAsia"/>
                <w:color w:val="000000" w:themeColor="text1"/>
                <w:sz w:val="24"/>
                <w:lang w:val="en-US" w:eastAsia="zh-CN"/>
                <w14:textFill>
                  <w14:solidFill>
                    <w14:schemeClr w14:val="tx1"/>
                  </w14:solidFill>
                </w14:textFill>
              </w:rPr>
              <w:t>56</w:t>
            </w:r>
            <w:r>
              <w:rPr>
                <w:rFonts w:hint="eastAsia"/>
                <w:color w:val="000000" w:themeColor="text1"/>
                <w:sz w:val="24"/>
                <w14:textFill>
                  <w14:solidFill>
                    <w14:schemeClr w14:val="tx1"/>
                  </w14:solidFill>
                </w14:textFill>
              </w:rPr>
              <w:t>kg/h，排放浓度</w:t>
            </w:r>
            <w:r>
              <w:rPr>
                <w:rFonts w:hint="eastAsia"/>
                <w:color w:val="000000" w:themeColor="text1"/>
                <w:sz w:val="24"/>
                <w:lang w:val="en-US" w:eastAsia="zh-CN"/>
                <w14:textFill>
                  <w14:solidFill>
                    <w14:schemeClr w14:val="tx1"/>
                  </w14:solidFill>
                </w14:textFill>
              </w:rPr>
              <w:t>7</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。无组织排放量为0.0</w:t>
            </w:r>
            <w:r>
              <w:rPr>
                <w:rFonts w:hint="eastAsia"/>
                <w:color w:val="000000" w:themeColor="text1"/>
                <w:sz w:val="24"/>
                <w:lang w:val="en-US" w:eastAsia="zh-CN"/>
                <w14:textFill>
                  <w14:solidFill>
                    <w14:schemeClr w14:val="tx1"/>
                  </w14:solidFill>
                </w14:textFill>
              </w:rPr>
              <w:t>28</w:t>
            </w:r>
            <w:r>
              <w:rPr>
                <w:rFonts w:hint="eastAsia"/>
                <w:color w:val="000000" w:themeColor="text1"/>
                <w:sz w:val="24"/>
                <w14:textFill>
                  <w14:solidFill>
                    <w14:schemeClr w14:val="tx1"/>
                  </w14:solidFill>
                </w14:textFill>
              </w:rPr>
              <w:t>t/a，排放速率为0.</w:t>
            </w:r>
            <w:r>
              <w:rPr>
                <w:rFonts w:hint="eastAsia"/>
                <w:color w:val="000000" w:themeColor="text1"/>
                <w:sz w:val="24"/>
                <w:lang w:val="en-US" w:eastAsia="zh-CN"/>
                <w14:textFill>
                  <w14:solidFill>
                    <w14:schemeClr w14:val="tx1"/>
                  </w14:solidFill>
                </w14:textFill>
              </w:rPr>
              <w:t>062</w:t>
            </w:r>
            <w:r>
              <w:rPr>
                <w:rFonts w:hint="eastAsia"/>
                <w:color w:val="000000" w:themeColor="text1"/>
                <w:sz w:val="24"/>
                <w14:textFill>
                  <w14:solidFill>
                    <w14:schemeClr w14:val="tx1"/>
                  </w14:solidFill>
                </w14:textFill>
              </w:rPr>
              <w:t>kg/h。</w:t>
            </w:r>
          </w:p>
          <w:p>
            <w:pPr>
              <w:spacing w:line="360" w:lineRule="auto"/>
              <w:ind w:firstLine="480" w:firstLineChars="200"/>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封边用胶产生的废气</w:t>
            </w:r>
          </w:p>
          <w:p>
            <w:pPr>
              <w:spacing w:line="360" w:lineRule="auto"/>
              <w:ind w:firstLine="480" w:firstLineChars="200"/>
              <w:rPr>
                <w:rFonts w:hint="eastAsia" w:eastAsia="宋体"/>
                <w:sz w:val="24"/>
                <w:lang w:val="en-US" w:eastAsia="zh-CN"/>
              </w:rPr>
            </w:pPr>
            <w:r>
              <w:rPr>
                <w:rFonts w:ascii="宋体" w:hAnsi="宋体" w:cs="宋体"/>
                <w:sz w:val="24"/>
              </w:rPr>
              <w:t>本项目热熔胶都是用来粘接</w:t>
            </w:r>
            <w:r>
              <w:rPr>
                <w:rFonts w:hint="eastAsia" w:ascii="宋体" w:hAnsi="宋体" w:cs="宋体"/>
                <w:sz w:val="24"/>
              </w:rPr>
              <w:t>木边</w:t>
            </w:r>
            <w:r>
              <w:rPr>
                <w:rFonts w:ascii="宋体" w:hAnsi="宋体" w:cs="宋体"/>
                <w:sz w:val="24"/>
              </w:rPr>
              <w:t>的</w:t>
            </w:r>
            <w:r>
              <w:rPr>
                <w:rFonts w:hint="eastAsia" w:ascii="宋体" w:hAnsi="宋体" w:cs="宋体"/>
                <w:sz w:val="24"/>
              </w:rPr>
              <w:t>，</w:t>
            </w:r>
            <w:r>
              <w:rPr>
                <w:sz w:val="24"/>
              </w:rPr>
              <w:t>参照《排放源统计调查产排污核算方法和系数手册》219 其他家具制造行业系数手册其他家具（座椅、床垫等）施胶工序用胶可知</w:t>
            </w:r>
            <w:r>
              <w:rPr>
                <w:rFonts w:hint="eastAsia"/>
                <w:color w:val="000000" w:themeColor="text1"/>
                <w:sz w:val="24"/>
                <w14:textFill>
                  <w14:solidFill>
                    <w14:schemeClr w14:val="tx1"/>
                  </w14:solidFill>
                </w14:textFill>
              </w:rPr>
              <w:t>非甲烷总烃</w:t>
            </w:r>
            <w:r>
              <w:rPr>
                <w:sz w:val="24"/>
              </w:rPr>
              <w:t>产污系数为</w:t>
            </w:r>
            <w:r>
              <w:rPr>
                <w:rFonts w:hint="eastAsia"/>
                <w:sz w:val="24"/>
              </w:rPr>
              <w:t>52.4</w:t>
            </w:r>
            <w:r>
              <w:rPr>
                <w:sz w:val="24"/>
              </w:rPr>
              <w:t>千克/吨-产品</w:t>
            </w:r>
            <w:r>
              <w:rPr>
                <w:rFonts w:hint="eastAsia"/>
                <w:sz w:val="24"/>
              </w:rPr>
              <w:t>，</w:t>
            </w:r>
            <w:r>
              <w:rPr>
                <w:color w:val="000000" w:themeColor="text1"/>
                <w:sz w:val="24"/>
                <w14:textFill>
                  <w14:solidFill>
                    <w14:schemeClr w14:val="tx1"/>
                  </w14:solidFill>
                </w14:textFill>
              </w:rPr>
              <w:t>本项目</w:t>
            </w:r>
            <w:r>
              <w:rPr>
                <w:rFonts w:ascii="宋体" w:hAnsi="宋体" w:cs="宋体"/>
                <w:sz w:val="24"/>
              </w:rPr>
              <w:t>热熔胶</w:t>
            </w:r>
            <w:r>
              <w:rPr>
                <w:color w:val="000000" w:themeColor="text1"/>
                <w:sz w:val="24"/>
                <w14:textFill>
                  <w14:solidFill>
                    <w14:schemeClr w14:val="tx1"/>
                  </w14:solidFill>
                </w14:textFill>
              </w:rPr>
              <w:t>的使用量为</w:t>
            </w:r>
            <w:r>
              <w:rPr>
                <w:rFonts w:hint="eastAsia"/>
                <w:color w:val="000000" w:themeColor="text1"/>
                <w:sz w:val="24"/>
                <w:lang w:val="en-US" w:eastAsia="zh-CN"/>
                <w14:textFill>
                  <w14:solidFill>
                    <w14:schemeClr w14:val="tx1"/>
                  </w14:solidFill>
                </w14:textFill>
              </w:rPr>
              <w:t>8</w:t>
            </w:r>
            <w:r>
              <w:rPr>
                <w:color w:val="000000" w:themeColor="text1"/>
                <w:sz w:val="24"/>
                <w14:textFill>
                  <w14:solidFill>
                    <w14:schemeClr w14:val="tx1"/>
                  </w14:solidFill>
                </w14:textFill>
              </w:rPr>
              <w:t>t/a，则</w:t>
            </w:r>
            <w:r>
              <w:rPr>
                <w:rFonts w:hint="eastAsia"/>
                <w:color w:val="000000" w:themeColor="text1"/>
                <w:sz w:val="24"/>
                <w14:textFill>
                  <w14:solidFill>
                    <w14:schemeClr w14:val="tx1"/>
                  </w14:solidFill>
                </w14:textFill>
              </w:rPr>
              <w:t>非甲烷总烃</w:t>
            </w:r>
            <w:r>
              <w:rPr>
                <w:color w:val="000000" w:themeColor="text1"/>
                <w:sz w:val="24"/>
                <w14:textFill>
                  <w14:solidFill>
                    <w14:schemeClr w14:val="tx1"/>
                  </w14:solidFill>
                </w14:textFill>
              </w:rPr>
              <w:t>产生量为</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42</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r>
              <w:rPr>
                <w:color w:val="000000" w:themeColor="text1"/>
                <w:sz w:val="24"/>
                <w:szCs w:val="24"/>
                <w14:textFill>
                  <w14:solidFill>
                    <w14:schemeClr w14:val="tx1"/>
                  </w14:solidFill>
                </w14:textFill>
              </w:rPr>
              <w:t>产生的废气经</w:t>
            </w:r>
            <w:r>
              <w:rPr>
                <w:rFonts w:hint="eastAsia"/>
                <w:color w:val="000000" w:themeColor="text1"/>
                <w:sz w:val="24"/>
                <w:szCs w:val="24"/>
                <w:lang w:val="en-US" w:eastAsia="zh-CN"/>
                <w14:textFill>
                  <w14:solidFill>
                    <w14:schemeClr w14:val="tx1"/>
                  </w14:solidFill>
                </w14:textFill>
              </w:rPr>
              <w:t>集气罩</w:t>
            </w:r>
            <w:r>
              <w:rPr>
                <w:rFonts w:hint="eastAsia"/>
                <w:sz w:val="24"/>
              </w:rPr>
              <w:t>收集</w:t>
            </w:r>
            <w:r>
              <w:rPr>
                <w:rFonts w:hint="eastAsia"/>
                <w:color w:val="000000" w:themeColor="text1"/>
                <w:sz w:val="24"/>
                <w:szCs w:val="24"/>
                <w:lang w:val="en-US" w:eastAsia="zh-CN"/>
                <w14:textFill>
                  <w14:solidFill>
                    <w14:schemeClr w14:val="tx1"/>
                  </w14:solidFill>
                </w14:textFill>
              </w:rPr>
              <w:t>由</w:t>
            </w:r>
            <w:r>
              <w:rPr>
                <w:rFonts w:hint="eastAsia"/>
                <w:color w:val="000000" w:themeColor="text1"/>
                <w:sz w:val="24"/>
                <w:szCs w:val="24"/>
                <w14:textFill>
                  <w14:solidFill>
                    <w14:schemeClr w14:val="tx1"/>
                  </w14:solidFill>
                </w14:textFill>
              </w:rPr>
              <w:t>二级</w:t>
            </w:r>
            <w:r>
              <w:rPr>
                <w:color w:val="000000" w:themeColor="text1"/>
                <w:sz w:val="24"/>
                <w:szCs w:val="24"/>
                <w14:textFill>
                  <w14:solidFill>
                    <w14:schemeClr w14:val="tx1"/>
                  </w14:solidFill>
                </w14:textFill>
              </w:rPr>
              <w:t>活性炭吸附装置进行吸附处</w:t>
            </w:r>
            <w:r>
              <w:rPr>
                <w:color w:val="000000" w:themeColor="text1"/>
                <w:sz w:val="24"/>
                <w14:textFill>
                  <w14:solidFill>
                    <w14:schemeClr w14:val="tx1"/>
                  </w14:solidFill>
                </w14:textFill>
              </w:rPr>
              <w:t>理后，通过15m高的排</w:t>
            </w:r>
            <w:r>
              <w:rPr>
                <w:color w:val="000000" w:themeColor="text1"/>
                <w:sz w:val="24"/>
                <w:szCs w:val="24"/>
                <w14:textFill>
                  <w14:solidFill>
                    <w14:schemeClr w14:val="tx1"/>
                  </w14:solidFill>
                </w14:textFill>
              </w:rPr>
              <w:t>气筒</w:t>
            </w:r>
            <w:r>
              <w:rPr>
                <w:rFonts w:hint="eastAsia"/>
                <w:sz w:val="24"/>
                <w:szCs w:val="24"/>
              </w:rPr>
              <w:t>（</w:t>
            </w:r>
            <w:r>
              <w:rPr>
                <w:rFonts w:hint="eastAsia"/>
                <w:sz w:val="24"/>
                <w:szCs w:val="24"/>
                <w:lang w:val="en-US" w:eastAsia="zh-CN"/>
              </w:rPr>
              <w:t>DA002</w:t>
            </w:r>
            <w:r>
              <w:rPr>
                <w:rFonts w:hint="eastAsia"/>
                <w:sz w:val="24"/>
                <w:szCs w:val="24"/>
              </w:rPr>
              <w:t>）</w:t>
            </w:r>
            <w:r>
              <w:rPr>
                <w:color w:val="000000" w:themeColor="text1"/>
                <w:sz w:val="24"/>
                <w:szCs w:val="24"/>
                <w14:textFill>
                  <w14:solidFill>
                    <w14:schemeClr w14:val="tx1"/>
                  </w14:solidFill>
                </w14:textFill>
              </w:rPr>
              <w:t>排</w:t>
            </w:r>
            <w:r>
              <w:rPr>
                <w:rFonts w:hint="eastAsia"/>
                <w:color w:val="000000" w:themeColor="text1"/>
                <w:sz w:val="24"/>
                <w:szCs w:val="24"/>
                <w14:textFill>
                  <w14:solidFill>
                    <w14:schemeClr w14:val="tx1"/>
                  </w14:solidFill>
                </w14:textFill>
              </w:rPr>
              <w:t>放</w:t>
            </w:r>
            <w:r>
              <w:rPr>
                <w:rFonts w:hint="eastAsia"/>
                <w:color w:val="000000" w:themeColor="text1"/>
                <w:sz w:val="24"/>
                <w:szCs w:val="24"/>
                <w:lang w:eastAsia="zh-CN"/>
                <w14:textFill>
                  <w14:solidFill>
                    <w14:schemeClr w14:val="tx1"/>
                  </w14:solidFill>
                </w14:textFill>
              </w:rPr>
              <w:t>，</w:t>
            </w:r>
            <w:r>
              <w:rPr>
                <w:rFonts w:hint="eastAsia"/>
                <w:color w:val="000000" w:themeColor="text1"/>
                <w:sz w:val="24"/>
                <w14:textFill>
                  <w14:solidFill>
                    <w14:schemeClr w14:val="tx1"/>
                  </w14:solidFill>
                </w14:textFill>
              </w:rPr>
              <w:t>风机风量为8000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/h</w:t>
            </w:r>
            <w:r>
              <w:rPr>
                <w:rFonts w:hint="eastAsia"/>
                <w:color w:val="000000" w:themeColor="text1"/>
                <w:sz w:val="24"/>
                <w14:textFill>
                  <w14:solidFill>
                    <w14:schemeClr w14:val="tx1"/>
                  </w14:solidFill>
                </w14:textFill>
              </w:rPr>
              <w:t>，</w:t>
            </w:r>
            <w:r>
              <w:rPr>
                <w:rFonts w:hint="eastAsia"/>
                <w:sz w:val="24"/>
              </w:rPr>
              <w:t>集气罩废气收集效率为90%</w:t>
            </w:r>
            <w:r>
              <w:rPr>
                <w:rFonts w:hint="eastAsia"/>
                <w:sz w:val="24"/>
                <w:lang w:eastAsia="zh-CN"/>
              </w:rPr>
              <w:t>，</w:t>
            </w:r>
            <w:r>
              <w:rPr>
                <w:rFonts w:hint="eastAsia"/>
                <w:color w:val="000000" w:themeColor="text1"/>
                <w:sz w:val="24"/>
                <w14:textFill>
                  <w14:solidFill>
                    <w14:schemeClr w14:val="tx1"/>
                  </w14:solidFill>
                </w14:textFill>
              </w:rPr>
              <w:t>则非甲烷总烃有组织产生量为0.</w:t>
            </w:r>
            <w:r>
              <w:rPr>
                <w:rFonts w:hint="eastAsia"/>
                <w:color w:val="000000" w:themeColor="text1"/>
                <w:sz w:val="24"/>
                <w:lang w:val="en-US" w:eastAsia="zh-CN"/>
                <w14:textFill>
                  <w14:solidFill>
                    <w14:schemeClr w14:val="tx1"/>
                  </w14:solidFill>
                </w14:textFill>
              </w:rPr>
              <w:t>378</w:t>
            </w:r>
            <w:r>
              <w:rPr>
                <w:rFonts w:hint="eastAsia"/>
                <w:color w:val="000000" w:themeColor="text1"/>
                <w:sz w:val="24"/>
                <w14:textFill>
                  <w14:solidFill>
                    <w14:schemeClr w14:val="tx1"/>
                  </w14:solidFill>
                </w14:textFill>
              </w:rPr>
              <w:t>t/a，产生速率0.</w:t>
            </w:r>
            <w:r>
              <w:rPr>
                <w:rFonts w:hint="eastAsia"/>
                <w:color w:val="000000" w:themeColor="text1"/>
                <w:sz w:val="24"/>
                <w:lang w:val="en-US" w:eastAsia="zh-CN"/>
                <w14:textFill>
                  <w14:solidFill>
                    <w14:schemeClr w14:val="tx1"/>
                  </w14:solidFill>
                </w14:textFill>
              </w:rPr>
              <w:t>158</w:t>
            </w:r>
            <w:r>
              <w:rPr>
                <w:rFonts w:hint="eastAsia"/>
                <w:color w:val="000000" w:themeColor="text1"/>
                <w:sz w:val="24"/>
                <w14:textFill>
                  <w14:solidFill>
                    <w14:schemeClr w14:val="tx1"/>
                  </w14:solidFill>
                </w14:textFill>
              </w:rPr>
              <w:t>kg/h，产生浓度1</w:t>
            </w:r>
            <w:r>
              <w:rPr>
                <w:rFonts w:hint="eastAsia"/>
                <w:color w:val="000000" w:themeColor="text1"/>
                <w:sz w:val="24"/>
                <w:lang w:val="en-US" w:eastAsia="zh-CN"/>
                <w14:textFill>
                  <w14:solidFill>
                    <w14:schemeClr w14:val="tx1"/>
                  </w14:solidFill>
                </w14:textFill>
              </w:rPr>
              <w:t>9</w:t>
            </w:r>
            <w:r>
              <w:rPr>
                <w:rFonts w:hint="eastAsia"/>
                <w:color w:val="000000" w:themeColor="text1"/>
                <w:sz w:val="24"/>
                <w14:textFill>
                  <w14:solidFill>
                    <w14:schemeClr w14:val="tx1"/>
                  </w14:solidFill>
                </w14:textFill>
              </w:rPr>
              <w:t>.75mg/m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，二级活性炭处理效率为90%，则非甲烷总烃排放量为0.</w:t>
            </w:r>
            <w:r>
              <w:rPr>
                <w:rFonts w:hint="eastAsia"/>
                <w:color w:val="000000" w:themeColor="text1"/>
                <w:sz w:val="24"/>
                <w:lang w:val="en-US" w:eastAsia="zh-CN"/>
                <w14:textFill>
                  <w14:solidFill>
                    <w14:schemeClr w14:val="tx1"/>
                  </w14:solidFill>
                </w14:textFill>
              </w:rPr>
              <w:t>038</w:t>
            </w:r>
            <w:r>
              <w:rPr>
                <w:rFonts w:hint="eastAsia"/>
                <w:color w:val="000000" w:themeColor="text1"/>
                <w:sz w:val="24"/>
                <w14:textFill>
                  <w14:solidFill>
                    <w14:schemeClr w14:val="tx1"/>
                  </w14:solidFill>
                </w14:textFill>
              </w:rPr>
              <w:t>t/a，排放速率0.</w:t>
            </w:r>
            <w:r>
              <w:rPr>
                <w:rFonts w:hint="eastAsia"/>
                <w:color w:val="000000" w:themeColor="text1"/>
                <w:sz w:val="24"/>
                <w:lang w:val="en-US" w:eastAsia="zh-CN"/>
                <w14:textFill>
                  <w14:solidFill>
                    <w14:schemeClr w14:val="tx1"/>
                  </w14:solidFill>
                </w14:textFill>
              </w:rPr>
              <w:t>016</w:t>
            </w:r>
            <w:r>
              <w:rPr>
                <w:rFonts w:hint="eastAsia"/>
                <w:color w:val="000000" w:themeColor="text1"/>
                <w:sz w:val="24"/>
                <w14:textFill>
                  <w14:solidFill>
                    <w14:schemeClr w14:val="tx1"/>
                  </w14:solidFill>
                </w14:textFill>
              </w:rPr>
              <w:t>kg/h，排放浓度1</w:t>
            </w:r>
            <w:r>
              <w:rPr>
                <w:rFonts w:hint="eastAsia"/>
                <w:color w:val="000000" w:themeColor="text1"/>
                <w:sz w:val="24"/>
                <w:lang w:val="en-US" w:eastAsia="zh-CN"/>
                <w14:textFill>
                  <w14:solidFill>
                    <w14:schemeClr w14:val="tx1"/>
                  </w14:solidFill>
                </w14:textFill>
              </w:rPr>
              <w:t>.98</w:t>
            </w:r>
            <w:r>
              <w:rPr>
                <w:rFonts w:hint="eastAsia"/>
                <w:color w:val="000000" w:themeColor="text1"/>
                <w:sz w:val="24"/>
                <w14:textFill>
                  <w14:solidFill>
                    <w14:schemeClr w14:val="tx1"/>
                  </w14:solidFill>
                </w14:textFill>
              </w:rPr>
              <w:t>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w:t>
            </w:r>
          </w:p>
          <w:p>
            <w:pPr>
              <w:adjustRightInd w:val="0"/>
              <w:snapToGrid w:val="0"/>
              <w:spacing w:line="360" w:lineRule="auto"/>
              <w:ind w:firstLine="480" w:firstLineChars="200"/>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粉尘</w:t>
            </w:r>
          </w:p>
          <w:p>
            <w:pPr>
              <w:adjustRightInd w:val="0"/>
              <w:snapToGrid w:val="0"/>
              <w:spacing w:line="360" w:lineRule="auto"/>
              <w:ind w:firstLine="480" w:firstLineChars="200"/>
              <w:rPr>
                <w:rFonts w:hint="eastAsia" w:eastAsia="宋体"/>
                <w:sz w:val="24"/>
                <w:lang w:val="en-US" w:eastAsia="zh-CN"/>
              </w:rPr>
            </w:pPr>
            <w:r>
              <w:rPr>
                <w:sz w:val="24"/>
              </w:rPr>
              <w:t>本项目在下料、雕刻、</w:t>
            </w:r>
            <w:r>
              <w:rPr>
                <w:rFonts w:ascii="宋体" w:hAnsi="宋体" w:cs="宋体"/>
                <w:sz w:val="24"/>
              </w:rPr>
              <w:t>修边</w:t>
            </w:r>
            <w:r>
              <w:rPr>
                <w:sz w:val="24"/>
              </w:rPr>
              <w:t>、</w:t>
            </w:r>
            <w:r>
              <w:rPr>
                <w:rFonts w:ascii="宋体" w:hAnsi="宋体" w:cs="宋体"/>
                <w:sz w:val="24"/>
              </w:rPr>
              <w:t>打磨</w:t>
            </w:r>
            <w:r>
              <w:rPr>
                <w:sz w:val="24"/>
              </w:rPr>
              <w:t>会产生粉尘</w:t>
            </w:r>
            <w:r>
              <w:rPr>
                <w:rFonts w:hint="eastAsia"/>
                <w:sz w:val="24"/>
              </w:rPr>
              <w:t>，依据《</w:t>
            </w:r>
            <w:r>
              <w:rPr>
                <w:sz w:val="24"/>
              </w:rPr>
              <w:t>排放源统计调查产排污核算方法和系数手册</w:t>
            </w:r>
            <w:r>
              <w:rPr>
                <w:rFonts w:hint="eastAsia"/>
                <w:sz w:val="24"/>
              </w:rPr>
              <w:t>》中21-家具制造系数手册</w:t>
            </w:r>
            <w:r>
              <w:rPr>
                <w:rFonts w:ascii="宋体" w:hAnsi="宋体" w:cs="宋体"/>
                <w:sz w:val="24"/>
              </w:rPr>
              <w:t>木质家具制造行业系数表</w:t>
            </w:r>
            <w:r>
              <w:rPr>
                <w:rFonts w:hint="eastAsia"/>
                <w:sz w:val="24"/>
              </w:rPr>
              <w:t>，木制家具粉尘产污系数为150克/立方米-原料，</w:t>
            </w:r>
            <w:r>
              <w:rPr>
                <w:rFonts w:ascii="宋体" w:hAnsi="宋体" w:cs="宋体"/>
                <w:sz w:val="24"/>
              </w:rPr>
              <w:t>由企业提供的资料</w:t>
            </w:r>
            <w:r>
              <w:rPr>
                <w:rFonts w:hint="eastAsia" w:ascii="宋体" w:hAnsi="宋体" w:cs="宋体"/>
                <w:sz w:val="24"/>
              </w:rPr>
              <w:t>，</w:t>
            </w:r>
            <w:r>
              <w:rPr>
                <w:rFonts w:ascii="宋体" w:hAnsi="宋体" w:cs="宋体"/>
                <w:sz w:val="24"/>
              </w:rPr>
              <w:t>艺术切片家居座椅</w:t>
            </w:r>
            <w:r>
              <w:rPr>
                <w:sz w:val="24"/>
              </w:rPr>
              <w:t>一年</w:t>
            </w:r>
            <w:r>
              <w:rPr>
                <w:rFonts w:ascii="宋体" w:hAnsi="宋体" w:cs="宋体"/>
                <w:sz w:val="24"/>
              </w:rPr>
              <w:t>使用板材约</w:t>
            </w:r>
            <w:r>
              <w:rPr>
                <w:sz w:val="24"/>
              </w:rPr>
              <w:t>为</w:t>
            </w:r>
            <w:r>
              <w:rPr>
                <w:rFonts w:hint="eastAsia"/>
                <w:sz w:val="24"/>
              </w:rPr>
              <w:t>1728</w:t>
            </w:r>
            <w:r>
              <w:rPr>
                <w:rFonts w:hint="eastAsia"/>
                <w:sz w:val="24"/>
                <w:lang w:val="en-US" w:eastAsia="zh-CN"/>
              </w:rPr>
              <w:t>0</w:t>
            </w:r>
            <w:r>
              <w:rPr>
                <w:rFonts w:hint="eastAsia"/>
                <w:sz w:val="24"/>
              </w:rPr>
              <w:t>立方米，则</w:t>
            </w:r>
            <w:r>
              <w:rPr>
                <w:sz w:val="24"/>
              </w:rPr>
              <w:t>下料、雕刻、</w:t>
            </w:r>
            <w:r>
              <w:rPr>
                <w:rFonts w:ascii="宋体" w:hAnsi="宋体" w:cs="宋体"/>
                <w:sz w:val="24"/>
              </w:rPr>
              <w:t>修边</w:t>
            </w:r>
            <w:r>
              <w:rPr>
                <w:sz w:val="24"/>
              </w:rPr>
              <w:t>、</w:t>
            </w:r>
            <w:r>
              <w:rPr>
                <w:rFonts w:ascii="宋体" w:hAnsi="宋体" w:cs="宋体"/>
                <w:sz w:val="24"/>
              </w:rPr>
              <w:t>打磨</w:t>
            </w:r>
            <w:r>
              <w:rPr>
                <w:rFonts w:hint="eastAsia"/>
                <w:sz w:val="24"/>
              </w:rPr>
              <w:t>粉尘的产生量为2</w:t>
            </w:r>
            <w:r>
              <w:rPr>
                <w:rFonts w:hint="eastAsia"/>
                <w:sz w:val="24"/>
                <w:lang w:val="en-US" w:eastAsia="zh-CN"/>
              </w:rPr>
              <w:t>.</w:t>
            </w:r>
            <w:r>
              <w:rPr>
                <w:rFonts w:hint="eastAsia"/>
                <w:sz w:val="24"/>
              </w:rPr>
              <w:t>59t/a，年加工时间为2400小时</w:t>
            </w:r>
            <w:r>
              <w:rPr>
                <w:sz w:val="24"/>
              </w:rPr>
              <w:t>，</w:t>
            </w:r>
            <w:r>
              <w:rPr>
                <w:rFonts w:hint="eastAsia"/>
                <w:sz w:val="24"/>
              </w:rPr>
              <w:t>项目采用集气罩收集，经管道进入一套布袋除尘器处理产生的粉尘，</w:t>
            </w:r>
            <w:r>
              <w:rPr>
                <w:rFonts w:ascii="宋体" w:hAnsi="宋体" w:cs="宋体"/>
                <w:sz w:val="24"/>
              </w:rPr>
              <w:t>收集的粉尘经一</w:t>
            </w:r>
            <w:r>
              <w:rPr>
                <w:sz w:val="24"/>
              </w:rPr>
              <w:t>根15米高排</w:t>
            </w:r>
            <w:r>
              <w:rPr>
                <w:rFonts w:ascii="宋体" w:hAnsi="宋体" w:cs="宋体"/>
                <w:sz w:val="24"/>
              </w:rPr>
              <w:t>气</w:t>
            </w:r>
            <w:r>
              <w:rPr>
                <w:rFonts w:hint="eastAsia" w:ascii="宋体" w:hAnsi="宋体" w:cs="宋体"/>
                <w:sz w:val="24"/>
              </w:rPr>
              <w:t>筒</w:t>
            </w:r>
            <w:r>
              <w:rPr>
                <w:rFonts w:hint="eastAsia"/>
                <w:sz w:val="24"/>
                <w:szCs w:val="24"/>
              </w:rPr>
              <w:t>（</w:t>
            </w:r>
            <w:r>
              <w:rPr>
                <w:rFonts w:hint="eastAsia"/>
                <w:sz w:val="24"/>
                <w:szCs w:val="24"/>
                <w:lang w:val="en-US" w:eastAsia="zh-CN"/>
              </w:rPr>
              <w:t>DA001</w:t>
            </w:r>
            <w:r>
              <w:rPr>
                <w:rFonts w:hint="eastAsia"/>
                <w:sz w:val="24"/>
                <w:szCs w:val="24"/>
              </w:rPr>
              <w:t>）</w:t>
            </w:r>
            <w:r>
              <w:rPr>
                <w:rFonts w:ascii="宋体" w:hAnsi="宋体" w:cs="宋体"/>
                <w:sz w:val="24"/>
              </w:rPr>
              <w:t>排放</w:t>
            </w:r>
            <w:r>
              <w:rPr>
                <w:rFonts w:hint="eastAsia"/>
                <w:sz w:val="24"/>
              </w:rPr>
              <w:t>，风机风量为5000</w:t>
            </w:r>
            <w:r>
              <w:rPr>
                <w:sz w:val="24"/>
              </w:rPr>
              <w:t>m</w:t>
            </w:r>
            <w:r>
              <w:rPr>
                <w:sz w:val="24"/>
                <w:vertAlign w:val="superscript"/>
              </w:rPr>
              <w:t>3</w:t>
            </w:r>
            <w:r>
              <w:rPr>
                <w:sz w:val="24"/>
              </w:rPr>
              <w:t>/h</w:t>
            </w:r>
            <w:r>
              <w:rPr>
                <w:rFonts w:hint="eastAsia"/>
                <w:sz w:val="24"/>
              </w:rPr>
              <w:t>，集气罩废气收集效率为90%，布袋除尘器的除尘效率为9</w:t>
            </w:r>
            <w:r>
              <w:rPr>
                <w:rFonts w:hint="eastAsia"/>
                <w:sz w:val="24"/>
                <w:lang w:val="en-US" w:eastAsia="zh-CN"/>
              </w:rPr>
              <w:t>7</w:t>
            </w:r>
            <w:r>
              <w:rPr>
                <w:rFonts w:hint="eastAsia"/>
                <w:sz w:val="24"/>
              </w:rPr>
              <w:t>%，项目有组织粉尘产生量为2</w:t>
            </w:r>
            <w:r>
              <w:rPr>
                <w:rFonts w:hint="eastAsia"/>
                <w:sz w:val="24"/>
                <w:lang w:val="en-US" w:eastAsia="zh-CN"/>
              </w:rPr>
              <w:t>.</w:t>
            </w:r>
            <w:r>
              <w:rPr>
                <w:rFonts w:hint="eastAsia"/>
                <w:sz w:val="24"/>
              </w:rPr>
              <w:t>33t/a，产生速率为0</w:t>
            </w:r>
            <w:r>
              <w:rPr>
                <w:rFonts w:hint="eastAsia"/>
                <w:sz w:val="24"/>
                <w:lang w:val="en-US" w:eastAsia="zh-CN"/>
              </w:rPr>
              <w:t>.</w:t>
            </w:r>
            <w:r>
              <w:rPr>
                <w:rFonts w:hint="eastAsia"/>
                <w:sz w:val="24"/>
              </w:rPr>
              <w:t>97kg/h，产生浓度为194mg/m</w:t>
            </w:r>
            <w:r>
              <w:rPr>
                <w:rFonts w:hint="eastAsia"/>
                <w:sz w:val="24"/>
                <w:vertAlign w:val="superscript"/>
              </w:rPr>
              <w:t>3</w:t>
            </w:r>
            <w:r>
              <w:rPr>
                <w:rFonts w:hint="eastAsia"/>
                <w:sz w:val="24"/>
              </w:rPr>
              <w:t>，有组织粉尘排放量为0.0</w:t>
            </w:r>
            <w:r>
              <w:rPr>
                <w:rFonts w:hint="eastAsia"/>
                <w:sz w:val="24"/>
                <w:lang w:val="en-US" w:eastAsia="zh-CN"/>
              </w:rPr>
              <w:t>69</w:t>
            </w:r>
            <w:r>
              <w:rPr>
                <w:rFonts w:hint="eastAsia"/>
                <w:sz w:val="24"/>
              </w:rPr>
              <w:t>t/a，排放速率为0.0</w:t>
            </w:r>
            <w:r>
              <w:rPr>
                <w:rFonts w:hint="eastAsia"/>
                <w:sz w:val="24"/>
                <w:lang w:val="en-US" w:eastAsia="zh-CN"/>
              </w:rPr>
              <w:t>29</w:t>
            </w:r>
            <w:r>
              <w:rPr>
                <w:rFonts w:hint="eastAsia"/>
                <w:sz w:val="24"/>
              </w:rPr>
              <w:t>kg/h，排放浓度为</w:t>
            </w:r>
            <w:r>
              <w:rPr>
                <w:rFonts w:hint="eastAsia"/>
                <w:sz w:val="24"/>
                <w:lang w:val="en-US" w:eastAsia="zh-CN"/>
              </w:rPr>
              <w:t>5.8</w:t>
            </w:r>
            <w:r>
              <w:rPr>
                <w:rFonts w:hint="eastAsia"/>
                <w:sz w:val="24"/>
              </w:rPr>
              <w:t>mg/m</w:t>
            </w:r>
            <w:r>
              <w:rPr>
                <w:rFonts w:hint="eastAsia"/>
                <w:sz w:val="24"/>
                <w:vertAlign w:val="superscript"/>
              </w:rPr>
              <w:t>3</w:t>
            </w:r>
            <w:r>
              <w:rPr>
                <w:rFonts w:hint="eastAsia"/>
                <w:bCs/>
                <w:sz w:val="24"/>
              </w:rPr>
              <w:t>。</w:t>
            </w:r>
          </w:p>
          <w:p>
            <w:pPr>
              <w:spacing w:line="360" w:lineRule="auto"/>
              <w:ind w:firstLine="480" w:firstLineChars="200"/>
              <w:jc w:val="left"/>
              <w:rPr>
                <w:rFonts w:ascii="宋体" w:hAnsi="宋体" w:cs="宋体"/>
                <w:sz w:val="24"/>
                <w:szCs w:val="24"/>
              </w:rPr>
            </w:pPr>
            <w:r>
              <w:rPr>
                <w:sz w:val="24"/>
                <w:szCs w:val="24"/>
              </w:rPr>
              <w:t>2、废气</w:t>
            </w:r>
            <w:r>
              <w:rPr>
                <w:rFonts w:ascii="宋体" w:hAnsi="宋体" w:cs="宋体"/>
                <w:sz w:val="24"/>
                <w:szCs w:val="24"/>
              </w:rPr>
              <w:t>处理措施可行性分析</w:t>
            </w:r>
          </w:p>
          <w:p>
            <w:pPr>
              <w:pStyle w:val="2"/>
              <w:spacing w:before="0" w:after="0" w:line="360" w:lineRule="auto"/>
              <w:ind w:firstLine="480" w:firstLineChars="200"/>
              <w:rPr>
                <w:b/>
                <w:bCs/>
                <w:sz w:val="24"/>
              </w:rPr>
            </w:pPr>
            <w:r>
              <w:rPr>
                <w:rFonts w:ascii="宋体" w:hAnsi="宋体" w:cs="宋体"/>
                <w:sz w:val="24"/>
                <w:szCs w:val="24"/>
              </w:rPr>
              <w:t>废气处理措施可行性分析：</w:t>
            </w:r>
            <w:r>
              <w:rPr>
                <w:rFonts w:hint="eastAsia" w:ascii="宋体" w:hAnsi="宋体" w:cs="宋体"/>
                <w:bCs/>
                <w:spacing w:val="-10"/>
                <w:sz w:val="24"/>
                <w:szCs w:val="24"/>
              </w:rPr>
              <w:t>本项目使用的废气处理措施采用</w:t>
            </w:r>
            <w:r>
              <w:rPr>
                <w:bCs/>
                <w:sz w:val="24"/>
                <w:szCs w:val="24"/>
              </w:rPr>
              <w:t>《</w:t>
            </w:r>
            <w:r>
              <w:rPr>
                <w:rFonts w:ascii="宋体" w:hAnsi="宋体" w:cs="宋体"/>
                <w:sz w:val="24"/>
                <w:szCs w:val="24"/>
              </w:rPr>
              <w:t>排污许可证申请与核发技术规范</w:t>
            </w:r>
            <w:r>
              <w:rPr>
                <w:rFonts w:hint="eastAsia" w:ascii="宋体" w:hAnsi="宋体" w:cs="宋体"/>
                <w:sz w:val="24"/>
                <w:szCs w:val="24"/>
              </w:rPr>
              <w:t xml:space="preserve"> 总则</w:t>
            </w:r>
            <w:r>
              <w:rPr>
                <w:bCs/>
                <w:sz w:val="24"/>
                <w:szCs w:val="24"/>
              </w:rPr>
              <w:t>》（HJ</w:t>
            </w:r>
            <w:r>
              <w:rPr>
                <w:rFonts w:hint="eastAsia"/>
                <w:bCs/>
                <w:sz w:val="24"/>
                <w:szCs w:val="24"/>
              </w:rPr>
              <w:t>942</w:t>
            </w:r>
            <w:r>
              <w:rPr>
                <w:bCs/>
                <w:sz w:val="24"/>
                <w:szCs w:val="24"/>
              </w:rPr>
              <w:t>-20</w:t>
            </w:r>
            <w:r>
              <w:rPr>
                <w:rFonts w:hint="eastAsia"/>
                <w:bCs/>
                <w:sz w:val="24"/>
                <w:szCs w:val="24"/>
              </w:rPr>
              <w:t>18</w:t>
            </w:r>
            <w:r>
              <w:rPr>
                <w:bCs/>
                <w:sz w:val="24"/>
                <w:szCs w:val="24"/>
              </w:rPr>
              <w:t>）和</w:t>
            </w:r>
            <w:r>
              <w:rPr>
                <w:sz w:val="24"/>
              </w:rPr>
              <w:t>《</w:t>
            </w:r>
            <w:r>
              <w:rPr>
                <w:rFonts w:ascii="宋体" w:hAnsi="宋体" w:cs="宋体"/>
                <w:sz w:val="24"/>
              </w:rPr>
              <w:t>排污许可证申请与核发技术规范</w:t>
            </w:r>
            <w:r>
              <w:rPr>
                <w:rFonts w:hint="eastAsia" w:ascii="宋体" w:hAnsi="宋体" w:cs="宋体"/>
                <w:sz w:val="24"/>
              </w:rPr>
              <w:t xml:space="preserve"> </w:t>
            </w:r>
            <w:r>
              <w:rPr>
                <w:rFonts w:ascii="宋体" w:hAnsi="宋体" w:cs="宋体"/>
                <w:sz w:val="24"/>
                <w:szCs w:val="24"/>
              </w:rPr>
              <w:t>家具制造工业</w:t>
            </w:r>
            <w:r>
              <w:rPr>
                <w:sz w:val="24"/>
              </w:rPr>
              <w:t>》（</w:t>
            </w:r>
            <w:r>
              <w:rPr>
                <w:rFonts w:hint="eastAsia"/>
                <w:sz w:val="24"/>
              </w:rPr>
              <w:t>HJ 1027—2019 2019-05-31实施</w:t>
            </w:r>
            <w:r>
              <w:rPr>
                <w:sz w:val="24"/>
              </w:rPr>
              <w:t>）</w:t>
            </w:r>
            <w:r>
              <w:rPr>
                <w:rFonts w:hint="eastAsia" w:ascii="宋体" w:hAnsi="宋体" w:cs="宋体"/>
                <w:bCs/>
                <w:spacing w:val="-10"/>
                <w:sz w:val="24"/>
                <w:szCs w:val="24"/>
              </w:rPr>
              <w:t>中</w:t>
            </w:r>
            <w:r>
              <w:rPr>
                <w:rFonts w:ascii="宋体" w:hAnsi="宋体" w:cs="宋体"/>
                <w:sz w:val="24"/>
                <w:szCs w:val="24"/>
              </w:rPr>
              <w:t>挥发性有机物采取</w:t>
            </w:r>
            <w:r>
              <w:rPr>
                <w:rFonts w:hint="eastAsia" w:ascii="宋体" w:hAnsi="宋体" w:cs="宋体"/>
                <w:sz w:val="24"/>
                <w:szCs w:val="24"/>
              </w:rPr>
              <w:t>“</w:t>
            </w:r>
            <w:r>
              <w:rPr>
                <w:rFonts w:ascii="宋体" w:hAnsi="宋体" w:cs="宋体"/>
                <w:sz w:val="24"/>
                <w:szCs w:val="24"/>
              </w:rPr>
              <w:t>吸附+热力燃烧/催化燃烧等</w:t>
            </w:r>
            <w:r>
              <w:rPr>
                <w:rFonts w:hint="eastAsia" w:ascii="宋体" w:hAnsi="宋体" w:cs="宋体"/>
                <w:sz w:val="24"/>
                <w:szCs w:val="24"/>
              </w:rPr>
              <w:t>”</w:t>
            </w:r>
            <w:r>
              <w:rPr>
                <w:rFonts w:ascii="宋体" w:hAnsi="宋体" w:cs="宋体"/>
                <w:sz w:val="24"/>
                <w:szCs w:val="24"/>
              </w:rPr>
              <w:t>治理措施</w:t>
            </w:r>
            <w:r>
              <w:rPr>
                <w:rFonts w:hint="eastAsia" w:ascii="宋体" w:hAnsi="宋体" w:cs="宋体"/>
                <w:sz w:val="24"/>
                <w:szCs w:val="24"/>
              </w:rPr>
              <w:t>，</w:t>
            </w:r>
            <w:r>
              <w:rPr>
                <w:rFonts w:ascii="宋体" w:hAnsi="宋体" w:cs="宋体"/>
                <w:sz w:val="24"/>
                <w:szCs w:val="24"/>
              </w:rPr>
              <w:t>颗粒物采取</w:t>
            </w:r>
            <w:r>
              <w:rPr>
                <w:rFonts w:hint="eastAsia" w:ascii="宋体" w:hAnsi="宋体" w:cs="宋体"/>
                <w:sz w:val="24"/>
                <w:szCs w:val="24"/>
              </w:rPr>
              <w:t>“</w:t>
            </w:r>
            <w:r>
              <w:rPr>
                <w:rFonts w:ascii="宋体" w:hAnsi="宋体" w:cs="宋体"/>
                <w:sz w:val="24"/>
                <w:szCs w:val="24"/>
              </w:rPr>
              <w:t>袋式除尘、中央除尘系统、负压舱、其他</w:t>
            </w:r>
            <w:r>
              <w:rPr>
                <w:rFonts w:hint="eastAsia" w:ascii="宋体" w:hAnsi="宋体" w:cs="宋体"/>
                <w:sz w:val="24"/>
                <w:szCs w:val="24"/>
              </w:rPr>
              <w:t>”</w:t>
            </w:r>
            <w:r>
              <w:rPr>
                <w:rFonts w:ascii="宋体" w:hAnsi="宋体" w:cs="宋体"/>
                <w:sz w:val="24"/>
                <w:szCs w:val="24"/>
              </w:rPr>
              <w:t>治理措施</w:t>
            </w:r>
            <w:r>
              <w:rPr>
                <w:rFonts w:hint="eastAsia" w:ascii="宋体" w:hAnsi="宋体" w:cs="宋体"/>
                <w:bCs/>
                <w:spacing w:val="-10"/>
                <w:sz w:val="24"/>
                <w:szCs w:val="24"/>
              </w:rPr>
              <w:t>，故不再进一步分析其可行性。</w:t>
            </w:r>
          </w:p>
          <w:p>
            <w:pPr>
              <w:spacing w:line="360" w:lineRule="auto"/>
              <w:jc w:val="center"/>
              <w:rPr>
                <w:b/>
                <w:bCs/>
                <w:sz w:val="24"/>
              </w:rPr>
            </w:pPr>
            <w:r>
              <w:rPr>
                <w:b/>
                <w:bCs/>
                <w:sz w:val="24"/>
              </w:rPr>
              <w:t>表4-</w:t>
            </w:r>
            <w:r>
              <w:rPr>
                <w:rFonts w:hint="eastAsia"/>
                <w:b/>
                <w:bCs/>
                <w:sz w:val="24"/>
              </w:rPr>
              <w:t xml:space="preserve">2  </w:t>
            </w:r>
            <w:r>
              <w:rPr>
                <w:b/>
                <w:bCs/>
                <w:sz w:val="24"/>
              </w:rPr>
              <w:t>产排污环节、废气污染物对应排放口类型一览表</w:t>
            </w:r>
          </w:p>
          <w:tbl>
            <w:tblPr>
              <w:tblStyle w:val="22"/>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77"/>
              <w:gridCol w:w="579"/>
              <w:gridCol w:w="1541"/>
              <w:gridCol w:w="750"/>
              <w:gridCol w:w="819"/>
              <w:gridCol w:w="665"/>
              <w:gridCol w:w="91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986" w:type="dxa"/>
                  <w:vMerge w:val="restart"/>
                  <w:vAlign w:val="center"/>
                </w:tcPr>
                <w:p>
                  <w:pPr>
                    <w:jc w:val="center"/>
                    <w:rPr>
                      <w:b/>
                      <w:bCs/>
                      <w:szCs w:val="21"/>
                    </w:rPr>
                  </w:pPr>
                  <w:r>
                    <w:rPr>
                      <w:b/>
                      <w:bCs/>
                      <w:szCs w:val="21"/>
                    </w:rPr>
                    <w:t>产污环节</w:t>
                  </w:r>
                </w:p>
              </w:tc>
              <w:tc>
                <w:tcPr>
                  <w:tcW w:w="777" w:type="dxa"/>
                  <w:vMerge w:val="restart"/>
                  <w:vAlign w:val="center"/>
                </w:tcPr>
                <w:p>
                  <w:pPr>
                    <w:jc w:val="center"/>
                    <w:rPr>
                      <w:b/>
                      <w:bCs/>
                      <w:szCs w:val="21"/>
                    </w:rPr>
                  </w:pPr>
                  <w:r>
                    <w:rPr>
                      <w:b/>
                      <w:bCs/>
                      <w:szCs w:val="21"/>
                    </w:rPr>
                    <w:t>污染物种类</w:t>
                  </w:r>
                </w:p>
              </w:tc>
              <w:tc>
                <w:tcPr>
                  <w:tcW w:w="579" w:type="dxa"/>
                  <w:vMerge w:val="restart"/>
                  <w:vAlign w:val="center"/>
                </w:tcPr>
                <w:p>
                  <w:pPr>
                    <w:jc w:val="center"/>
                    <w:rPr>
                      <w:b/>
                      <w:bCs/>
                      <w:szCs w:val="21"/>
                    </w:rPr>
                  </w:pPr>
                  <w:r>
                    <w:rPr>
                      <w:b/>
                      <w:bCs/>
                      <w:szCs w:val="21"/>
                    </w:rPr>
                    <w:t>排放形式</w:t>
                  </w:r>
                </w:p>
              </w:tc>
              <w:tc>
                <w:tcPr>
                  <w:tcW w:w="3775" w:type="dxa"/>
                  <w:gridSpan w:val="4"/>
                  <w:vAlign w:val="center"/>
                </w:tcPr>
                <w:p>
                  <w:pPr>
                    <w:jc w:val="center"/>
                    <w:rPr>
                      <w:b/>
                      <w:bCs/>
                      <w:szCs w:val="21"/>
                    </w:rPr>
                  </w:pPr>
                  <w:r>
                    <w:rPr>
                      <w:b/>
                      <w:bCs/>
                      <w:szCs w:val="21"/>
                    </w:rPr>
                    <w:t>治理设施</w:t>
                  </w:r>
                </w:p>
              </w:tc>
              <w:tc>
                <w:tcPr>
                  <w:tcW w:w="916" w:type="dxa"/>
                  <w:vMerge w:val="restart"/>
                  <w:vAlign w:val="center"/>
                </w:tcPr>
                <w:p>
                  <w:pPr>
                    <w:rPr>
                      <w:b/>
                      <w:bCs/>
                      <w:szCs w:val="21"/>
                    </w:rPr>
                  </w:pPr>
                  <w:r>
                    <w:rPr>
                      <w:b/>
                      <w:bCs/>
                      <w:szCs w:val="21"/>
                    </w:rPr>
                    <w:t>排放口编号</w:t>
                  </w:r>
                </w:p>
              </w:tc>
              <w:tc>
                <w:tcPr>
                  <w:tcW w:w="904" w:type="dxa"/>
                  <w:vMerge w:val="restart"/>
                  <w:vAlign w:val="center"/>
                </w:tcPr>
                <w:p>
                  <w:pPr>
                    <w:rPr>
                      <w:b/>
                      <w:bCs/>
                      <w:szCs w:val="21"/>
                    </w:rPr>
                  </w:pPr>
                  <w:r>
                    <w:rPr>
                      <w:b/>
                      <w:bCs/>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86" w:type="dxa"/>
                  <w:vMerge w:val="continue"/>
                  <w:vAlign w:val="center"/>
                </w:tcPr>
                <w:p>
                  <w:pPr>
                    <w:jc w:val="center"/>
                    <w:rPr>
                      <w:b/>
                      <w:bCs/>
                      <w:szCs w:val="21"/>
                    </w:rPr>
                  </w:pPr>
                </w:p>
              </w:tc>
              <w:tc>
                <w:tcPr>
                  <w:tcW w:w="777" w:type="dxa"/>
                  <w:vMerge w:val="continue"/>
                  <w:vAlign w:val="center"/>
                </w:tcPr>
                <w:p>
                  <w:pPr>
                    <w:jc w:val="center"/>
                    <w:rPr>
                      <w:b/>
                      <w:bCs/>
                      <w:szCs w:val="21"/>
                    </w:rPr>
                  </w:pPr>
                </w:p>
              </w:tc>
              <w:tc>
                <w:tcPr>
                  <w:tcW w:w="579" w:type="dxa"/>
                  <w:vMerge w:val="continue"/>
                  <w:vAlign w:val="center"/>
                </w:tcPr>
                <w:p>
                  <w:pPr>
                    <w:jc w:val="center"/>
                    <w:rPr>
                      <w:b/>
                      <w:bCs/>
                      <w:szCs w:val="21"/>
                    </w:rPr>
                  </w:pPr>
                </w:p>
              </w:tc>
              <w:tc>
                <w:tcPr>
                  <w:tcW w:w="1541" w:type="dxa"/>
                  <w:vAlign w:val="center"/>
                </w:tcPr>
                <w:p>
                  <w:pPr>
                    <w:jc w:val="center"/>
                    <w:rPr>
                      <w:b/>
                      <w:bCs/>
                      <w:szCs w:val="21"/>
                    </w:rPr>
                  </w:pPr>
                  <w:r>
                    <w:rPr>
                      <w:b/>
                      <w:bCs/>
                      <w:szCs w:val="21"/>
                    </w:rPr>
                    <w:t>治理工艺</w:t>
                  </w:r>
                </w:p>
              </w:tc>
              <w:tc>
                <w:tcPr>
                  <w:tcW w:w="750" w:type="dxa"/>
                  <w:vAlign w:val="center"/>
                </w:tcPr>
                <w:p>
                  <w:pPr>
                    <w:jc w:val="center"/>
                    <w:rPr>
                      <w:b/>
                      <w:bCs/>
                      <w:szCs w:val="21"/>
                    </w:rPr>
                  </w:pPr>
                  <w:r>
                    <w:rPr>
                      <w:b/>
                      <w:bCs/>
                      <w:szCs w:val="21"/>
                    </w:rPr>
                    <w:t>收集效率</w:t>
                  </w:r>
                </w:p>
              </w:tc>
              <w:tc>
                <w:tcPr>
                  <w:tcW w:w="819" w:type="dxa"/>
                  <w:vAlign w:val="center"/>
                </w:tcPr>
                <w:p>
                  <w:pPr>
                    <w:jc w:val="center"/>
                    <w:rPr>
                      <w:b/>
                      <w:bCs/>
                      <w:szCs w:val="21"/>
                    </w:rPr>
                  </w:pPr>
                  <w:r>
                    <w:rPr>
                      <w:b/>
                      <w:bCs/>
                      <w:szCs w:val="21"/>
                    </w:rPr>
                    <w:t>处理效率</w:t>
                  </w:r>
                </w:p>
              </w:tc>
              <w:tc>
                <w:tcPr>
                  <w:tcW w:w="665" w:type="dxa"/>
                  <w:vAlign w:val="center"/>
                </w:tcPr>
                <w:p>
                  <w:pPr>
                    <w:jc w:val="center"/>
                    <w:rPr>
                      <w:b/>
                      <w:bCs/>
                      <w:szCs w:val="21"/>
                    </w:rPr>
                  </w:pPr>
                  <w:r>
                    <w:rPr>
                      <w:b/>
                      <w:bCs/>
                      <w:szCs w:val="21"/>
                    </w:rPr>
                    <w:t>是否可行</w:t>
                  </w:r>
                </w:p>
              </w:tc>
              <w:tc>
                <w:tcPr>
                  <w:tcW w:w="916" w:type="dxa"/>
                  <w:vMerge w:val="continue"/>
                  <w:vAlign w:val="center"/>
                </w:tcPr>
                <w:p>
                  <w:pPr>
                    <w:jc w:val="center"/>
                    <w:rPr>
                      <w:b/>
                      <w:bCs/>
                      <w:szCs w:val="21"/>
                    </w:rPr>
                  </w:pPr>
                </w:p>
              </w:tc>
              <w:tc>
                <w:tcPr>
                  <w:tcW w:w="904" w:type="dxa"/>
                  <w:vMerge w:val="continue"/>
                  <w:vAlign w:val="center"/>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vAlign w:val="center"/>
                </w:tcPr>
                <w:p>
                  <w:pPr>
                    <w:jc w:val="center"/>
                    <w:rPr>
                      <w:szCs w:val="21"/>
                    </w:rPr>
                  </w:pPr>
                  <w:r>
                    <w:rPr>
                      <w:szCs w:val="21"/>
                    </w:rPr>
                    <w:t>下料、雕刻、</w:t>
                  </w:r>
                  <w:r>
                    <w:rPr>
                      <w:rFonts w:ascii="宋体" w:hAnsi="宋体" w:cs="宋体"/>
                      <w:szCs w:val="21"/>
                    </w:rPr>
                    <w:t>修边</w:t>
                  </w:r>
                  <w:r>
                    <w:rPr>
                      <w:szCs w:val="21"/>
                    </w:rPr>
                    <w:t>、</w:t>
                  </w:r>
                  <w:r>
                    <w:rPr>
                      <w:rFonts w:ascii="宋体" w:hAnsi="宋体" w:cs="宋体"/>
                      <w:szCs w:val="21"/>
                    </w:rPr>
                    <w:t>打磨</w:t>
                  </w:r>
                </w:p>
              </w:tc>
              <w:tc>
                <w:tcPr>
                  <w:tcW w:w="777" w:type="dxa"/>
                  <w:vAlign w:val="center"/>
                </w:tcPr>
                <w:p>
                  <w:pPr>
                    <w:jc w:val="center"/>
                    <w:rPr>
                      <w:szCs w:val="21"/>
                    </w:rPr>
                  </w:pPr>
                  <w:r>
                    <w:rPr>
                      <w:szCs w:val="21"/>
                    </w:rPr>
                    <w:t>颗粒物</w:t>
                  </w:r>
                </w:p>
              </w:tc>
              <w:tc>
                <w:tcPr>
                  <w:tcW w:w="579" w:type="dxa"/>
                  <w:vAlign w:val="center"/>
                </w:tcPr>
                <w:p>
                  <w:pPr>
                    <w:jc w:val="center"/>
                    <w:rPr>
                      <w:szCs w:val="21"/>
                    </w:rPr>
                  </w:pPr>
                  <w:r>
                    <w:rPr>
                      <w:szCs w:val="21"/>
                    </w:rPr>
                    <w:t>有组织</w:t>
                  </w:r>
                </w:p>
              </w:tc>
              <w:tc>
                <w:tcPr>
                  <w:tcW w:w="1541" w:type="dxa"/>
                  <w:vAlign w:val="center"/>
                </w:tcPr>
                <w:p>
                  <w:pPr>
                    <w:jc w:val="center"/>
                    <w:rPr>
                      <w:szCs w:val="21"/>
                    </w:rPr>
                  </w:pPr>
                  <w:r>
                    <w:rPr>
                      <w:szCs w:val="21"/>
                    </w:rPr>
                    <w:t>布袋除尘器</w:t>
                  </w:r>
                </w:p>
              </w:tc>
              <w:tc>
                <w:tcPr>
                  <w:tcW w:w="750" w:type="dxa"/>
                  <w:vAlign w:val="center"/>
                </w:tcPr>
                <w:p>
                  <w:pPr>
                    <w:jc w:val="center"/>
                    <w:rPr>
                      <w:szCs w:val="21"/>
                    </w:rPr>
                  </w:pPr>
                  <w:r>
                    <w:rPr>
                      <w:szCs w:val="21"/>
                    </w:rPr>
                    <w:t>9</w:t>
                  </w:r>
                  <w:r>
                    <w:rPr>
                      <w:rFonts w:hint="eastAsia"/>
                      <w:szCs w:val="21"/>
                    </w:rPr>
                    <w:t>0</w:t>
                  </w:r>
                  <w:r>
                    <w:rPr>
                      <w:szCs w:val="21"/>
                    </w:rPr>
                    <w:t>%</w:t>
                  </w:r>
                </w:p>
              </w:tc>
              <w:tc>
                <w:tcPr>
                  <w:tcW w:w="819" w:type="dxa"/>
                  <w:vAlign w:val="center"/>
                </w:tcPr>
                <w:p>
                  <w:pPr>
                    <w:jc w:val="center"/>
                    <w:rPr>
                      <w:szCs w:val="21"/>
                    </w:rPr>
                  </w:pPr>
                  <w:r>
                    <w:rPr>
                      <w:szCs w:val="21"/>
                    </w:rPr>
                    <w:t>9</w:t>
                  </w:r>
                  <w:r>
                    <w:rPr>
                      <w:rFonts w:hint="eastAsia"/>
                      <w:szCs w:val="21"/>
                      <w:lang w:val="en-US" w:eastAsia="zh-CN"/>
                    </w:rPr>
                    <w:t>7</w:t>
                  </w:r>
                  <w:r>
                    <w:rPr>
                      <w:szCs w:val="21"/>
                    </w:rPr>
                    <w:t>%</w:t>
                  </w:r>
                </w:p>
              </w:tc>
              <w:tc>
                <w:tcPr>
                  <w:tcW w:w="665" w:type="dxa"/>
                  <w:vAlign w:val="center"/>
                </w:tcPr>
                <w:p>
                  <w:pPr>
                    <w:jc w:val="center"/>
                    <w:rPr>
                      <w:szCs w:val="21"/>
                    </w:rPr>
                  </w:pPr>
                  <w:r>
                    <w:rPr>
                      <w:szCs w:val="21"/>
                    </w:rPr>
                    <w:t>是</w:t>
                  </w:r>
                </w:p>
              </w:tc>
              <w:tc>
                <w:tcPr>
                  <w:tcW w:w="916" w:type="dxa"/>
                  <w:vAlign w:val="center"/>
                </w:tcPr>
                <w:p>
                  <w:pPr>
                    <w:jc w:val="center"/>
                    <w:rPr>
                      <w:szCs w:val="21"/>
                    </w:rPr>
                  </w:pPr>
                  <w:r>
                    <w:rPr>
                      <w:szCs w:val="21"/>
                    </w:rPr>
                    <w:t>DA00</w:t>
                  </w:r>
                  <w:r>
                    <w:rPr>
                      <w:rFonts w:hint="eastAsia"/>
                      <w:szCs w:val="21"/>
                    </w:rPr>
                    <w:t>1</w:t>
                  </w:r>
                </w:p>
              </w:tc>
              <w:tc>
                <w:tcPr>
                  <w:tcW w:w="904" w:type="dxa"/>
                  <w:vAlign w:val="center"/>
                </w:tcPr>
                <w:p>
                  <w:pPr>
                    <w:jc w:val="center"/>
                    <w:rPr>
                      <w:szCs w:val="21"/>
                    </w:rPr>
                  </w:pPr>
                  <w:r>
                    <w:rPr>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986" w:type="dxa"/>
                  <w:vMerge w:val="restart"/>
                  <w:vAlign w:val="center"/>
                </w:tcPr>
                <w:p>
                  <w:pPr>
                    <w:jc w:val="center"/>
                    <w:rPr>
                      <w:szCs w:val="21"/>
                    </w:rPr>
                  </w:pPr>
                  <w:r>
                    <w:rPr>
                      <w:rFonts w:ascii="宋体" w:hAnsi="宋体" w:cs="宋体"/>
                      <w:szCs w:val="21"/>
                    </w:rPr>
                    <w:t>喷漆</w:t>
                  </w:r>
                  <w:r>
                    <w:rPr>
                      <w:rFonts w:hint="eastAsia"/>
                      <w:szCs w:val="21"/>
                    </w:rPr>
                    <w:t>、</w:t>
                  </w:r>
                  <w:r>
                    <w:rPr>
                      <w:szCs w:val="21"/>
                    </w:rPr>
                    <w:t>调漆</w:t>
                  </w:r>
                  <w:r>
                    <w:rPr>
                      <w:rFonts w:hint="eastAsia"/>
                      <w:szCs w:val="21"/>
                    </w:rPr>
                    <w:t>、</w:t>
                  </w:r>
                  <w:r>
                    <w:rPr>
                      <w:rFonts w:hint="eastAsia"/>
                    </w:rPr>
                    <w:t>自然晾干</w:t>
                  </w:r>
                </w:p>
              </w:tc>
              <w:tc>
                <w:tcPr>
                  <w:tcW w:w="777" w:type="dxa"/>
                  <w:vAlign w:val="center"/>
                </w:tcPr>
                <w:p>
                  <w:pPr>
                    <w:jc w:val="center"/>
                    <w:rPr>
                      <w:szCs w:val="21"/>
                    </w:rPr>
                  </w:pPr>
                  <w:r>
                    <w:rPr>
                      <w:rFonts w:hint="eastAsia"/>
                      <w:szCs w:val="21"/>
                    </w:rPr>
                    <w:t>非甲烷总烃</w:t>
                  </w:r>
                </w:p>
              </w:tc>
              <w:tc>
                <w:tcPr>
                  <w:tcW w:w="579" w:type="dxa"/>
                  <w:vAlign w:val="center"/>
                </w:tcPr>
                <w:p>
                  <w:pPr>
                    <w:jc w:val="center"/>
                    <w:rPr>
                      <w:szCs w:val="21"/>
                    </w:rPr>
                  </w:pPr>
                  <w:r>
                    <w:rPr>
                      <w:rFonts w:hint="eastAsia"/>
                      <w:szCs w:val="21"/>
                    </w:rPr>
                    <w:t>有组织</w:t>
                  </w:r>
                </w:p>
              </w:tc>
              <w:tc>
                <w:tcPr>
                  <w:tcW w:w="1541" w:type="dxa"/>
                  <w:vMerge w:val="restart"/>
                  <w:vAlign w:val="center"/>
                </w:tcPr>
                <w:p>
                  <w:pPr>
                    <w:jc w:val="center"/>
                    <w:rPr>
                      <w:szCs w:val="21"/>
                    </w:rPr>
                  </w:pPr>
                  <w:r>
                    <w:rPr>
                      <w:rFonts w:hint="eastAsia"/>
                      <w:szCs w:val="21"/>
                    </w:rPr>
                    <w:t>过滤棉+二级活性炭吸附</w:t>
                  </w:r>
                </w:p>
              </w:tc>
              <w:tc>
                <w:tcPr>
                  <w:tcW w:w="750" w:type="dxa"/>
                  <w:vAlign w:val="center"/>
                </w:tcPr>
                <w:p>
                  <w:pPr>
                    <w:jc w:val="center"/>
                    <w:rPr>
                      <w:szCs w:val="21"/>
                    </w:rPr>
                  </w:pPr>
                  <w:r>
                    <w:rPr>
                      <w:rFonts w:hint="eastAsia"/>
                      <w:szCs w:val="21"/>
                    </w:rPr>
                    <w:t>90%</w:t>
                  </w:r>
                </w:p>
              </w:tc>
              <w:tc>
                <w:tcPr>
                  <w:tcW w:w="819" w:type="dxa"/>
                  <w:vAlign w:val="center"/>
                </w:tcPr>
                <w:p>
                  <w:pPr>
                    <w:jc w:val="center"/>
                    <w:rPr>
                      <w:szCs w:val="21"/>
                    </w:rPr>
                  </w:pPr>
                  <w:r>
                    <w:rPr>
                      <w:rFonts w:hint="eastAsia"/>
                      <w:szCs w:val="21"/>
                    </w:rPr>
                    <w:t>90%</w:t>
                  </w:r>
                </w:p>
              </w:tc>
              <w:tc>
                <w:tcPr>
                  <w:tcW w:w="665" w:type="dxa"/>
                  <w:vAlign w:val="center"/>
                </w:tcPr>
                <w:p>
                  <w:pPr>
                    <w:jc w:val="center"/>
                    <w:rPr>
                      <w:szCs w:val="21"/>
                    </w:rPr>
                  </w:pPr>
                  <w:r>
                    <w:rPr>
                      <w:szCs w:val="21"/>
                    </w:rPr>
                    <w:t>是</w:t>
                  </w:r>
                </w:p>
              </w:tc>
              <w:tc>
                <w:tcPr>
                  <w:tcW w:w="916" w:type="dxa"/>
                  <w:vMerge w:val="restart"/>
                  <w:vAlign w:val="center"/>
                </w:tcPr>
                <w:p>
                  <w:pPr>
                    <w:jc w:val="center"/>
                    <w:rPr>
                      <w:szCs w:val="21"/>
                    </w:rPr>
                  </w:pPr>
                  <w:r>
                    <w:rPr>
                      <w:szCs w:val="21"/>
                    </w:rPr>
                    <w:t>DA00</w:t>
                  </w:r>
                  <w:r>
                    <w:rPr>
                      <w:rFonts w:hint="eastAsia"/>
                      <w:szCs w:val="21"/>
                    </w:rPr>
                    <w:t>2</w:t>
                  </w:r>
                </w:p>
              </w:tc>
              <w:tc>
                <w:tcPr>
                  <w:tcW w:w="904" w:type="dxa"/>
                  <w:vMerge w:val="restart"/>
                  <w:vAlign w:val="center"/>
                </w:tcPr>
                <w:p>
                  <w:pPr>
                    <w:jc w:val="center"/>
                    <w:rPr>
                      <w:szCs w:val="21"/>
                    </w:rPr>
                  </w:pPr>
                  <w:r>
                    <w:rPr>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986" w:type="dxa"/>
                  <w:vMerge w:val="continue"/>
                  <w:vAlign w:val="center"/>
                </w:tcPr>
                <w:p>
                  <w:pPr>
                    <w:jc w:val="center"/>
                    <w:rPr>
                      <w:rFonts w:ascii="宋体" w:hAnsi="宋体" w:cs="宋体"/>
                      <w:szCs w:val="21"/>
                    </w:rPr>
                  </w:pPr>
                </w:p>
              </w:tc>
              <w:tc>
                <w:tcPr>
                  <w:tcW w:w="777" w:type="dxa"/>
                  <w:vAlign w:val="center"/>
                </w:tcPr>
                <w:p>
                  <w:pPr>
                    <w:jc w:val="center"/>
                    <w:rPr>
                      <w:szCs w:val="21"/>
                    </w:rPr>
                  </w:pPr>
                  <w:r>
                    <w:rPr>
                      <w:rFonts w:hint="eastAsia"/>
                      <w:szCs w:val="21"/>
                    </w:rPr>
                    <w:t>二甲苯</w:t>
                  </w:r>
                </w:p>
              </w:tc>
              <w:tc>
                <w:tcPr>
                  <w:tcW w:w="579" w:type="dxa"/>
                  <w:vAlign w:val="center"/>
                </w:tcPr>
                <w:p>
                  <w:pPr>
                    <w:jc w:val="center"/>
                    <w:rPr>
                      <w:szCs w:val="21"/>
                    </w:rPr>
                  </w:pPr>
                  <w:r>
                    <w:rPr>
                      <w:rFonts w:hint="eastAsia"/>
                      <w:szCs w:val="21"/>
                    </w:rPr>
                    <w:t>有组织</w:t>
                  </w:r>
                </w:p>
              </w:tc>
              <w:tc>
                <w:tcPr>
                  <w:tcW w:w="1541" w:type="dxa"/>
                  <w:vMerge w:val="continue"/>
                  <w:vAlign w:val="center"/>
                </w:tcPr>
                <w:p>
                  <w:pPr>
                    <w:jc w:val="center"/>
                    <w:rPr>
                      <w:szCs w:val="21"/>
                    </w:rPr>
                  </w:pPr>
                </w:p>
              </w:tc>
              <w:tc>
                <w:tcPr>
                  <w:tcW w:w="750" w:type="dxa"/>
                  <w:vAlign w:val="center"/>
                </w:tcPr>
                <w:p>
                  <w:pPr>
                    <w:jc w:val="center"/>
                    <w:rPr>
                      <w:szCs w:val="21"/>
                    </w:rPr>
                  </w:pPr>
                  <w:r>
                    <w:rPr>
                      <w:rFonts w:hint="eastAsia"/>
                      <w:szCs w:val="21"/>
                    </w:rPr>
                    <w:t>90%</w:t>
                  </w:r>
                </w:p>
              </w:tc>
              <w:tc>
                <w:tcPr>
                  <w:tcW w:w="819" w:type="dxa"/>
                  <w:vAlign w:val="center"/>
                </w:tcPr>
                <w:p>
                  <w:pPr>
                    <w:jc w:val="center"/>
                    <w:rPr>
                      <w:szCs w:val="21"/>
                    </w:rPr>
                  </w:pPr>
                  <w:r>
                    <w:rPr>
                      <w:rFonts w:hint="eastAsia"/>
                      <w:szCs w:val="21"/>
                    </w:rPr>
                    <w:t>90%</w:t>
                  </w:r>
                </w:p>
              </w:tc>
              <w:tc>
                <w:tcPr>
                  <w:tcW w:w="665" w:type="dxa"/>
                  <w:vAlign w:val="center"/>
                </w:tcPr>
                <w:p>
                  <w:pPr>
                    <w:jc w:val="center"/>
                    <w:rPr>
                      <w:szCs w:val="21"/>
                    </w:rPr>
                  </w:pPr>
                  <w:r>
                    <w:rPr>
                      <w:szCs w:val="21"/>
                    </w:rPr>
                    <w:t>是</w:t>
                  </w:r>
                </w:p>
              </w:tc>
              <w:tc>
                <w:tcPr>
                  <w:tcW w:w="916" w:type="dxa"/>
                  <w:vMerge w:val="continue"/>
                  <w:vAlign w:val="center"/>
                </w:tcPr>
                <w:p>
                  <w:pPr>
                    <w:jc w:val="center"/>
                    <w:rPr>
                      <w:szCs w:val="21"/>
                    </w:rPr>
                  </w:pPr>
                </w:p>
              </w:tc>
              <w:tc>
                <w:tcPr>
                  <w:tcW w:w="904"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6" w:type="dxa"/>
                  <w:vMerge w:val="continue"/>
                  <w:vAlign w:val="center"/>
                </w:tcPr>
                <w:p>
                  <w:pPr>
                    <w:jc w:val="center"/>
                    <w:rPr>
                      <w:rFonts w:ascii="宋体" w:hAnsi="宋体" w:cs="宋体"/>
                      <w:szCs w:val="21"/>
                    </w:rPr>
                  </w:pPr>
                </w:p>
              </w:tc>
              <w:tc>
                <w:tcPr>
                  <w:tcW w:w="777" w:type="dxa"/>
                  <w:vAlign w:val="center"/>
                </w:tcPr>
                <w:p>
                  <w:pPr>
                    <w:jc w:val="center"/>
                    <w:rPr>
                      <w:szCs w:val="21"/>
                    </w:rPr>
                  </w:pPr>
                  <w:r>
                    <w:rPr>
                      <w:rFonts w:hint="eastAsia"/>
                      <w:szCs w:val="21"/>
                    </w:rPr>
                    <w:t>颗粒物</w:t>
                  </w:r>
                </w:p>
              </w:tc>
              <w:tc>
                <w:tcPr>
                  <w:tcW w:w="579" w:type="dxa"/>
                  <w:vAlign w:val="center"/>
                </w:tcPr>
                <w:p>
                  <w:pPr>
                    <w:jc w:val="center"/>
                    <w:rPr>
                      <w:szCs w:val="21"/>
                    </w:rPr>
                  </w:pPr>
                  <w:r>
                    <w:rPr>
                      <w:rFonts w:hint="eastAsia"/>
                      <w:szCs w:val="21"/>
                    </w:rPr>
                    <w:t>有组织</w:t>
                  </w:r>
                </w:p>
              </w:tc>
              <w:tc>
                <w:tcPr>
                  <w:tcW w:w="1541" w:type="dxa"/>
                  <w:vMerge w:val="continue"/>
                  <w:vAlign w:val="center"/>
                </w:tcPr>
                <w:p>
                  <w:pPr>
                    <w:jc w:val="center"/>
                    <w:rPr>
                      <w:szCs w:val="21"/>
                    </w:rPr>
                  </w:pPr>
                </w:p>
              </w:tc>
              <w:tc>
                <w:tcPr>
                  <w:tcW w:w="750" w:type="dxa"/>
                  <w:vAlign w:val="center"/>
                </w:tcPr>
                <w:p>
                  <w:pPr>
                    <w:jc w:val="center"/>
                    <w:rPr>
                      <w:szCs w:val="21"/>
                    </w:rPr>
                  </w:pPr>
                  <w:r>
                    <w:rPr>
                      <w:rFonts w:hint="eastAsia"/>
                      <w:szCs w:val="21"/>
                    </w:rPr>
                    <w:t>90%</w:t>
                  </w:r>
                </w:p>
              </w:tc>
              <w:tc>
                <w:tcPr>
                  <w:tcW w:w="819" w:type="dxa"/>
                  <w:vAlign w:val="center"/>
                </w:tcPr>
                <w:p>
                  <w:pPr>
                    <w:jc w:val="center"/>
                    <w:rPr>
                      <w:szCs w:val="21"/>
                    </w:rPr>
                  </w:pPr>
                  <w:r>
                    <w:rPr>
                      <w:rFonts w:hint="eastAsia"/>
                      <w:szCs w:val="21"/>
                    </w:rPr>
                    <w:t>85%</w:t>
                  </w:r>
                </w:p>
              </w:tc>
              <w:tc>
                <w:tcPr>
                  <w:tcW w:w="665" w:type="dxa"/>
                  <w:vAlign w:val="center"/>
                </w:tcPr>
                <w:p>
                  <w:pPr>
                    <w:jc w:val="center"/>
                    <w:rPr>
                      <w:szCs w:val="21"/>
                    </w:rPr>
                  </w:pPr>
                  <w:r>
                    <w:rPr>
                      <w:szCs w:val="21"/>
                    </w:rPr>
                    <w:t>是</w:t>
                  </w:r>
                </w:p>
              </w:tc>
              <w:tc>
                <w:tcPr>
                  <w:tcW w:w="916" w:type="dxa"/>
                  <w:vMerge w:val="continue"/>
                  <w:vAlign w:val="center"/>
                </w:tcPr>
                <w:p>
                  <w:pPr>
                    <w:jc w:val="center"/>
                    <w:rPr>
                      <w:szCs w:val="21"/>
                    </w:rPr>
                  </w:pPr>
                </w:p>
              </w:tc>
              <w:tc>
                <w:tcPr>
                  <w:tcW w:w="904" w:type="dxa"/>
                  <w:vMerge w:val="continue"/>
                  <w:vAlign w:val="center"/>
                </w:tcPr>
                <w:p>
                  <w:pPr>
                    <w:jc w:val="center"/>
                    <w:rPr>
                      <w:szCs w:val="21"/>
                    </w:rPr>
                  </w:pPr>
                </w:p>
              </w:tc>
            </w:tr>
          </w:tbl>
          <w:p>
            <w:pPr>
              <w:jc w:val="center"/>
              <w:rPr>
                <w:b/>
                <w:bCs/>
                <w:sz w:val="24"/>
              </w:rPr>
            </w:pPr>
            <w:r>
              <w:rPr>
                <w:b/>
                <w:bCs/>
                <w:sz w:val="24"/>
              </w:rPr>
              <w:t>表4-</w:t>
            </w:r>
            <w:r>
              <w:rPr>
                <w:rFonts w:hint="eastAsia"/>
                <w:b/>
                <w:bCs/>
                <w:sz w:val="24"/>
              </w:rPr>
              <w:t xml:space="preserve">3  </w:t>
            </w:r>
            <w:r>
              <w:rPr>
                <w:b/>
                <w:bCs/>
                <w:sz w:val="24"/>
              </w:rPr>
              <w:t>排放口基本情况一览表</w:t>
            </w:r>
          </w:p>
          <w:tbl>
            <w:tblPr>
              <w:tblStyle w:val="22"/>
              <w:tblW w:w="7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852"/>
              <w:gridCol w:w="756"/>
              <w:gridCol w:w="1698"/>
              <w:gridCol w:w="1515"/>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938" w:type="dxa"/>
                  <w:vMerge w:val="restart"/>
                  <w:vAlign w:val="center"/>
                </w:tcPr>
                <w:p>
                  <w:pPr>
                    <w:jc w:val="center"/>
                    <w:rPr>
                      <w:b/>
                      <w:bCs/>
                    </w:rPr>
                  </w:pPr>
                  <w:r>
                    <w:rPr>
                      <w:b/>
                      <w:bCs/>
                    </w:rPr>
                    <w:t>排放口编号</w:t>
                  </w:r>
                </w:p>
              </w:tc>
              <w:tc>
                <w:tcPr>
                  <w:tcW w:w="852" w:type="dxa"/>
                  <w:vMerge w:val="restart"/>
                  <w:vAlign w:val="center"/>
                </w:tcPr>
                <w:p>
                  <w:pPr>
                    <w:jc w:val="center"/>
                    <w:rPr>
                      <w:b/>
                      <w:bCs/>
                    </w:rPr>
                  </w:pPr>
                  <w:r>
                    <w:rPr>
                      <w:b/>
                      <w:bCs/>
                    </w:rPr>
                    <w:t>排气筒高度</w:t>
                  </w:r>
                </w:p>
              </w:tc>
              <w:tc>
                <w:tcPr>
                  <w:tcW w:w="756" w:type="dxa"/>
                  <w:vMerge w:val="restart"/>
                  <w:vAlign w:val="center"/>
                </w:tcPr>
                <w:p>
                  <w:pPr>
                    <w:jc w:val="center"/>
                    <w:rPr>
                      <w:b/>
                      <w:bCs/>
                    </w:rPr>
                  </w:pPr>
                  <w:r>
                    <w:rPr>
                      <w:b/>
                      <w:bCs/>
                    </w:rPr>
                    <w:t>内径</w:t>
                  </w:r>
                </w:p>
              </w:tc>
              <w:tc>
                <w:tcPr>
                  <w:tcW w:w="3213" w:type="dxa"/>
                  <w:gridSpan w:val="2"/>
                  <w:vAlign w:val="center"/>
                </w:tcPr>
                <w:p>
                  <w:pPr>
                    <w:jc w:val="center"/>
                    <w:rPr>
                      <w:b/>
                      <w:bCs/>
                    </w:rPr>
                  </w:pPr>
                  <w:r>
                    <w:rPr>
                      <w:b/>
                      <w:bCs/>
                    </w:rPr>
                    <w:t>坐标</w:t>
                  </w:r>
                </w:p>
              </w:tc>
              <w:tc>
                <w:tcPr>
                  <w:tcW w:w="2138" w:type="dxa"/>
                  <w:vMerge w:val="restart"/>
                  <w:vAlign w:val="center"/>
                </w:tcPr>
                <w:p>
                  <w:pPr>
                    <w:jc w:val="center"/>
                    <w:rPr>
                      <w:b/>
                      <w:bCs/>
                    </w:rPr>
                  </w:pPr>
                  <w:r>
                    <w:rPr>
                      <w:b/>
                      <w:bCs/>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38" w:type="dxa"/>
                  <w:vMerge w:val="continue"/>
                  <w:vAlign w:val="center"/>
                </w:tcPr>
                <w:p>
                  <w:pPr>
                    <w:jc w:val="center"/>
                    <w:rPr>
                      <w:b/>
                      <w:bCs/>
                    </w:rPr>
                  </w:pPr>
                </w:p>
              </w:tc>
              <w:tc>
                <w:tcPr>
                  <w:tcW w:w="852" w:type="dxa"/>
                  <w:vMerge w:val="continue"/>
                  <w:vAlign w:val="center"/>
                </w:tcPr>
                <w:p>
                  <w:pPr>
                    <w:jc w:val="center"/>
                    <w:rPr>
                      <w:b/>
                      <w:bCs/>
                    </w:rPr>
                  </w:pPr>
                </w:p>
              </w:tc>
              <w:tc>
                <w:tcPr>
                  <w:tcW w:w="756" w:type="dxa"/>
                  <w:vMerge w:val="continue"/>
                  <w:vAlign w:val="center"/>
                </w:tcPr>
                <w:p>
                  <w:pPr>
                    <w:jc w:val="center"/>
                    <w:rPr>
                      <w:b/>
                      <w:bCs/>
                    </w:rPr>
                  </w:pPr>
                </w:p>
              </w:tc>
              <w:tc>
                <w:tcPr>
                  <w:tcW w:w="1698" w:type="dxa"/>
                  <w:vAlign w:val="center"/>
                </w:tcPr>
                <w:p>
                  <w:pPr>
                    <w:jc w:val="center"/>
                    <w:rPr>
                      <w:b/>
                      <w:bCs/>
                    </w:rPr>
                  </w:pPr>
                  <w:r>
                    <w:rPr>
                      <w:b/>
                      <w:bCs/>
                    </w:rPr>
                    <w:t>经度</w:t>
                  </w:r>
                </w:p>
              </w:tc>
              <w:tc>
                <w:tcPr>
                  <w:tcW w:w="1515" w:type="dxa"/>
                  <w:vAlign w:val="center"/>
                </w:tcPr>
                <w:p>
                  <w:pPr>
                    <w:jc w:val="center"/>
                    <w:rPr>
                      <w:b/>
                      <w:bCs/>
                    </w:rPr>
                  </w:pPr>
                  <w:r>
                    <w:rPr>
                      <w:b/>
                      <w:bCs/>
                    </w:rPr>
                    <w:t>纬度</w:t>
                  </w:r>
                </w:p>
              </w:tc>
              <w:tc>
                <w:tcPr>
                  <w:tcW w:w="2138"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pPr>
                  <w:r>
                    <w:t>DA001</w:t>
                  </w:r>
                </w:p>
              </w:tc>
              <w:tc>
                <w:tcPr>
                  <w:tcW w:w="852" w:type="dxa"/>
                  <w:vAlign w:val="center"/>
                </w:tcPr>
                <w:p>
                  <w:pPr>
                    <w:jc w:val="center"/>
                  </w:pPr>
                  <w:r>
                    <w:t>15m</w:t>
                  </w:r>
                </w:p>
              </w:tc>
              <w:tc>
                <w:tcPr>
                  <w:tcW w:w="756" w:type="dxa"/>
                  <w:vAlign w:val="center"/>
                </w:tcPr>
                <w:p>
                  <w:pPr>
                    <w:jc w:val="center"/>
                  </w:pPr>
                  <w:r>
                    <w:t>0</w:t>
                  </w:r>
                  <w:r>
                    <w:rPr>
                      <w:rFonts w:hint="eastAsia"/>
                    </w:rPr>
                    <w:t>.4</w:t>
                  </w:r>
                  <w:r>
                    <w:t>m</w:t>
                  </w:r>
                </w:p>
              </w:tc>
              <w:tc>
                <w:tcPr>
                  <w:tcW w:w="1698" w:type="dxa"/>
                  <w:vAlign w:val="center"/>
                </w:tcPr>
                <w:p>
                  <w:pPr>
                    <w:jc w:val="center"/>
                  </w:pPr>
                  <w:r>
                    <w:t>11</w:t>
                  </w:r>
                  <w:r>
                    <w:rPr>
                      <w:rFonts w:hint="eastAsia"/>
                      <w:lang w:val="en-US" w:eastAsia="zh-CN"/>
                    </w:rPr>
                    <w:t>8</w:t>
                  </w:r>
                  <w:r>
                    <w:t>°</w:t>
                  </w:r>
                  <w:r>
                    <w:rPr>
                      <w:rFonts w:hint="eastAsia"/>
                      <w:lang w:val="en-US" w:eastAsia="zh-CN"/>
                    </w:rPr>
                    <w:t>4</w:t>
                  </w:r>
                  <w:r>
                    <w:t>′</w:t>
                  </w:r>
                  <w:r>
                    <w:rPr>
                      <w:rFonts w:hint="eastAsia"/>
                      <w:lang w:val="en-US" w:eastAsia="zh-CN"/>
                    </w:rPr>
                    <w:t>43</w:t>
                  </w:r>
                  <w:r>
                    <w:t>.5</w:t>
                  </w:r>
                  <w:r>
                    <w:rPr>
                      <w:rFonts w:hint="eastAsia"/>
                      <w:lang w:val="en-US" w:eastAsia="zh-CN"/>
                    </w:rPr>
                    <w:t>0</w:t>
                  </w:r>
                  <w:r>
                    <w:t>3″</w:t>
                  </w:r>
                </w:p>
              </w:tc>
              <w:tc>
                <w:tcPr>
                  <w:tcW w:w="1515" w:type="dxa"/>
                  <w:vAlign w:val="center"/>
                </w:tcPr>
                <w:p>
                  <w:pPr>
                    <w:jc w:val="center"/>
                  </w:pPr>
                  <w:r>
                    <w:t>33°</w:t>
                  </w:r>
                  <w:r>
                    <w:rPr>
                      <w:rFonts w:hint="eastAsia"/>
                      <w:lang w:val="en-US" w:eastAsia="zh-CN"/>
                    </w:rPr>
                    <w:t>3</w:t>
                  </w:r>
                  <w:r>
                    <w:t>9′</w:t>
                  </w:r>
                  <w:r>
                    <w:rPr>
                      <w:rFonts w:hint="eastAsia"/>
                      <w:lang w:val="en-US" w:eastAsia="zh-CN"/>
                    </w:rPr>
                    <w:t>10.744</w:t>
                  </w:r>
                  <w:r>
                    <w:t>″</w:t>
                  </w:r>
                </w:p>
              </w:tc>
              <w:tc>
                <w:tcPr>
                  <w:tcW w:w="2138" w:type="dxa"/>
                  <w:vMerge w:val="restart"/>
                  <w:vAlign w:val="center"/>
                </w:tcPr>
                <w:p>
                  <w:pPr>
                    <w:jc w:val="center"/>
                    <w:rPr>
                      <w:szCs w:val="21"/>
                    </w:rPr>
                  </w:pPr>
                  <w:r>
                    <w:rPr>
                      <w:sz w:val="21"/>
                      <w:szCs w:val="21"/>
                    </w:rPr>
                    <w:t>《大气污染物综合排放标准》（GB16297-1996）表2中二级标准</w:t>
                  </w:r>
                  <w:r>
                    <w:rPr>
                      <w:rFonts w:hint="eastAsia"/>
                      <w:sz w:val="21"/>
                      <w:szCs w:val="21"/>
                    </w:rPr>
                    <w:t>和</w:t>
                  </w:r>
                  <w:r>
                    <w:rPr>
                      <w:sz w:val="21"/>
                      <w:szCs w:val="21"/>
                    </w:rPr>
                    <w:t>无组织排放限值要求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center"/>
                </w:tcPr>
                <w:p>
                  <w:pPr>
                    <w:jc w:val="center"/>
                  </w:pPr>
                  <w:r>
                    <w:t>DA00</w:t>
                  </w:r>
                  <w:r>
                    <w:rPr>
                      <w:rFonts w:hint="eastAsia"/>
                    </w:rPr>
                    <w:t>2</w:t>
                  </w:r>
                </w:p>
              </w:tc>
              <w:tc>
                <w:tcPr>
                  <w:tcW w:w="852" w:type="dxa"/>
                  <w:vAlign w:val="center"/>
                </w:tcPr>
                <w:p>
                  <w:pPr>
                    <w:jc w:val="center"/>
                  </w:pPr>
                  <w:r>
                    <w:t>15m</w:t>
                  </w:r>
                </w:p>
              </w:tc>
              <w:tc>
                <w:tcPr>
                  <w:tcW w:w="756" w:type="dxa"/>
                  <w:vAlign w:val="center"/>
                </w:tcPr>
                <w:p>
                  <w:pPr>
                    <w:jc w:val="center"/>
                  </w:pPr>
                  <w:r>
                    <w:t>0</w:t>
                  </w:r>
                  <w:r>
                    <w:rPr>
                      <w:rFonts w:hint="eastAsia"/>
                    </w:rPr>
                    <w:t>.4</w:t>
                  </w:r>
                  <w:r>
                    <w:t>m</w:t>
                  </w:r>
                </w:p>
              </w:tc>
              <w:tc>
                <w:tcPr>
                  <w:tcW w:w="1698" w:type="dxa"/>
                  <w:vAlign w:val="center"/>
                </w:tcPr>
                <w:p>
                  <w:pPr>
                    <w:jc w:val="center"/>
                  </w:pPr>
                  <w:r>
                    <w:t>11</w:t>
                  </w:r>
                  <w:r>
                    <w:rPr>
                      <w:rFonts w:hint="eastAsia"/>
                      <w:lang w:val="en-US" w:eastAsia="zh-CN"/>
                    </w:rPr>
                    <w:t>8</w:t>
                  </w:r>
                  <w:r>
                    <w:t>°</w:t>
                  </w:r>
                  <w:r>
                    <w:rPr>
                      <w:rFonts w:hint="eastAsia"/>
                      <w:lang w:val="en-US" w:eastAsia="zh-CN"/>
                    </w:rPr>
                    <w:t>4</w:t>
                  </w:r>
                  <w:r>
                    <w:t>′</w:t>
                  </w:r>
                  <w:r>
                    <w:rPr>
                      <w:rFonts w:hint="eastAsia"/>
                      <w:lang w:val="en-US" w:eastAsia="zh-CN"/>
                    </w:rPr>
                    <w:t>43</w:t>
                  </w:r>
                  <w:r>
                    <w:t>.5</w:t>
                  </w:r>
                  <w:r>
                    <w:rPr>
                      <w:rFonts w:hint="eastAsia"/>
                      <w:lang w:val="en-US" w:eastAsia="zh-CN"/>
                    </w:rPr>
                    <w:t>0</w:t>
                  </w:r>
                  <w:r>
                    <w:t>3″</w:t>
                  </w:r>
                </w:p>
              </w:tc>
              <w:tc>
                <w:tcPr>
                  <w:tcW w:w="1515" w:type="dxa"/>
                  <w:vAlign w:val="center"/>
                </w:tcPr>
                <w:p>
                  <w:pPr>
                    <w:jc w:val="center"/>
                  </w:pPr>
                  <w:r>
                    <w:t>33°</w:t>
                  </w:r>
                  <w:r>
                    <w:rPr>
                      <w:rFonts w:hint="eastAsia"/>
                      <w:lang w:val="en-US" w:eastAsia="zh-CN"/>
                    </w:rPr>
                    <w:t>3</w:t>
                  </w:r>
                  <w:r>
                    <w:t>9′</w:t>
                  </w:r>
                  <w:r>
                    <w:rPr>
                      <w:rFonts w:hint="eastAsia"/>
                      <w:lang w:val="en-US" w:eastAsia="zh-CN"/>
                    </w:rPr>
                    <w:t>10.744</w:t>
                  </w:r>
                  <w:r>
                    <w:t>″</w:t>
                  </w:r>
                </w:p>
              </w:tc>
              <w:tc>
                <w:tcPr>
                  <w:tcW w:w="2138" w:type="dxa"/>
                  <w:vMerge w:val="continue"/>
                  <w:vAlign w:val="center"/>
                </w:tcPr>
                <w:p>
                  <w:pPr>
                    <w:jc w:val="center"/>
                    <w:rPr>
                      <w:szCs w:val="21"/>
                    </w:rPr>
                  </w:pPr>
                </w:p>
              </w:tc>
            </w:tr>
          </w:tbl>
          <w:p>
            <w:pPr>
              <w:pStyle w:val="4"/>
              <w:spacing w:before="0" w:after="0" w:line="240" w:lineRule="auto"/>
              <w:jc w:val="center"/>
              <w:rPr>
                <w:sz w:val="24"/>
                <w:szCs w:val="24"/>
              </w:rPr>
            </w:pPr>
            <w:r>
              <w:rPr>
                <w:sz w:val="24"/>
                <w:szCs w:val="24"/>
                <w:lang w:bidi="ar"/>
              </w:rPr>
              <w:t>表4-</w:t>
            </w:r>
            <w:r>
              <w:rPr>
                <w:rFonts w:hint="eastAsia"/>
                <w:sz w:val="24"/>
                <w:szCs w:val="24"/>
                <w:lang w:bidi="ar"/>
              </w:rPr>
              <w:t>4</w:t>
            </w:r>
            <w:r>
              <w:rPr>
                <w:sz w:val="24"/>
                <w:szCs w:val="24"/>
                <w:lang w:bidi="ar"/>
              </w:rPr>
              <w:t xml:space="preserve">  废气有组织产排污情况一览表</w:t>
            </w:r>
          </w:p>
          <w:tbl>
            <w:tblPr>
              <w:tblStyle w:val="22"/>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34"/>
              <w:gridCol w:w="690"/>
              <w:gridCol w:w="728"/>
              <w:gridCol w:w="645"/>
              <w:gridCol w:w="802"/>
              <w:gridCol w:w="758"/>
              <w:gridCol w:w="787"/>
              <w:gridCol w:w="848"/>
              <w:gridCol w:w="727"/>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 w:hRule="atLeast"/>
                <w:tblHeader/>
                <w:jc w:val="center"/>
              </w:trPr>
              <w:tc>
                <w:tcPr>
                  <w:tcW w:w="741" w:type="dxa"/>
                  <w:vMerge w:val="restart"/>
                  <w:vAlign w:val="center"/>
                </w:tcPr>
                <w:p>
                  <w:pPr>
                    <w:jc w:val="center"/>
                    <w:rPr>
                      <w:b/>
                      <w:szCs w:val="21"/>
                    </w:rPr>
                  </w:pPr>
                  <w:r>
                    <w:rPr>
                      <w:b/>
                      <w:szCs w:val="21"/>
                    </w:rPr>
                    <w:t>工序</w:t>
                  </w:r>
                </w:p>
              </w:tc>
              <w:tc>
                <w:tcPr>
                  <w:tcW w:w="434" w:type="dxa"/>
                  <w:vMerge w:val="restart"/>
                  <w:vAlign w:val="center"/>
                </w:tcPr>
                <w:p>
                  <w:pPr>
                    <w:jc w:val="center"/>
                    <w:rPr>
                      <w:b/>
                      <w:szCs w:val="21"/>
                    </w:rPr>
                  </w:pPr>
                  <w:r>
                    <w:rPr>
                      <w:b/>
                      <w:szCs w:val="21"/>
                    </w:rPr>
                    <w:t>名称</w:t>
                  </w:r>
                </w:p>
              </w:tc>
              <w:tc>
                <w:tcPr>
                  <w:tcW w:w="690" w:type="dxa"/>
                  <w:vMerge w:val="restart"/>
                  <w:vAlign w:val="center"/>
                </w:tcPr>
                <w:p>
                  <w:pPr>
                    <w:jc w:val="center"/>
                    <w:rPr>
                      <w:b/>
                      <w:szCs w:val="21"/>
                    </w:rPr>
                  </w:pPr>
                  <w:r>
                    <w:rPr>
                      <w:b/>
                      <w:szCs w:val="21"/>
                    </w:rPr>
                    <w:t>废气量m</w:t>
                  </w:r>
                  <w:r>
                    <w:rPr>
                      <w:b/>
                      <w:szCs w:val="21"/>
                      <w:vertAlign w:val="superscript"/>
                    </w:rPr>
                    <w:t>3</w:t>
                  </w:r>
                  <w:r>
                    <w:rPr>
                      <w:b/>
                      <w:szCs w:val="21"/>
                    </w:rPr>
                    <w:t>/h</w:t>
                  </w:r>
                </w:p>
              </w:tc>
              <w:tc>
                <w:tcPr>
                  <w:tcW w:w="2175" w:type="dxa"/>
                  <w:gridSpan w:val="3"/>
                  <w:vAlign w:val="center"/>
                </w:tcPr>
                <w:p>
                  <w:pPr>
                    <w:jc w:val="center"/>
                    <w:rPr>
                      <w:b/>
                      <w:szCs w:val="21"/>
                    </w:rPr>
                  </w:pPr>
                  <w:r>
                    <w:rPr>
                      <w:b/>
                      <w:szCs w:val="21"/>
                    </w:rPr>
                    <w:t>产生情况</w:t>
                  </w:r>
                </w:p>
              </w:tc>
              <w:tc>
                <w:tcPr>
                  <w:tcW w:w="2393" w:type="dxa"/>
                  <w:gridSpan w:val="3"/>
                  <w:vAlign w:val="center"/>
                </w:tcPr>
                <w:p>
                  <w:pPr>
                    <w:jc w:val="center"/>
                    <w:rPr>
                      <w:b/>
                      <w:szCs w:val="21"/>
                    </w:rPr>
                  </w:pPr>
                  <w:r>
                    <w:rPr>
                      <w:b/>
                      <w:szCs w:val="21"/>
                    </w:rPr>
                    <w:t>排放情况</w:t>
                  </w:r>
                </w:p>
              </w:tc>
              <w:tc>
                <w:tcPr>
                  <w:tcW w:w="727" w:type="dxa"/>
                  <w:vMerge w:val="restart"/>
                  <w:vAlign w:val="center"/>
                </w:tcPr>
                <w:p>
                  <w:pPr>
                    <w:jc w:val="center"/>
                    <w:rPr>
                      <w:b/>
                      <w:szCs w:val="21"/>
                    </w:rPr>
                  </w:pPr>
                  <w:r>
                    <w:rPr>
                      <w:b/>
                      <w:szCs w:val="21"/>
                    </w:rPr>
                    <w:t>排放限值kg</w:t>
                  </w:r>
                  <w:r>
                    <w:rPr>
                      <w:b/>
                      <w:bCs/>
                      <w:szCs w:val="21"/>
                    </w:rPr>
                    <w:t>/h</w:t>
                  </w:r>
                </w:p>
              </w:tc>
              <w:tc>
                <w:tcPr>
                  <w:tcW w:w="777" w:type="dxa"/>
                  <w:vMerge w:val="restart"/>
                </w:tcPr>
                <w:p>
                  <w:pPr>
                    <w:jc w:val="center"/>
                    <w:rPr>
                      <w:b/>
                      <w:szCs w:val="21"/>
                    </w:rPr>
                  </w:pPr>
                  <w:r>
                    <w:rPr>
                      <w:b/>
                      <w:szCs w:val="21"/>
                    </w:rPr>
                    <w:t>排气筒编号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741" w:type="dxa"/>
                  <w:vMerge w:val="continue"/>
                  <w:vAlign w:val="center"/>
                </w:tcPr>
                <w:p>
                  <w:pPr>
                    <w:jc w:val="center"/>
                    <w:rPr>
                      <w:b/>
                      <w:szCs w:val="21"/>
                    </w:rPr>
                  </w:pPr>
                </w:p>
              </w:tc>
              <w:tc>
                <w:tcPr>
                  <w:tcW w:w="434" w:type="dxa"/>
                  <w:vMerge w:val="continue"/>
                  <w:vAlign w:val="center"/>
                </w:tcPr>
                <w:p>
                  <w:pPr>
                    <w:jc w:val="center"/>
                    <w:rPr>
                      <w:b/>
                      <w:szCs w:val="21"/>
                    </w:rPr>
                  </w:pPr>
                </w:p>
              </w:tc>
              <w:tc>
                <w:tcPr>
                  <w:tcW w:w="690" w:type="dxa"/>
                  <w:vMerge w:val="continue"/>
                  <w:vAlign w:val="center"/>
                </w:tcPr>
                <w:p>
                  <w:pPr>
                    <w:jc w:val="center"/>
                    <w:rPr>
                      <w:b/>
                      <w:szCs w:val="21"/>
                    </w:rPr>
                  </w:pPr>
                </w:p>
              </w:tc>
              <w:tc>
                <w:tcPr>
                  <w:tcW w:w="728" w:type="dxa"/>
                  <w:vAlign w:val="center"/>
                </w:tcPr>
                <w:p>
                  <w:pPr>
                    <w:jc w:val="center"/>
                    <w:rPr>
                      <w:b/>
                      <w:szCs w:val="21"/>
                    </w:rPr>
                  </w:pPr>
                  <w:r>
                    <w:rPr>
                      <w:b/>
                      <w:szCs w:val="21"/>
                    </w:rPr>
                    <w:t>产生量t/a</w:t>
                  </w:r>
                </w:p>
              </w:tc>
              <w:tc>
                <w:tcPr>
                  <w:tcW w:w="645" w:type="dxa"/>
                  <w:vAlign w:val="center"/>
                </w:tcPr>
                <w:p>
                  <w:pPr>
                    <w:jc w:val="center"/>
                    <w:rPr>
                      <w:b/>
                      <w:szCs w:val="21"/>
                    </w:rPr>
                  </w:pPr>
                  <w:r>
                    <w:rPr>
                      <w:b/>
                      <w:szCs w:val="21"/>
                    </w:rPr>
                    <w:t>速率kg/h</w:t>
                  </w:r>
                </w:p>
              </w:tc>
              <w:tc>
                <w:tcPr>
                  <w:tcW w:w="802" w:type="dxa"/>
                  <w:vAlign w:val="center"/>
                </w:tcPr>
                <w:p>
                  <w:pPr>
                    <w:jc w:val="center"/>
                    <w:rPr>
                      <w:b/>
                      <w:szCs w:val="21"/>
                    </w:rPr>
                  </w:pPr>
                  <w:r>
                    <w:rPr>
                      <w:b/>
                      <w:szCs w:val="21"/>
                    </w:rPr>
                    <w:t>浓度mg/m</w:t>
                  </w:r>
                  <w:r>
                    <w:rPr>
                      <w:b/>
                      <w:szCs w:val="21"/>
                      <w:vertAlign w:val="superscript"/>
                    </w:rPr>
                    <w:t>3</w:t>
                  </w:r>
                </w:p>
              </w:tc>
              <w:tc>
                <w:tcPr>
                  <w:tcW w:w="758" w:type="dxa"/>
                  <w:vAlign w:val="center"/>
                </w:tcPr>
                <w:p>
                  <w:pPr>
                    <w:jc w:val="center"/>
                    <w:rPr>
                      <w:b/>
                      <w:szCs w:val="21"/>
                    </w:rPr>
                  </w:pPr>
                  <w:r>
                    <w:rPr>
                      <w:b/>
                      <w:szCs w:val="21"/>
                    </w:rPr>
                    <w:t>排放量t/a</w:t>
                  </w:r>
                </w:p>
              </w:tc>
              <w:tc>
                <w:tcPr>
                  <w:tcW w:w="787" w:type="dxa"/>
                  <w:vAlign w:val="center"/>
                </w:tcPr>
                <w:p>
                  <w:pPr>
                    <w:jc w:val="center"/>
                    <w:rPr>
                      <w:b/>
                      <w:szCs w:val="21"/>
                    </w:rPr>
                  </w:pPr>
                  <w:r>
                    <w:rPr>
                      <w:b/>
                      <w:szCs w:val="21"/>
                    </w:rPr>
                    <w:t>速率kg/h</w:t>
                  </w:r>
                </w:p>
              </w:tc>
              <w:tc>
                <w:tcPr>
                  <w:tcW w:w="848" w:type="dxa"/>
                  <w:vAlign w:val="center"/>
                </w:tcPr>
                <w:p>
                  <w:pPr>
                    <w:jc w:val="center"/>
                    <w:rPr>
                      <w:b/>
                      <w:szCs w:val="21"/>
                    </w:rPr>
                  </w:pPr>
                  <w:r>
                    <w:rPr>
                      <w:b/>
                      <w:szCs w:val="21"/>
                    </w:rPr>
                    <w:t>浓度mg/m</w:t>
                  </w:r>
                  <w:r>
                    <w:rPr>
                      <w:b/>
                      <w:szCs w:val="21"/>
                      <w:vertAlign w:val="superscript"/>
                    </w:rPr>
                    <w:t>3</w:t>
                  </w:r>
                </w:p>
              </w:tc>
              <w:tc>
                <w:tcPr>
                  <w:tcW w:w="727" w:type="dxa"/>
                  <w:vMerge w:val="continue"/>
                  <w:vAlign w:val="center"/>
                </w:tcPr>
                <w:p>
                  <w:pPr>
                    <w:jc w:val="center"/>
                    <w:rPr>
                      <w:b/>
                      <w:szCs w:val="21"/>
                    </w:rPr>
                  </w:pPr>
                </w:p>
              </w:tc>
              <w:tc>
                <w:tcPr>
                  <w:tcW w:w="777" w:type="dxa"/>
                  <w:vMerge w:val="continue"/>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741" w:type="dxa"/>
                  <w:vAlign w:val="center"/>
                </w:tcPr>
                <w:p>
                  <w:pPr>
                    <w:jc w:val="center"/>
                    <w:rPr>
                      <w:szCs w:val="21"/>
                    </w:rPr>
                  </w:pPr>
                  <w:r>
                    <w:rPr>
                      <w:szCs w:val="21"/>
                    </w:rPr>
                    <w:t>下料、雕刻、</w:t>
                  </w:r>
                  <w:r>
                    <w:rPr>
                      <w:rFonts w:ascii="宋体" w:hAnsi="宋体" w:cs="宋体"/>
                      <w:szCs w:val="21"/>
                    </w:rPr>
                    <w:t>修边</w:t>
                  </w:r>
                  <w:r>
                    <w:rPr>
                      <w:szCs w:val="21"/>
                    </w:rPr>
                    <w:t>、</w:t>
                  </w:r>
                  <w:r>
                    <w:rPr>
                      <w:rFonts w:ascii="宋体" w:hAnsi="宋体" w:cs="宋体"/>
                      <w:szCs w:val="21"/>
                    </w:rPr>
                    <w:t>打磨</w:t>
                  </w:r>
                </w:p>
              </w:tc>
              <w:tc>
                <w:tcPr>
                  <w:tcW w:w="434" w:type="dxa"/>
                  <w:vAlign w:val="center"/>
                </w:tcPr>
                <w:p>
                  <w:pPr>
                    <w:jc w:val="center"/>
                    <w:rPr>
                      <w:color w:val="000000"/>
                      <w:kern w:val="0"/>
                      <w:szCs w:val="21"/>
                      <w:lang w:bidi="ar"/>
                    </w:rPr>
                  </w:pPr>
                  <w:r>
                    <w:rPr>
                      <w:rFonts w:hint="eastAsia"/>
                      <w:szCs w:val="21"/>
                    </w:rPr>
                    <w:t>颗粒物</w:t>
                  </w:r>
                </w:p>
              </w:tc>
              <w:tc>
                <w:tcPr>
                  <w:tcW w:w="690" w:type="dxa"/>
                  <w:vAlign w:val="center"/>
                </w:tcPr>
                <w:p>
                  <w:pPr>
                    <w:jc w:val="center"/>
                    <w:rPr>
                      <w:szCs w:val="21"/>
                    </w:rPr>
                  </w:pPr>
                  <w:r>
                    <w:rPr>
                      <w:rFonts w:hint="eastAsia"/>
                      <w:szCs w:val="21"/>
                    </w:rPr>
                    <w:t>5</w:t>
                  </w:r>
                  <w:r>
                    <w:rPr>
                      <w:szCs w:val="21"/>
                    </w:rPr>
                    <w:t>000</w:t>
                  </w:r>
                </w:p>
              </w:tc>
              <w:tc>
                <w:tcPr>
                  <w:tcW w:w="728" w:type="dxa"/>
                  <w:vAlign w:val="center"/>
                </w:tcPr>
                <w:p>
                  <w:pPr>
                    <w:jc w:val="center"/>
                    <w:rPr>
                      <w:rFonts w:hint="default" w:eastAsia="宋体"/>
                      <w:szCs w:val="21"/>
                      <w:lang w:val="en-US" w:eastAsia="zh-CN"/>
                    </w:rPr>
                  </w:pPr>
                  <w:r>
                    <w:rPr>
                      <w:rFonts w:hint="eastAsia"/>
                      <w:szCs w:val="21"/>
                      <w:lang w:val="en-US" w:eastAsia="zh-CN"/>
                    </w:rPr>
                    <w:t>2.33</w:t>
                  </w:r>
                </w:p>
              </w:tc>
              <w:tc>
                <w:tcPr>
                  <w:tcW w:w="645" w:type="dxa"/>
                  <w:vAlign w:val="center"/>
                </w:tcPr>
                <w:p>
                  <w:pPr>
                    <w:jc w:val="center"/>
                    <w:rPr>
                      <w:szCs w:val="21"/>
                    </w:rPr>
                  </w:pPr>
                  <w:r>
                    <w:rPr>
                      <w:rFonts w:hint="eastAsia"/>
                      <w:szCs w:val="21"/>
                    </w:rPr>
                    <w:t>0.97</w:t>
                  </w:r>
                </w:p>
              </w:tc>
              <w:tc>
                <w:tcPr>
                  <w:tcW w:w="802" w:type="dxa"/>
                  <w:vAlign w:val="center"/>
                </w:tcPr>
                <w:p>
                  <w:pPr>
                    <w:jc w:val="center"/>
                    <w:rPr>
                      <w:szCs w:val="21"/>
                    </w:rPr>
                  </w:pPr>
                  <w:r>
                    <w:rPr>
                      <w:rFonts w:hint="eastAsia"/>
                      <w:szCs w:val="21"/>
                    </w:rPr>
                    <w:t>194</w:t>
                  </w:r>
                </w:p>
              </w:tc>
              <w:tc>
                <w:tcPr>
                  <w:tcW w:w="758" w:type="dxa"/>
                  <w:vAlign w:val="center"/>
                </w:tcPr>
                <w:p>
                  <w:pPr>
                    <w:jc w:val="center"/>
                    <w:rPr>
                      <w:rFonts w:hint="default" w:eastAsia="宋体"/>
                      <w:szCs w:val="21"/>
                      <w:lang w:val="en-US" w:eastAsia="zh-CN"/>
                    </w:rPr>
                  </w:pPr>
                  <w:r>
                    <w:rPr>
                      <w:rFonts w:hint="eastAsia"/>
                      <w:szCs w:val="21"/>
                    </w:rPr>
                    <w:t>0.0</w:t>
                  </w:r>
                  <w:r>
                    <w:rPr>
                      <w:rFonts w:hint="eastAsia"/>
                      <w:szCs w:val="21"/>
                      <w:lang w:val="en-US" w:eastAsia="zh-CN"/>
                    </w:rPr>
                    <w:t>69</w:t>
                  </w:r>
                </w:p>
              </w:tc>
              <w:tc>
                <w:tcPr>
                  <w:tcW w:w="787" w:type="dxa"/>
                  <w:vAlign w:val="center"/>
                </w:tcPr>
                <w:p>
                  <w:pPr>
                    <w:jc w:val="center"/>
                    <w:rPr>
                      <w:rFonts w:hint="default" w:eastAsia="宋体"/>
                      <w:szCs w:val="21"/>
                      <w:lang w:val="en-US" w:eastAsia="zh-CN"/>
                    </w:rPr>
                  </w:pPr>
                  <w:r>
                    <w:rPr>
                      <w:rFonts w:hint="eastAsia"/>
                      <w:szCs w:val="21"/>
                    </w:rPr>
                    <w:t>0.0</w:t>
                  </w:r>
                  <w:r>
                    <w:rPr>
                      <w:rFonts w:hint="eastAsia"/>
                      <w:szCs w:val="21"/>
                      <w:lang w:val="en-US" w:eastAsia="zh-CN"/>
                    </w:rPr>
                    <w:t>29</w:t>
                  </w:r>
                </w:p>
              </w:tc>
              <w:tc>
                <w:tcPr>
                  <w:tcW w:w="848" w:type="dxa"/>
                  <w:vAlign w:val="center"/>
                </w:tcPr>
                <w:p>
                  <w:pPr>
                    <w:jc w:val="center"/>
                    <w:rPr>
                      <w:rFonts w:hint="default" w:eastAsia="宋体"/>
                      <w:szCs w:val="21"/>
                      <w:lang w:val="en-US" w:eastAsia="zh-CN"/>
                    </w:rPr>
                  </w:pPr>
                  <w:r>
                    <w:rPr>
                      <w:rFonts w:hint="eastAsia"/>
                      <w:szCs w:val="21"/>
                      <w:lang w:val="en-US" w:eastAsia="zh-CN"/>
                    </w:rPr>
                    <w:t>5.8</w:t>
                  </w:r>
                </w:p>
              </w:tc>
              <w:tc>
                <w:tcPr>
                  <w:tcW w:w="727" w:type="dxa"/>
                  <w:vAlign w:val="center"/>
                </w:tcPr>
                <w:p>
                  <w:pPr>
                    <w:jc w:val="center"/>
                    <w:rPr>
                      <w:szCs w:val="21"/>
                    </w:rPr>
                  </w:pPr>
                  <w:r>
                    <w:rPr>
                      <w:rFonts w:hint="eastAsia"/>
                      <w:szCs w:val="21"/>
                    </w:rPr>
                    <w:t>0.36</w:t>
                  </w:r>
                </w:p>
              </w:tc>
              <w:tc>
                <w:tcPr>
                  <w:tcW w:w="777" w:type="dxa"/>
                  <w:vAlign w:val="center"/>
                </w:tcPr>
                <w:p>
                  <w:pPr>
                    <w:jc w:val="center"/>
                    <w:rPr>
                      <w:szCs w:val="21"/>
                    </w:rPr>
                  </w:pPr>
                  <w:r>
                    <w:rPr>
                      <w:szCs w:val="21"/>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741" w:type="dxa"/>
                  <w:vMerge w:val="restart"/>
                  <w:vAlign w:val="center"/>
                </w:tcPr>
                <w:p>
                  <w:pPr>
                    <w:jc w:val="center"/>
                    <w:rPr>
                      <w:szCs w:val="21"/>
                    </w:rPr>
                  </w:pPr>
                  <w:r>
                    <w:rPr>
                      <w:szCs w:val="21"/>
                    </w:rPr>
                    <w:t>调漆</w:t>
                  </w:r>
                  <w:r>
                    <w:rPr>
                      <w:rFonts w:hint="eastAsia"/>
                      <w:szCs w:val="21"/>
                    </w:rPr>
                    <w:t>、</w:t>
                  </w:r>
                  <w:r>
                    <w:rPr>
                      <w:szCs w:val="21"/>
                    </w:rPr>
                    <w:t>喷漆</w:t>
                  </w:r>
                  <w:r>
                    <w:rPr>
                      <w:rFonts w:hint="eastAsia"/>
                      <w:szCs w:val="21"/>
                    </w:rPr>
                    <w:t>及风干</w:t>
                  </w:r>
                </w:p>
              </w:tc>
              <w:tc>
                <w:tcPr>
                  <w:tcW w:w="434" w:type="dxa"/>
                  <w:vAlign w:val="center"/>
                </w:tcPr>
                <w:p>
                  <w:pPr>
                    <w:jc w:val="center"/>
                    <w:rPr>
                      <w:color w:val="000000"/>
                      <w:kern w:val="0"/>
                      <w:szCs w:val="21"/>
                      <w:lang w:bidi="ar"/>
                    </w:rPr>
                  </w:pPr>
                  <w:r>
                    <w:rPr>
                      <w:rFonts w:hint="eastAsia"/>
                      <w:szCs w:val="21"/>
                    </w:rPr>
                    <w:t>非甲烷总烃</w:t>
                  </w:r>
                </w:p>
              </w:tc>
              <w:tc>
                <w:tcPr>
                  <w:tcW w:w="690" w:type="dxa"/>
                  <w:vMerge w:val="restart"/>
                  <w:vAlign w:val="center"/>
                </w:tcPr>
                <w:p>
                  <w:pPr>
                    <w:jc w:val="center"/>
                    <w:rPr>
                      <w:szCs w:val="21"/>
                    </w:rPr>
                  </w:pPr>
                  <w:r>
                    <w:rPr>
                      <w:rFonts w:hint="eastAsia"/>
                      <w:szCs w:val="21"/>
                    </w:rPr>
                    <w:t>8000</w:t>
                  </w:r>
                </w:p>
              </w:tc>
              <w:tc>
                <w:tcPr>
                  <w:tcW w:w="728" w:type="dxa"/>
                  <w:vAlign w:val="center"/>
                </w:tcPr>
                <w:p>
                  <w:pPr>
                    <w:jc w:val="center"/>
                    <w:rPr>
                      <w:rFonts w:hint="default" w:eastAsia="宋体"/>
                      <w:szCs w:val="21"/>
                      <w:lang w:val="en-US" w:eastAsia="zh-CN"/>
                    </w:rPr>
                  </w:pPr>
                  <w:r>
                    <w:rPr>
                      <w:rFonts w:hint="eastAsia"/>
                      <w:szCs w:val="21"/>
                    </w:rPr>
                    <w:t>0.</w:t>
                  </w:r>
                  <w:r>
                    <w:rPr>
                      <w:rFonts w:hint="eastAsia"/>
                      <w:szCs w:val="21"/>
                      <w:lang w:val="en-US" w:eastAsia="zh-CN"/>
                    </w:rPr>
                    <w:t>468</w:t>
                  </w:r>
                </w:p>
              </w:tc>
              <w:tc>
                <w:tcPr>
                  <w:tcW w:w="645" w:type="dxa"/>
                  <w:vAlign w:val="center"/>
                </w:tcPr>
                <w:p>
                  <w:pPr>
                    <w:jc w:val="center"/>
                    <w:rPr>
                      <w:rFonts w:hint="default" w:eastAsia="宋体"/>
                      <w:szCs w:val="21"/>
                      <w:lang w:val="en-US" w:eastAsia="zh-CN"/>
                    </w:rPr>
                  </w:pPr>
                  <w:r>
                    <w:rPr>
                      <w:rFonts w:hint="eastAsia"/>
                      <w:szCs w:val="21"/>
                      <w:lang w:val="en-US" w:eastAsia="zh-CN"/>
                    </w:rPr>
                    <w:t>1.04</w:t>
                  </w:r>
                </w:p>
              </w:tc>
              <w:tc>
                <w:tcPr>
                  <w:tcW w:w="802" w:type="dxa"/>
                  <w:vAlign w:val="center"/>
                </w:tcPr>
                <w:p>
                  <w:pPr>
                    <w:jc w:val="center"/>
                    <w:rPr>
                      <w:rFonts w:hint="default" w:eastAsia="宋体"/>
                      <w:szCs w:val="21"/>
                      <w:lang w:val="en-US" w:eastAsia="zh-CN"/>
                    </w:rPr>
                  </w:pPr>
                  <w:r>
                    <w:rPr>
                      <w:rFonts w:hint="eastAsia"/>
                      <w:szCs w:val="21"/>
                    </w:rPr>
                    <w:t>1</w:t>
                  </w:r>
                  <w:r>
                    <w:rPr>
                      <w:rFonts w:hint="eastAsia"/>
                      <w:szCs w:val="21"/>
                      <w:lang w:val="en-US" w:eastAsia="zh-CN"/>
                    </w:rPr>
                    <w:t>30</w:t>
                  </w:r>
                </w:p>
              </w:tc>
              <w:tc>
                <w:tcPr>
                  <w:tcW w:w="758" w:type="dxa"/>
                  <w:vAlign w:val="center"/>
                </w:tcPr>
                <w:p>
                  <w:pPr>
                    <w:jc w:val="center"/>
                    <w:rPr>
                      <w:rFonts w:hint="default" w:eastAsia="宋体"/>
                      <w:szCs w:val="21"/>
                      <w:lang w:val="en-US" w:eastAsia="zh-CN"/>
                    </w:rPr>
                  </w:pPr>
                  <w:r>
                    <w:rPr>
                      <w:rFonts w:hint="eastAsia"/>
                      <w:szCs w:val="21"/>
                    </w:rPr>
                    <w:t>0.0</w:t>
                  </w:r>
                  <w:r>
                    <w:rPr>
                      <w:rFonts w:hint="eastAsia"/>
                      <w:szCs w:val="21"/>
                      <w:lang w:val="en-US" w:eastAsia="zh-CN"/>
                    </w:rPr>
                    <w:t>47</w:t>
                  </w:r>
                </w:p>
              </w:tc>
              <w:tc>
                <w:tcPr>
                  <w:tcW w:w="787" w:type="dxa"/>
                  <w:vAlign w:val="center"/>
                </w:tcPr>
                <w:p>
                  <w:pPr>
                    <w:jc w:val="center"/>
                    <w:rPr>
                      <w:rFonts w:hint="default" w:eastAsia="宋体"/>
                      <w:szCs w:val="21"/>
                      <w:lang w:val="en-US" w:eastAsia="zh-CN"/>
                    </w:rPr>
                  </w:pPr>
                  <w:r>
                    <w:rPr>
                      <w:rFonts w:hint="eastAsia"/>
                      <w:szCs w:val="21"/>
                    </w:rPr>
                    <w:t>0.</w:t>
                  </w:r>
                  <w:r>
                    <w:rPr>
                      <w:rFonts w:hint="eastAsia"/>
                      <w:szCs w:val="21"/>
                      <w:lang w:val="en-US" w:eastAsia="zh-CN"/>
                    </w:rPr>
                    <w:t>104</w:t>
                  </w:r>
                </w:p>
              </w:tc>
              <w:tc>
                <w:tcPr>
                  <w:tcW w:w="848" w:type="dxa"/>
                  <w:vAlign w:val="center"/>
                </w:tcPr>
                <w:p>
                  <w:pPr>
                    <w:jc w:val="center"/>
                    <w:rPr>
                      <w:rFonts w:hint="default" w:eastAsia="宋体"/>
                      <w:szCs w:val="21"/>
                      <w:lang w:val="en-US" w:eastAsia="zh-CN"/>
                    </w:rPr>
                  </w:pPr>
                  <w:r>
                    <w:rPr>
                      <w:rFonts w:hint="eastAsia"/>
                      <w:szCs w:val="21"/>
                    </w:rPr>
                    <w:t>1</w:t>
                  </w:r>
                  <w:r>
                    <w:rPr>
                      <w:rFonts w:hint="eastAsia"/>
                      <w:szCs w:val="21"/>
                      <w:lang w:val="en-US" w:eastAsia="zh-CN"/>
                    </w:rPr>
                    <w:t>3</w:t>
                  </w:r>
                </w:p>
              </w:tc>
              <w:tc>
                <w:tcPr>
                  <w:tcW w:w="727" w:type="dxa"/>
                  <w:vAlign w:val="center"/>
                </w:tcPr>
                <w:p>
                  <w:pPr>
                    <w:jc w:val="center"/>
                    <w:rPr>
                      <w:szCs w:val="21"/>
                    </w:rPr>
                  </w:pPr>
                  <w:r>
                    <w:rPr>
                      <w:rFonts w:hint="eastAsia"/>
                      <w:szCs w:val="21"/>
                    </w:rPr>
                    <w:t>2.0</w:t>
                  </w:r>
                </w:p>
              </w:tc>
              <w:tc>
                <w:tcPr>
                  <w:tcW w:w="777" w:type="dxa"/>
                  <w:vMerge w:val="restart"/>
                  <w:vAlign w:val="center"/>
                </w:tcPr>
                <w:p>
                  <w:pPr>
                    <w:jc w:val="center"/>
                    <w:rPr>
                      <w:szCs w:val="21"/>
                    </w:rPr>
                  </w:pPr>
                  <w:r>
                    <w:rPr>
                      <w:szCs w:val="21"/>
                    </w:rPr>
                    <w:t>DA00</w:t>
                  </w: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741" w:type="dxa"/>
                  <w:vMerge w:val="continue"/>
                  <w:vAlign w:val="center"/>
                </w:tcPr>
                <w:p>
                  <w:pPr>
                    <w:jc w:val="center"/>
                    <w:rPr>
                      <w:szCs w:val="21"/>
                    </w:rPr>
                  </w:pPr>
                </w:p>
              </w:tc>
              <w:tc>
                <w:tcPr>
                  <w:tcW w:w="4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二甲苯</w:t>
                  </w:r>
                </w:p>
              </w:tc>
              <w:tc>
                <w:tcPr>
                  <w:tcW w:w="690" w:type="dxa"/>
                  <w:vMerge w:val="continue"/>
                  <w:vAlign w:val="center"/>
                </w:tcPr>
                <w:p>
                  <w:pPr>
                    <w:jc w:val="center"/>
                    <w:rPr>
                      <w:color w:val="000000" w:themeColor="text1"/>
                      <w:szCs w:val="21"/>
                      <w14:textFill>
                        <w14:solidFill>
                          <w14:schemeClr w14:val="tx1"/>
                        </w14:solidFill>
                      </w14:textFill>
                    </w:rPr>
                  </w:pPr>
                </w:p>
              </w:tc>
              <w:tc>
                <w:tcPr>
                  <w:tcW w:w="728"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0.2</w:t>
                  </w:r>
                  <w:r>
                    <w:rPr>
                      <w:rFonts w:hint="eastAsia"/>
                      <w:color w:val="000000" w:themeColor="text1"/>
                      <w:szCs w:val="21"/>
                      <w:lang w:val="en-US" w:eastAsia="zh-CN"/>
                      <w14:textFill>
                        <w14:solidFill>
                          <w14:schemeClr w14:val="tx1"/>
                        </w14:solidFill>
                      </w14:textFill>
                    </w:rPr>
                    <w:t>52</w:t>
                  </w:r>
                </w:p>
              </w:tc>
              <w:tc>
                <w:tcPr>
                  <w:tcW w:w="645"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56</w:t>
                  </w:r>
                </w:p>
              </w:tc>
              <w:tc>
                <w:tcPr>
                  <w:tcW w:w="802"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70</w:t>
                  </w:r>
                </w:p>
              </w:tc>
              <w:tc>
                <w:tcPr>
                  <w:tcW w:w="758"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0.02</w:t>
                  </w:r>
                  <w:r>
                    <w:rPr>
                      <w:rFonts w:hint="eastAsia"/>
                      <w:color w:val="000000" w:themeColor="text1"/>
                      <w:szCs w:val="21"/>
                      <w:lang w:val="en-US" w:eastAsia="zh-CN"/>
                      <w14:textFill>
                        <w14:solidFill>
                          <w14:schemeClr w14:val="tx1"/>
                        </w14:solidFill>
                      </w14:textFill>
                    </w:rPr>
                    <w:t>5</w:t>
                  </w:r>
                </w:p>
              </w:tc>
              <w:tc>
                <w:tcPr>
                  <w:tcW w:w="787"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0.0</w:t>
                  </w:r>
                  <w:r>
                    <w:rPr>
                      <w:rFonts w:hint="eastAsia"/>
                      <w:color w:val="000000" w:themeColor="text1"/>
                      <w:szCs w:val="21"/>
                      <w:lang w:val="en-US" w:eastAsia="zh-CN"/>
                      <w14:textFill>
                        <w14:solidFill>
                          <w14:schemeClr w14:val="tx1"/>
                        </w14:solidFill>
                      </w14:textFill>
                    </w:rPr>
                    <w:t>56</w:t>
                  </w:r>
                </w:p>
              </w:tc>
              <w:tc>
                <w:tcPr>
                  <w:tcW w:w="848"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72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77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741" w:type="dxa"/>
                  <w:vMerge w:val="continue"/>
                  <w:vAlign w:val="center"/>
                </w:tcPr>
                <w:p>
                  <w:pPr>
                    <w:jc w:val="center"/>
                    <w:rPr>
                      <w:rFonts w:ascii="宋体" w:hAnsi="宋体" w:cs="宋体"/>
                      <w:szCs w:val="21"/>
                    </w:rPr>
                  </w:pPr>
                </w:p>
              </w:tc>
              <w:tc>
                <w:tcPr>
                  <w:tcW w:w="434" w:type="dxa"/>
                  <w:vAlign w:val="center"/>
                </w:tcPr>
                <w:p>
                  <w:pPr>
                    <w:jc w:val="center"/>
                    <w:rPr>
                      <w:color w:val="000000"/>
                      <w:kern w:val="0"/>
                      <w:szCs w:val="21"/>
                      <w:lang w:bidi="ar"/>
                    </w:rPr>
                  </w:pPr>
                  <w:r>
                    <w:rPr>
                      <w:rFonts w:hint="eastAsia"/>
                      <w:szCs w:val="21"/>
                    </w:rPr>
                    <w:t>颗粒物</w:t>
                  </w:r>
                </w:p>
              </w:tc>
              <w:tc>
                <w:tcPr>
                  <w:tcW w:w="690" w:type="dxa"/>
                  <w:vMerge w:val="continue"/>
                  <w:vAlign w:val="center"/>
                </w:tcPr>
                <w:p>
                  <w:pPr>
                    <w:jc w:val="center"/>
                    <w:rPr>
                      <w:szCs w:val="21"/>
                    </w:rPr>
                  </w:pPr>
                </w:p>
              </w:tc>
              <w:tc>
                <w:tcPr>
                  <w:tcW w:w="728" w:type="dxa"/>
                  <w:vAlign w:val="center"/>
                </w:tcPr>
                <w:p>
                  <w:pPr>
                    <w:jc w:val="center"/>
                    <w:rPr>
                      <w:rFonts w:hint="default" w:eastAsia="宋体"/>
                      <w:szCs w:val="21"/>
                      <w:lang w:val="en-US" w:eastAsia="zh-CN"/>
                    </w:rPr>
                  </w:pPr>
                  <w:r>
                    <w:rPr>
                      <w:rFonts w:hint="eastAsia"/>
                      <w:szCs w:val="21"/>
                    </w:rPr>
                    <w:t>0.</w:t>
                  </w:r>
                  <w:r>
                    <w:rPr>
                      <w:rFonts w:hint="eastAsia"/>
                      <w:szCs w:val="21"/>
                      <w:lang w:val="en-US" w:eastAsia="zh-CN"/>
                    </w:rPr>
                    <w:t>18</w:t>
                  </w:r>
                </w:p>
              </w:tc>
              <w:tc>
                <w:tcPr>
                  <w:tcW w:w="645" w:type="dxa"/>
                  <w:vAlign w:val="center"/>
                </w:tcPr>
                <w:p>
                  <w:pPr>
                    <w:jc w:val="center"/>
                    <w:rPr>
                      <w:rFonts w:hint="eastAsia" w:eastAsia="宋体"/>
                      <w:szCs w:val="21"/>
                      <w:lang w:val="en-US" w:eastAsia="zh-CN"/>
                    </w:rPr>
                  </w:pPr>
                  <w:r>
                    <w:rPr>
                      <w:rFonts w:hint="eastAsia"/>
                      <w:szCs w:val="21"/>
                    </w:rPr>
                    <w:t>0.</w:t>
                  </w:r>
                  <w:r>
                    <w:rPr>
                      <w:rFonts w:hint="eastAsia"/>
                      <w:szCs w:val="21"/>
                      <w:lang w:val="en-US" w:eastAsia="zh-CN"/>
                    </w:rPr>
                    <w:t>4</w:t>
                  </w:r>
                </w:p>
              </w:tc>
              <w:tc>
                <w:tcPr>
                  <w:tcW w:w="802" w:type="dxa"/>
                  <w:vAlign w:val="center"/>
                </w:tcPr>
                <w:p>
                  <w:pPr>
                    <w:jc w:val="center"/>
                    <w:rPr>
                      <w:rFonts w:hint="default" w:eastAsia="宋体"/>
                      <w:szCs w:val="21"/>
                      <w:lang w:val="en-US" w:eastAsia="zh-CN"/>
                    </w:rPr>
                  </w:pPr>
                  <w:r>
                    <w:rPr>
                      <w:rFonts w:hint="eastAsia"/>
                      <w:szCs w:val="21"/>
                      <w:lang w:val="en-US" w:eastAsia="zh-CN"/>
                    </w:rPr>
                    <w:t>50</w:t>
                  </w:r>
                </w:p>
              </w:tc>
              <w:tc>
                <w:tcPr>
                  <w:tcW w:w="758" w:type="dxa"/>
                  <w:vAlign w:val="center"/>
                </w:tcPr>
                <w:p>
                  <w:pPr>
                    <w:jc w:val="center"/>
                    <w:rPr>
                      <w:rFonts w:hint="eastAsia" w:eastAsia="宋体"/>
                      <w:szCs w:val="21"/>
                      <w:lang w:val="en-US" w:eastAsia="zh-CN"/>
                    </w:rPr>
                  </w:pPr>
                  <w:r>
                    <w:rPr>
                      <w:rFonts w:hint="eastAsia"/>
                      <w:szCs w:val="21"/>
                    </w:rPr>
                    <w:t>0.02</w:t>
                  </w:r>
                  <w:r>
                    <w:rPr>
                      <w:rFonts w:hint="eastAsia"/>
                      <w:szCs w:val="21"/>
                      <w:lang w:val="en-US" w:eastAsia="zh-CN"/>
                    </w:rPr>
                    <w:t>7</w:t>
                  </w:r>
                </w:p>
              </w:tc>
              <w:tc>
                <w:tcPr>
                  <w:tcW w:w="787" w:type="dxa"/>
                  <w:vAlign w:val="center"/>
                </w:tcPr>
                <w:p>
                  <w:pPr>
                    <w:jc w:val="center"/>
                    <w:rPr>
                      <w:rFonts w:hint="eastAsia" w:eastAsia="宋体"/>
                      <w:szCs w:val="21"/>
                      <w:lang w:val="en-US" w:eastAsia="zh-CN"/>
                    </w:rPr>
                  </w:pPr>
                  <w:r>
                    <w:rPr>
                      <w:rFonts w:hint="eastAsia"/>
                      <w:szCs w:val="21"/>
                    </w:rPr>
                    <w:t>0.0</w:t>
                  </w:r>
                  <w:r>
                    <w:rPr>
                      <w:rFonts w:hint="eastAsia"/>
                      <w:szCs w:val="21"/>
                      <w:lang w:val="en-US" w:eastAsia="zh-CN"/>
                    </w:rPr>
                    <w:t>6</w:t>
                  </w:r>
                </w:p>
              </w:tc>
              <w:tc>
                <w:tcPr>
                  <w:tcW w:w="848" w:type="dxa"/>
                  <w:vAlign w:val="center"/>
                </w:tcPr>
                <w:p>
                  <w:pPr>
                    <w:jc w:val="center"/>
                    <w:rPr>
                      <w:rFonts w:hint="default" w:eastAsia="宋体"/>
                      <w:szCs w:val="21"/>
                      <w:lang w:val="en-US" w:eastAsia="zh-CN"/>
                    </w:rPr>
                  </w:pPr>
                  <w:r>
                    <w:rPr>
                      <w:rFonts w:hint="eastAsia"/>
                      <w:szCs w:val="21"/>
                      <w:lang w:val="en-US" w:eastAsia="zh-CN"/>
                    </w:rPr>
                    <w:t>7.5</w:t>
                  </w:r>
                </w:p>
              </w:tc>
              <w:tc>
                <w:tcPr>
                  <w:tcW w:w="727" w:type="dxa"/>
                  <w:vAlign w:val="center"/>
                </w:tcPr>
                <w:p>
                  <w:pPr>
                    <w:jc w:val="center"/>
                    <w:rPr>
                      <w:szCs w:val="21"/>
                    </w:rPr>
                  </w:pPr>
                  <w:r>
                    <w:rPr>
                      <w:rFonts w:hint="eastAsia"/>
                      <w:szCs w:val="21"/>
                    </w:rPr>
                    <w:t>1.5</w:t>
                  </w:r>
                </w:p>
              </w:tc>
              <w:tc>
                <w:tcPr>
                  <w:tcW w:w="777" w:type="dxa"/>
                  <w:vMerge w:val="continue"/>
                  <w:vAlign w:val="center"/>
                </w:tcPr>
                <w:p>
                  <w:pPr>
                    <w:jc w:val="center"/>
                    <w:rPr>
                      <w:szCs w:val="21"/>
                    </w:rPr>
                  </w:pPr>
                </w:p>
              </w:tc>
            </w:tr>
          </w:tbl>
          <w:p>
            <w:pPr>
              <w:ind w:firstLine="1928" w:firstLineChars="800"/>
              <w:rPr>
                <w:b/>
                <w:bCs/>
                <w:sz w:val="24"/>
              </w:rPr>
            </w:pPr>
            <w:r>
              <w:rPr>
                <w:b/>
                <w:bCs/>
                <w:sz w:val="24"/>
              </w:rPr>
              <w:t>表4-</w:t>
            </w:r>
            <w:r>
              <w:rPr>
                <w:rFonts w:hint="eastAsia"/>
                <w:b/>
                <w:bCs/>
                <w:sz w:val="24"/>
              </w:rPr>
              <w:t>5</w:t>
            </w:r>
            <w:r>
              <w:rPr>
                <w:b/>
                <w:bCs/>
                <w:sz w:val="24"/>
              </w:rPr>
              <w:t xml:space="preserve">  废气无组织排放情况一览表</w:t>
            </w:r>
          </w:p>
          <w:tbl>
            <w:tblPr>
              <w:tblStyle w:val="22"/>
              <w:tblpPr w:leftFromText="180" w:rightFromText="180" w:vertAnchor="text" w:horzAnchor="page" w:tblpXSpec="center" w:tblpY="59"/>
              <w:tblOverlap w:val="never"/>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226"/>
              <w:gridCol w:w="1149"/>
              <w:gridCol w:w="1337"/>
              <w:gridCol w:w="993"/>
              <w:gridCol w:w="94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1348" w:type="dxa"/>
                  <w:vAlign w:val="center"/>
                </w:tcPr>
                <w:p>
                  <w:pPr>
                    <w:jc w:val="center"/>
                    <w:outlineLvl w:val="0"/>
                    <w:rPr>
                      <w:b/>
                      <w:szCs w:val="21"/>
                    </w:rPr>
                  </w:pPr>
                  <w:r>
                    <w:rPr>
                      <w:b/>
                      <w:szCs w:val="21"/>
                    </w:rPr>
                    <w:t>污染物</w:t>
                  </w:r>
                </w:p>
              </w:tc>
              <w:tc>
                <w:tcPr>
                  <w:tcW w:w="1226" w:type="dxa"/>
                  <w:vAlign w:val="center"/>
                </w:tcPr>
                <w:p>
                  <w:pPr>
                    <w:jc w:val="center"/>
                    <w:outlineLvl w:val="0"/>
                    <w:rPr>
                      <w:b/>
                      <w:szCs w:val="21"/>
                    </w:rPr>
                  </w:pPr>
                  <w:r>
                    <w:rPr>
                      <w:b/>
                      <w:szCs w:val="21"/>
                    </w:rPr>
                    <w:t>污染源</w:t>
                  </w:r>
                </w:p>
                <w:p>
                  <w:pPr>
                    <w:jc w:val="center"/>
                    <w:outlineLvl w:val="0"/>
                    <w:rPr>
                      <w:b/>
                      <w:szCs w:val="21"/>
                    </w:rPr>
                  </w:pPr>
                  <w:r>
                    <w:rPr>
                      <w:b/>
                      <w:szCs w:val="21"/>
                    </w:rPr>
                    <w:t>位置</w:t>
                  </w:r>
                </w:p>
              </w:tc>
              <w:tc>
                <w:tcPr>
                  <w:tcW w:w="1149" w:type="dxa"/>
                  <w:vAlign w:val="center"/>
                </w:tcPr>
                <w:p>
                  <w:pPr>
                    <w:jc w:val="center"/>
                    <w:outlineLvl w:val="0"/>
                    <w:rPr>
                      <w:b/>
                      <w:szCs w:val="21"/>
                    </w:rPr>
                  </w:pPr>
                  <w:r>
                    <w:rPr>
                      <w:b/>
                      <w:szCs w:val="21"/>
                    </w:rPr>
                    <w:t>污染物排放（t/a）</w:t>
                  </w:r>
                </w:p>
              </w:tc>
              <w:tc>
                <w:tcPr>
                  <w:tcW w:w="1337" w:type="dxa"/>
                  <w:vAlign w:val="center"/>
                </w:tcPr>
                <w:p>
                  <w:pPr>
                    <w:jc w:val="center"/>
                    <w:outlineLvl w:val="0"/>
                    <w:rPr>
                      <w:b/>
                      <w:szCs w:val="21"/>
                    </w:rPr>
                  </w:pPr>
                  <w:r>
                    <w:rPr>
                      <w:b/>
                      <w:szCs w:val="21"/>
                    </w:rPr>
                    <w:t>污染物排放速率（kg/h）</w:t>
                  </w:r>
                </w:p>
              </w:tc>
              <w:tc>
                <w:tcPr>
                  <w:tcW w:w="993" w:type="dxa"/>
                  <w:vAlign w:val="center"/>
                </w:tcPr>
                <w:p>
                  <w:pPr>
                    <w:jc w:val="center"/>
                    <w:outlineLvl w:val="0"/>
                    <w:rPr>
                      <w:b/>
                      <w:szCs w:val="21"/>
                    </w:rPr>
                  </w:pPr>
                  <w:r>
                    <w:rPr>
                      <w:b/>
                      <w:szCs w:val="21"/>
                    </w:rPr>
                    <w:t>面源宽度（m）</w:t>
                  </w:r>
                </w:p>
              </w:tc>
              <w:tc>
                <w:tcPr>
                  <w:tcW w:w="940" w:type="dxa"/>
                  <w:vAlign w:val="center"/>
                </w:tcPr>
                <w:p>
                  <w:pPr>
                    <w:jc w:val="center"/>
                    <w:outlineLvl w:val="0"/>
                    <w:rPr>
                      <w:b/>
                      <w:szCs w:val="21"/>
                    </w:rPr>
                  </w:pPr>
                  <w:r>
                    <w:rPr>
                      <w:b/>
                      <w:szCs w:val="21"/>
                    </w:rPr>
                    <w:t>面源长度（m）</w:t>
                  </w:r>
                </w:p>
              </w:tc>
              <w:tc>
                <w:tcPr>
                  <w:tcW w:w="944" w:type="dxa"/>
                  <w:vAlign w:val="center"/>
                </w:tcPr>
                <w:p>
                  <w:pPr>
                    <w:jc w:val="center"/>
                    <w:outlineLvl w:val="0"/>
                    <w:rPr>
                      <w:b/>
                      <w:szCs w:val="21"/>
                    </w:rPr>
                  </w:pPr>
                  <w:r>
                    <w:rPr>
                      <w:b/>
                      <w:szCs w:val="21"/>
                    </w:rPr>
                    <w:t>面源高度（m）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48" w:type="dxa"/>
                  <w:vAlign w:val="center"/>
                </w:tcPr>
                <w:p>
                  <w:pPr>
                    <w:jc w:val="center"/>
                    <w:rPr>
                      <w:szCs w:val="21"/>
                    </w:rPr>
                  </w:pPr>
                  <w:r>
                    <w:rPr>
                      <w:rFonts w:hint="eastAsia"/>
                      <w:szCs w:val="21"/>
                    </w:rPr>
                    <w:t>颗粒物</w:t>
                  </w:r>
                </w:p>
              </w:tc>
              <w:tc>
                <w:tcPr>
                  <w:tcW w:w="1226" w:type="dxa"/>
                  <w:vAlign w:val="center"/>
                </w:tcPr>
                <w:p>
                  <w:pPr>
                    <w:jc w:val="center"/>
                    <w:rPr>
                      <w:szCs w:val="21"/>
                    </w:rPr>
                  </w:pPr>
                  <w:r>
                    <w:rPr>
                      <w:rFonts w:hint="eastAsia"/>
                      <w:szCs w:val="21"/>
                    </w:rPr>
                    <w:t>厂区</w:t>
                  </w:r>
                </w:p>
              </w:tc>
              <w:tc>
                <w:tcPr>
                  <w:tcW w:w="1149" w:type="dxa"/>
                  <w:vAlign w:val="center"/>
                </w:tcPr>
                <w:p>
                  <w:pPr>
                    <w:jc w:val="center"/>
                    <w:outlineLvl w:val="0"/>
                    <w:rPr>
                      <w:rFonts w:hint="default" w:eastAsia="宋体"/>
                      <w:bCs/>
                      <w:szCs w:val="21"/>
                      <w:lang w:val="en-US" w:eastAsia="zh-CN"/>
                    </w:rPr>
                  </w:pPr>
                  <w:r>
                    <w:rPr>
                      <w:rFonts w:hint="eastAsia"/>
                      <w:bCs/>
                      <w:szCs w:val="21"/>
                    </w:rPr>
                    <w:t>0.</w:t>
                  </w:r>
                  <w:r>
                    <w:rPr>
                      <w:rFonts w:hint="eastAsia"/>
                      <w:bCs/>
                      <w:szCs w:val="21"/>
                      <w:lang w:val="en-US" w:eastAsia="zh-CN"/>
                    </w:rPr>
                    <w:t>26</w:t>
                  </w:r>
                </w:p>
              </w:tc>
              <w:tc>
                <w:tcPr>
                  <w:tcW w:w="1337" w:type="dxa"/>
                  <w:vAlign w:val="center"/>
                </w:tcPr>
                <w:p>
                  <w:pPr>
                    <w:jc w:val="center"/>
                    <w:outlineLvl w:val="0"/>
                    <w:rPr>
                      <w:rFonts w:hint="eastAsia" w:eastAsia="宋体"/>
                      <w:bCs/>
                      <w:szCs w:val="21"/>
                      <w:lang w:val="en-US" w:eastAsia="zh-CN"/>
                    </w:rPr>
                  </w:pPr>
                  <w:r>
                    <w:rPr>
                      <w:rFonts w:hint="eastAsia"/>
                      <w:bCs/>
                      <w:szCs w:val="21"/>
                    </w:rPr>
                    <w:t>0.</w:t>
                  </w:r>
                  <w:r>
                    <w:rPr>
                      <w:rFonts w:hint="eastAsia"/>
                      <w:bCs/>
                      <w:szCs w:val="21"/>
                      <w:lang w:val="en-US" w:eastAsia="zh-CN"/>
                    </w:rPr>
                    <w:t>1</w:t>
                  </w:r>
                </w:p>
              </w:tc>
              <w:tc>
                <w:tcPr>
                  <w:tcW w:w="993" w:type="dxa"/>
                  <w:vAlign w:val="center"/>
                </w:tcPr>
                <w:p>
                  <w:pPr>
                    <w:jc w:val="center"/>
                    <w:outlineLvl w:val="0"/>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40</w:t>
                  </w:r>
                </w:p>
              </w:tc>
              <w:tc>
                <w:tcPr>
                  <w:tcW w:w="940" w:type="dxa"/>
                  <w:vAlign w:val="center"/>
                </w:tcPr>
                <w:p>
                  <w:pPr>
                    <w:jc w:val="center"/>
                    <w:outlineLvl w:val="0"/>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65</w:t>
                  </w:r>
                </w:p>
              </w:tc>
              <w:tc>
                <w:tcPr>
                  <w:tcW w:w="944" w:type="dxa"/>
                  <w:vAlign w:val="center"/>
                </w:tcPr>
                <w:p>
                  <w:pPr>
                    <w:jc w:val="center"/>
                    <w:outlineLvl w:val="0"/>
                    <w:rPr>
                      <w:rFonts w:hint="eastAsia" w:eastAsia="宋体"/>
                      <w:bCs/>
                      <w:color w:val="000000" w:themeColor="text1"/>
                      <w:szCs w:val="21"/>
                      <w:lang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348" w:type="dxa"/>
                  <w:vAlign w:val="center"/>
                </w:tcPr>
                <w:p>
                  <w:pPr>
                    <w:jc w:val="center"/>
                    <w:rPr>
                      <w:szCs w:val="21"/>
                    </w:rPr>
                  </w:pPr>
                  <w:r>
                    <w:rPr>
                      <w:szCs w:val="21"/>
                    </w:rPr>
                    <w:t>非甲烷总烃</w:t>
                  </w:r>
                </w:p>
              </w:tc>
              <w:tc>
                <w:tcPr>
                  <w:tcW w:w="1226" w:type="dxa"/>
                  <w:vAlign w:val="center"/>
                </w:tcPr>
                <w:p>
                  <w:pPr>
                    <w:jc w:val="center"/>
                    <w:outlineLvl w:val="0"/>
                    <w:rPr>
                      <w:bCs/>
                      <w:szCs w:val="21"/>
                    </w:rPr>
                  </w:pPr>
                  <w:r>
                    <w:rPr>
                      <w:rFonts w:hint="eastAsia"/>
                      <w:bCs/>
                      <w:szCs w:val="21"/>
                    </w:rPr>
                    <w:t>厂区</w:t>
                  </w:r>
                </w:p>
              </w:tc>
              <w:tc>
                <w:tcPr>
                  <w:tcW w:w="1149" w:type="dxa"/>
                  <w:vAlign w:val="center"/>
                </w:tcPr>
                <w:p>
                  <w:pPr>
                    <w:jc w:val="center"/>
                    <w:outlineLvl w:val="0"/>
                    <w:rPr>
                      <w:rFonts w:hint="default" w:eastAsia="宋体"/>
                      <w:bCs/>
                      <w:szCs w:val="21"/>
                      <w:lang w:val="en-US" w:eastAsia="zh-CN"/>
                    </w:rPr>
                  </w:pPr>
                  <w:r>
                    <w:rPr>
                      <w:rFonts w:hint="eastAsia"/>
                      <w:bCs/>
                      <w:szCs w:val="21"/>
                    </w:rPr>
                    <w:t>0.0</w:t>
                  </w:r>
                  <w:r>
                    <w:rPr>
                      <w:rFonts w:hint="eastAsia"/>
                      <w:bCs/>
                      <w:szCs w:val="21"/>
                      <w:lang w:val="en-US" w:eastAsia="zh-CN"/>
                    </w:rPr>
                    <w:t>42</w:t>
                  </w:r>
                </w:p>
              </w:tc>
              <w:tc>
                <w:tcPr>
                  <w:tcW w:w="1337" w:type="dxa"/>
                  <w:vAlign w:val="center"/>
                </w:tcPr>
                <w:p>
                  <w:pPr>
                    <w:jc w:val="center"/>
                    <w:outlineLvl w:val="0"/>
                    <w:rPr>
                      <w:rFonts w:hint="default" w:eastAsia="宋体"/>
                      <w:bCs/>
                      <w:szCs w:val="21"/>
                      <w:lang w:val="en-US" w:eastAsia="zh-CN"/>
                    </w:rPr>
                  </w:pPr>
                  <w:r>
                    <w:rPr>
                      <w:rFonts w:hint="eastAsia"/>
                      <w:bCs/>
                      <w:szCs w:val="21"/>
                    </w:rPr>
                    <w:t>0.0</w:t>
                  </w:r>
                  <w:r>
                    <w:rPr>
                      <w:rFonts w:hint="eastAsia"/>
                      <w:bCs/>
                      <w:szCs w:val="21"/>
                      <w:lang w:val="en-US" w:eastAsia="zh-CN"/>
                    </w:rPr>
                    <w:t>175</w:t>
                  </w:r>
                </w:p>
              </w:tc>
              <w:tc>
                <w:tcPr>
                  <w:tcW w:w="993" w:type="dxa"/>
                  <w:vAlign w:val="center"/>
                </w:tcPr>
                <w:p>
                  <w:pPr>
                    <w:jc w:val="center"/>
                    <w:outlineLvl w:val="0"/>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40</w:t>
                  </w:r>
                </w:p>
              </w:tc>
              <w:tc>
                <w:tcPr>
                  <w:tcW w:w="940" w:type="dxa"/>
                  <w:vAlign w:val="center"/>
                </w:tcPr>
                <w:p>
                  <w:pPr>
                    <w:jc w:val="center"/>
                    <w:outlineLvl w:val="0"/>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65</w:t>
                  </w:r>
                </w:p>
              </w:tc>
              <w:tc>
                <w:tcPr>
                  <w:tcW w:w="944" w:type="dxa"/>
                  <w:vAlign w:val="center"/>
                </w:tcPr>
                <w:p>
                  <w:pPr>
                    <w:jc w:val="center"/>
                    <w:outlineLvl w:val="0"/>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48" w:type="dxa"/>
                  <w:vAlign w:val="center"/>
                </w:tcPr>
                <w:p>
                  <w:pPr>
                    <w:jc w:val="center"/>
                    <w:rPr>
                      <w:color w:val="000000"/>
                      <w:kern w:val="0"/>
                      <w:szCs w:val="21"/>
                      <w:lang w:bidi="ar"/>
                    </w:rPr>
                  </w:pPr>
                  <w:r>
                    <w:rPr>
                      <w:szCs w:val="21"/>
                    </w:rPr>
                    <w:t>非甲烷总烃</w:t>
                  </w:r>
                </w:p>
              </w:tc>
              <w:tc>
                <w:tcPr>
                  <w:tcW w:w="1226" w:type="dxa"/>
                  <w:vMerge w:val="restart"/>
                  <w:vAlign w:val="center"/>
                </w:tcPr>
                <w:p>
                  <w:pPr>
                    <w:jc w:val="center"/>
                    <w:rPr>
                      <w:szCs w:val="21"/>
                    </w:rPr>
                  </w:pPr>
                  <w:r>
                    <w:rPr>
                      <w:szCs w:val="21"/>
                    </w:rPr>
                    <w:t>喷漆房</w:t>
                  </w:r>
                </w:p>
              </w:tc>
              <w:tc>
                <w:tcPr>
                  <w:tcW w:w="1149" w:type="dxa"/>
                  <w:vAlign w:val="center"/>
                </w:tcPr>
                <w:p>
                  <w:pPr>
                    <w:jc w:val="center"/>
                    <w:outlineLvl w:val="0"/>
                    <w:rPr>
                      <w:rFonts w:hint="default" w:eastAsia="宋体"/>
                      <w:bCs/>
                      <w:szCs w:val="21"/>
                      <w:lang w:val="en-US" w:eastAsia="zh-CN"/>
                    </w:rPr>
                  </w:pPr>
                  <w:r>
                    <w:rPr>
                      <w:rFonts w:hint="eastAsia"/>
                      <w:bCs/>
                      <w:szCs w:val="21"/>
                    </w:rPr>
                    <w:t>0.0</w:t>
                  </w:r>
                  <w:r>
                    <w:rPr>
                      <w:rFonts w:hint="eastAsia"/>
                      <w:bCs/>
                      <w:szCs w:val="21"/>
                      <w:lang w:val="en-US" w:eastAsia="zh-CN"/>
                    </w:rPr>
                    <w:t>52</w:t>
                  </w:r>
                </w:p>
              </w:tc>
              <w:tc>
                <w:tcPr>
                  <w:tcW w:w="1337" w:type="dxa"/>
                  <w:vAlign w:val="center"/>
                </w:tcPr>
                <w:p>
                  <w:pPr>
                    <w:jc w:val="center"/>
                    <w:outlineLvl w:val="0"/>
                    <w:rPr>
                      <w:rFonts w:hint="default" w:eastAsia="宋体"/>
                      <w:bCs/>
                      <w:szCs w:val="21"/>
                      <w:lang w:val="en-US" w:eastAsia="zh-CN"/>
                    </w:rPr>
                  </w:pPr>
                  <w:r>
                    <w:rPr>
                      <w:rFonts w:hint="eastAsia"/>
                      <w:bCs/>
                      <w:szCs w:val="21"/>
                    </w:rPr>
                    <w:t>0.1</w:t>
                  </w:r>
                  <w:r>
                    <w:rPr>
                      <w:rFonts w:hint="eastAsia"/>
                      <w:bCs/>
                      <w:szCs w:val="21"/>
                      <w:lang w:val="en-US" w:eastAsia="zh-CN"/>
                    </w:rPr>
                    <w:t>16</w:t>
                  </w:r>
                </w:p>
              </w:tc>
              <w:tc>
                <w:tcPr>
                  <w:tcW w:w="993" w:type="dxa"/>
                  <w:vMerge w:val="restart"/>
                  <w:vAlign w:val="center"/>
                </w:tcPr>
                <w:p>
                  <w:pPr>
                    <w:jc w:val="center"/>
                    <w:outlineLvl w:val="0"/>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12</w:t>
                  </w:r>
                </w:p>
              </w:tc>
              <w:tc>
                <w:tcPr>
                  <w:tcW w:w="940" w:type="dxa"/>
                  <w:vMerge w:val="restart"/>
                  <w:vAlign w:val="center"/>
                </w:tcPr>
                <w:p>
                  <w:pPr>
                    <w:jc w:val="center"/>
                    <w:outlineLvl w:val="0"/>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20</w:t>
                  </w:r>
                </w:p>
              </w:tc>
              <w:tc>
                <w:tcPr>
                  <w:tcW w:w="944" w:type="dxa"/>
                  <w:vMerge w:val="restart"/>
                  <w:vAlign w:val="center"/>
                </w:tcPr>
                <w:p>
                  <w:pPr>
                    <w:jc w:val="center"/>
                    <w:outlineLvl w:val="0"/>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34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二甲苯</w:t>
                  </w:r>
                </w:p>
              </w:tc>
              <w:tc>
                <w:tcPr>
                  <w:tcW w:w="1226" w:type="dxa"/>
                  <w:vMerge w:val="continue"/>
                  <w:vAlign w:val="center"/>
                </w:tcPr>
                <w:p>
                  <w:pPr>
                    <w:jc w:val="center"/>
                    <w:rPr>
                      <w:color w:val="000000" w:themeColor="text1"/>
                      <w:szCs w:val="21"/>
                      <w14:textFill>
                        <w14:solidFill>
                          <w14:schemeClr w14:val="tx1"/>
                        </w14:solidFill>
                      </w14:textFill>
                    </w:rPr>
                  </w:pPr>
                </w:p>
              </w:tc>
              <w:tc>
                <w:tcPr>
                  <w:tcW w:w="1149" w:type="dxa"/>
                  <w:vAlign w:val="center"/>
                </w:tcPr>
                <w:p>
                  <w:pPr>
                    <w:jc w:val="center"/>
                    <w:outlineLvl w:val="0"/>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14:textFill>
                        <w14:solidFill>
                          <w14:schemeClr w14:val="tx1"/>
                        </w14:solidFill>
                      </w14:textFill>
                    </w:rPr>
                    <w:t>0.02</w:t>
                  </w:r>
                  <w:r>
                    <w:rPr>
                      <w:rFonts w:hint="eastAsia"/>
                      <w:bCs/>
                      <w:color w:val="000000" w:themeColor="text1"/>
                      <w:szCs w:val="21"/>
                      <w:lang w:val="en-US" w:eastAsia="zh-CN"/>
                      <w14:textFill>
                        <w14:solidFill>
                          <w14:schemeClr w14:val="tx1"/>
                        </w14:solidFill>
                      </w14:textFill>
                    </w:rPr>
                    <w:t>8</w:t>
                  </w:r>
                </w:p>
              </w:tc>
              <w:tc>
                <w:tcPr>
                  <w:tcW w:w="1337" w:type="dxa"/>
                  <w:vAlign w:val="center"/>
                </w:tcPr>
                <w:p>
                  <w:pPr>
                    <w:jc w:val="center"/>
                    <w:outlineLvl w:val="0"/>
                    <w:rPr>
                      <w:rFonts w:hint="default" w:eastAsia="宋体"/>
                      <w:bCs/>
                      <w:color w:val="000000" w:themeColor="text1"/>
                      <w:szCs w:val="21"/>
                      <w:lang w:val="en-US" w:eastAsia="zh-CN"/>
                      <w14:textFill>
                        <w14:solidFill>
                          <w14:schemeClr w14:val="tx1"/>
                        </w14:solidFill>
                      </w14:textFill>
                    </w:rPr>
                  </w:pPr>
                  <w:r>
                    <w:rPr>
                      <w:rFonts w:hint="eastAsia"/>
                      <w:bCs/>
                      <w:color w:val="000000" w:themeColor="text1"/>
                      <w:szCs w:val="21"/>
                      <w14:textFill>
                        <w14:solidFill>
                          <w14:schemeClr w14:val="tx1"/>
                        </w14:solidFill>
                      </w14:textFill>
                    </w:rPr>
                    <w:t>0.0</w:t>
                  </w:r>
                  <w:r>
                    <w:rPr>
                      <w:rFonts w:hint="eastAsia"/>
                      <w:bCs/>
                      <w:color w:val="000000" w:themeColor="text1"/>
                      <w:szCs w:val="21"/>
                      <w:lang w:val="en-US" w:eastAsia="zh-CN"/>
                      <w14:textFill>
                        <w14:solidFill>
                          <w14:schemeClr w14:val="tx1"/>
                        </w14:solidFill>
                      </w14:textFill>
                    </w:rPr>
                    <w:t>62</w:t>
                  </w:r>
                </w:p>
              </w:tc>
              <w:tc>
                <w:tcPr>
                  <w:tcW w:w="993" w:type="dxa"/>
                  <w:vMerge w:val="continue"/>
                  <w:vAlign w:val="center"/>
                </w:tcPr>
                <w:p>
                  <w:pPr>
                    <w:jc w:val="center"/>
                    <w:outlineLvl w:val="0"/>
                    <w:rPr>
                      <w:bCs/>
                      <w:szCs w:val="21"/>
                    </w:rPr>
                  </w:pPr>
                </w:p>
              </w:tc>
              <w:tc>
                <w:tcPr>
                  <w:tcW w:w="940" w:type="dxa"/>
                  <w:vMerge w:val="continue"/>
                  <w:vAlign w:val="center"/>
                </w:tcPr>
                <w:p>
                  <w:pPr>
                    <w:jc w:val="center"/>
                    <w:outlineLvl w:val="0"/>
                    <w:rPr>
                      <w:bCs/>
                      <w:szCs w:val="21"/>
                    </w:rPr>
                  </w:pPr>
                </w:p>
              </w:tc>
              <w:tc>
                <w:tcPr>
                  <w:tcW w:w="944" w:type="dxa"/>
                  <w:vMerge w:val="continue"/>
                  <w:vAlign w:val="center"/>
                </w:tcPr>
                <w:p>
                  <w:pPr>
                    <w:jc w:val="center"/>
                    <w:outlineLvl w:val="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348" w:type="dxa"/>
                  <w:vAlign w:val="center"/>
                </w:tcPr>
                <w:p>
                  <w:pPr>
                    <w:jc w:val="center"/>
                    <w:rPr>
                      <w:szCs w:val="21"/>
                    </w:rPr>
                  </w:pPr>
                  <w:r>
                    <w:rPr>
                      <w:rFonts w:hint="eastAsia"/>
                      <w:szCs w:val="21"/>
                    </w:rPr>
                    <w:t>颗粒物</w:t>
                  </w:r>
                </w:p>
              </w:tc>
              <w:tc>
                <w:tcPr>
                  <w:tcW w:w="1226" w:type="dxa"/>
                  <w:vMerge w:val="continue"/>
                  <w:vAlign w:val="center"/>
                </w:tcPr>
                <w:p>
                  <w:pPr>
                    <w:jc w:val="center"/>
                    <w:rPr>
                      <w:szCs w:val="21"/>
                    </w:rPr>
                  </w:pPr>
                </w:p>
              </w:tc>
              <w:tc>
                <w:tcPr>
                  <w:tcW w:w="1149" w:type="dxa"/>
                  <w:vAlign w:val="center"/>
                </w:tcPr>
                <w:p>
                  <w:pPr>
                    <w:jc w:val="center"/>
                    <w:outlineLvl w:val="0"/>
                    <w:rPr>
                      <w:rFonts w:hint="default" w:eastAsia="宋体"/>
                      <w:bCs/>
                      <w:szCs w:val="21"/>
                      <w:lang w:val="en-US" w:eastAsia="zh-CN"/>
                    </w:rPr>
                  </w:pPr>
                  <w:r>
                    <w:rPr>
                      <w:rFonts w:hint="eastAsia"/>
                      <w:bCs/>
                      <w:szCs w:val="21"/>
                    </w:rPr>
                    <w:t>0.0</w:t>
                  </w:r>
                  <w:r>
                    <w:rPr>
                      <w:rFonts w:hint="eastAsia"/>
                      <w:bCs/>
                      <w:szCs w:val="21"/>
                      <w:lang w:val="en-US" w:eastAsia="zh-CN"/>
                    </w:rPr>
                    <w:t>2</w:t>
                  </w:r>
                </w:p>
              </w:tc>
              <w:tc>
                <w:tcPr>
                  <w:tcW w:w="1337" w:type="dxa"/>
                  <w:vAlign w:val="center"/>
                </w:tcPr>
                <w:p>
                  <w:pPr>
                    <w:jc w:val="center"/>
                    <w:outlineLvl w:val="0"/>
                    <w:rPr>
                      <w:rFonts w:hint="default" w:eastAsia="宋体"/>
                      <w:bCs/>
                      <w:szCs w:val="21"/>
                      <w:lang w:val="en-US" w:eastAsia="zh-CN"/>
                    </w:rPr>
                  </w:pPr>
                  <w:r>
                    <w:rPr>
                      <w:rFonts w:hint="eastAsia"/>
                      <w:bCs/>
                      <w:szCs w:val="21"/>
                    </w:rPr>
                    <w:t>0.0</w:t>
                  </w:r>
                  <w:r>
                    <w:rPr>
                      <w:rFonts w:hint="eastAsia"/>
                      <w:bCs/>
                      <w:szCs w:val="21"/>
                      <w:lang w:val="en-US" w:eastAsia="zh-CN"/>
                    </w:rPr>
                    <w:t>44</w:t>
                  </w:r>
                </w:p>
              </w:tc>
              <w:tc>
                <w:tcPr>
                  <w:tcW w:w="993" w:type="dxa"/>
                  <w:vMerge w:val="continue"/>
                  <w:vAlign w:val="center"/>
                </w:tcPr>
                <w:p>
                  <w:pPr>
                    <w:jc w:val="center"/>
                    <w:outlineLvl w:val="0"/>
                    <w:rPr>
                      <w:bCs/>
                      <w:szCs w:val="21"/>
                    </w:rPr>
                  </w:pPr>
                </w:p>
              </w:tc>
              <w:tc>
                <w:tcPr>
                  <w:tcW w:w="940" w:type="dxa"/>
                  <w:vMerge w:val="continue"/>
                  <w:vAlign w:val="center"/>
                </w:tcPr>
                <w:p>
                  <w:pPr>
                    <w:jc w:val="center"/>
                    <w:outlineLvl w:val="0"/>
                    <w:rPr>
                      <w:bCs/>
                      <w:szCs w:val="21"/>
                    </w:rPr>
                  </w:pPr>
                </w:p>
              </w:tc>
              <w:tc>
                <w:tcPr>
                  <w:tcW w:w="944" w:type="dxa"/>
                  <w:vMerge w:val="continue"/>
                  <w:vAlign w:val="center"/>
                </w:tcPr>
                <w:p>
                  <w:pPr>
                    <w:jc w:val="center"/>
                    <w:outlineLvl w:val="0"/>
                    <w:rPr>
                      <w:bCs/>
                      <w:szCs w:val="21"/>
                    </w:rPr>
                  </w:pPr>
                </w:p>
              </w:tc>
            </w:tr>
          </w:tbl>
          <w:p>
            <w:pPr>
              <w:autoSpaceDE w:val="0"/>
              <w:autoSpaceDN w:val="0"/>
              <w:adjustRightInd w:val="0"/>
              <w:spacing w:line="360" w:lineRule="auto"/>
              <w:ind w:firstLine="480" w:firstLineChars="200"/>
              <w:rPr>
                <w:sz w:val="24"/>
              </w:rPr>
            </w:pPr>
            <w:r>
              <w:rPr>
                <w:rFonts w:hint="eastAsia"/>
                <w:sz w:val="24"/>
                <w:lang w:val="en-US" w:eastAsia="zh-CN"/>
              </w:rPr>
              <w:t>3、</w:t>
            </w:r>
            <w:r>
              <w:rPr>
                <w:sz w:val="24"/>
              </w:rPr>
              <w:t>废气自行监测方案</w:t>
            </w:r>
          </w:p>
          <w:p>
            <w:pPr>
              <w:autoSpaceDE w:val="0"/>
              <w:autoSpaceDN w:val="0"/>
              <w:adjustRightInd w:val="0"/>
              <w:spacing w:line="360" w:lineRule="auto"/>
              <w:ind w:firstLine="480" w:firstLineChars="200"/>
              <w:rPr>
                <w:b/>
                <w:bCs/>
                <w:color w:val="000000"/>
                <w:kern w:val="0"/>
                <w:sz w:val="24"/>
                <w:lang w:bidi="ar"/>
              </w:rPr>
            </w:pPr>
            <w:r>
              <w:rPr>
                <w:sz w:val="24"/>
              </w:rPr>
              <w:t>本项目</w:t>
            </w:r>
            <w:r>
              <w:rPr>
                <w:rFonts w:ascii="宋体" w:hAnsi="宋体" w:cs="宋体"/>
                <w:sz w:val="24"/>
              </w:rPr>
              <w:t>废</w:t>
            </w:r>
            <w:r>
              <w:rPr>
                <w:rFonts w:hint="eastAsia" w:ascii="宋体" w:hAnsi="宋体" w:cs="宋体"/>
                <w:sz w:val="24"/>
              </w:rPr>
              <w:t>气</w:t>
            </w:r>
            <w:r>
              <w:rPr>
                <w:sz w:val="24"/>
              </w:rPr>
              <w:t>监测计划</w:t>
            </w:r>
            <w:r>
              <w:rPr>
                <w:color w:val="000000"/>
                <w:kern w:val="0"/>
                <w:sz w:val="24"/>
                <w:lang w:bidi="ar"/>
              </w:rPr>
              <w:t>根据《排污单位自行监测技术指南 总则》（HJ819-2017）和</w:t>
            </w:r>
            <w:r>
              <w:rPr>
                <w:rFonts w:hint="eastAsia"/>
                <w:color w:val="000000"/>
                <w:kern w:val="0"/>
                <w:sz w:val="24"/>
                <w:lang w:bidi="ar"/>
              </w:rPr>
              <w:t>《排污单位自行监测技术指南 涂装》（H</w:t>
            </w:r>
            <w:r>
              <w:rPr>
                <w:color w:val="000000"/>
                <w:kern w:val="0"/>
                <w:sz w:val="24"/>
                <w:lang w:bidi="ar"/>
              </w:rPr>
              <w:t>J1086</w:t>
            </w:r>
            <w:r>
              <w:rPr>
                <w:rFonts w:hint="eastAsia"/>
                <w:color w:val="000000"/>
                <w:kern w:val="0"/>
                <w:sz w:val="24"/>
                <w:lang w:bidi="ar"/>
              </w:rPr>
              <w:t>-</w:t>
            </w:r>
            <w:r>
              <w:rPr>
                <w:color w:val="000000"/>
                <w:kern w:val="0"/>
                <w:sz w:val="24"/>
                <w:lang w:bidi="ar"/>
              </w:rPr>
              <w:t>2020</w:t>
            </w:r>
            <w:r>
              <w:rPr>
                <w:rFonts w:hint="eastAsia"/>
                <w:color w:val="000000"/>
                <w:kern w:val="0"/>
                <w:sz w:val="24"/>
                <w:lang w:bidi="ar"/>
              </w:rPr>
              <w:t>）</w:t>
            </w:r>
            <w:r>
              <w:rPr>
                <w:color w:val="000000"/>
                <w:kern w:val="0"/>
                <w:sz w:val="24"/>
                <w:lang w:bidi="ar"/>
              </w:rPr>
              <w:t>中相关要求，项目在投入运行后，需定期对项目污染源开展监测活动，具体如下所示。</w:t>
            </w:r>
          </w:p>
          <w:p>
            <w:pPr>
              <w:spacing w:line="360" w:lineRule="auto"/>
              <w:jc w:val="center"/>
              <w:rPr>
                <w:b/>
                <w:bCs/>
                <w:sz w:val="24"/>
              </w:rPr>
            </w:pPr>
          </w:p>
          <w:p>
            <w:pPr>
              <w:spacing w:line="360" w:lineRule="auto"/>
              <w:jc w:val="center"/>
              <w:rPr>
                <w:b/>
                <w:bCs/>
                <w:sz w:val="24"/>
              </w:rPr>
            </w:pPr>
            <w:r>
              <w:rPr>
                <w:b/>
                <w:bCs/>
                <w:sz w:val="24"/>
              </w:rPr>
              <w:t>表4-</w:t>
            </w:r>
            <w:r>
              <w:rPr>
                <w:rFonts w:hint="eastAsia"/>
                <w:b/>
                <w:bCs/>
                <w:sz w:val="24"/>
              </w:rPr>
              <w:t>6</w:t>
            </w:r>
            <w:r>
              <w:rPr>
                <w:b/>
                <w:bCs/>
                <w:sz w:val="24"/>
              </w:rPr>
              <w:t xml:space="preserve">  </w:t>
            </w:r>
            <w:r>
              <w:rPr>
                <w:rFonts w:hint="eastAsia"/>
                <w:b/>
                <w:bCs/>
                <w:sz w:val="24"/>
              </w:rPr>
              <w:t>有组织</w:t>
            </w:r>
            <w:r>
              <w:rPr>
                <w:b/>
                <w:bCs/>
                <w:sz w:val="24"/>
              </w:rPr>
              <w:t>废气监测一览表</w:t>
            </w:r>
          </w:p>
          <w:tbl>
            <w:tblPr>
              <w:tblStyle w:val="22"/>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7"/>
              <w:gridCol w:w="1523"/>
              <w:gridCol w:w="750"/>
              <w:gridCol w:w="1102"/>
              <w:gridCol w:w="70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b/>
                      <w:bCs/>
                      <w:szCs w:val="21"/>
                    </w:rPr>
                  </w:pPr>
                  <w:r>
                    <w:rPr>
                      <w:rFonts w:hint="eastAsia"/>
                      <w:b/>
                      <w:bCs/>
                      <w:szCs w:val="21"/>
                    </w:rPr>
                    <w:t>序号</w:t>
                  </w:r>
                </w:p>
              </w:tc>
              <w:tc>
                <w:tcPr>
                  <w:tcW w:w="1087" w:type="dxa"/>
                  <w:vAlign w:val="center"/>
                </w:tcPr>
                <w:p>
                  <w:pPr>
                    <w:jc w:val="center"/>
                    <w:rPr>
                      <w:b/>
                      <w:bCs/>
                      <w:szCs w:val="21"/>
                    </w:rPr>
                  </w:pPr>
                  <w:r>
                    <w:rPr>
                      <w:rFonts w:hint="eastAsia"/>
                      <w:b/>
                      <w:bCs/>
                      <w:szCs w:val="21"/>
                    </w:rPr>
                    <w:t>监测位置</w:t>
                  </w:r>
                </w:p>
              </w:tc>
              <w:tc>
                <w:tcPr>
                  <w:tcW w:w="1523" w:type="dxa"/>
                  <w:vAlign w:val="center"/>
                </w:tcPr>
                <w:p>
                  <w:pPr>
                    <w:jc w:val="center"/>
                    <w:rPr>
                      <w:b/>
                      <w:bCs/>
                      <w:szCs w:val="21"/>
                    </w:rPr>
                  </w:pPr>
                  <w:r>
                    <w:rPr>
                      <w:b/>
                      <w:bCs/>
                      <w:szCs w:val="21"/>
                    </w:rPr>
                    <w:t>监测内容</w:t>
                  </w:r>
                </w:p>
              </w:tc>
              <w:tc>
                <w:tcPr>
                  <w:tcW w:w="750" w:type="dxa"/>
                  <w:vAlign w:val="center"/>
                </w:tcPr>
                <w:p>
                  <w:pPr>
                    <w:jc w:val="center"/>
                    <w:rPr>
                      <w:b/>
                      <w:bCs/>
                      <w:szCs w:val="21"/>
                    </w:rPr>
                  </w:pPr>
                  <w:r>
                    <w:rPr>
                      <w:b/>
                      <w:bCs/>
                      <w:szCs w:val="21"/>
                    </w:rPr>
                    <w:t>污染物名称</w:t>
                  </w:r>
                </w:p>
              </w:tc>
              <w:tc>
                <w:tcPr>
                  <w:tcW w:w="1102" w:type="dxa"/>
                  <w:vAlign w:val="center"/>
                </w:tcPr>
                <w:p>
                  <w:pPr>
                    <w:jc w:val="center"/>
                    <w:rPr>
                      <w:b/>
                      <w:bCs/>
                      <w:szCs w:val="21"/>
                    </w:rPr>
                  </w:pPr>
                  <w:r>
                    <w:rPr>
                      <w:b/>
                      <w:bCs/>
                      <w:szCs w:val="21"/>
                    </w:rPr>
                    <w:t>手工监测采样方法及个数</w:t>
                  </w:r>
                </w:p>
              </w:tc>
              <w:tc>
                <w:tcPr>
                  <w:tcW w:w="705" w:type="dxa"/>
                  <w:vAlign w:val="center"/>
                </w:tcPr>
                <w:p>
                  <w:pPr>
                    <w:jc w:val="center"/>
                    <w:rPr>
                      <w:b/>
                      <w:bCs/>
                      <w:szCs w:val="21"/>
                    </w:rPr>
                  </w:pPr>
                  <w:r>
                    <w:rPr>
                      <w:b/>
                      <w:bCs/>
                      <w:szCs w:val="21"/>
                    </w:rPr>
                    <w:t>监测频次</w:t>
                  </w:r>
                </w:p>
              </w:tc>
              <w:tc>
                <w:tcPr>
                  <w:tcW w:w="2295" w:type="dxa"/>
                  <w:vAlign w:val="center"/>
                </w:tcPr>
                <w:p>
                  <w:pPr>
                    <w:jc w:val="center"/>
                    <w:rPr>
                      <w:b/>
                      <w:bCs/>
                      <w:szCs w:val="21"/>
                    </w:rPr>
                  </w:pPr>
                  <w:r>
                    <w:rPr>
                      <w:b/>
                      <w:bCs/>
                      <w:szCs w:val="21"/>
                    </w:rPr>
                    <w:t>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pPr>
                  <w:r>
                    <w:rPr>
                      <w:rFonts w:hint="eastAsia"/>
                      <w:szCs w:val="21"/>
                    </w:rPr>
                    <w:t>1</w:t>
                  </w:r>
                </w:p>
              </w:tc>
              <w:tc>
                <w:tcPr>
                  <w:tcW w:w="1087" w:type="dxa"/>
                  <w:vAlign w:val="center"/>
                </w:tcPr>
                <w:p>
                  <w:pPr>
                    <w:jc w:val="center"/>
                  </w:pPr>
                  <w:r>
                    <w:rPr>
                      <w:rFonts w:hint="eastAsia"/>
                      <w:sz w:val="22"/>
                      <w:szCs w:val="20"/>
                    </w:rPr>
                    <w:t>DA001</w:t>
                  </w:r>
                </w:p>
              </w:tc>
              <w:tc>
                <w:tcPr>
                  <w:tcW w:w="1523" w:type="dxa"/>
                  <w:vAlign w:val="center"/>
                </w:tcPr>
                <w:p>
                  <w:pPr>
                    <w:adjustRightInd w:val="0"/>
                    <w:snapToGrid w:val="0"/>
                    <w:jc w:val="center"/>
                    <w:rPr>
                      <w:szCs w:val="21"/>
                    </w:rPr>
                  </w:pPr>
                  <w:r>
                    <w:rPr>
                      <w:szCs w:val="21"/>
                    </w:rPr>
                    <w:t>烟气流速、烟气温度、烟气量、烟气压力</w:t>
                  </w:r>
                </w:p>
              </w:tc>
              <w:tc>
                <w:tcPr>
                  <w:tcW w:w="750" w:type="dxa"/>
                  <w:vAlign w:val="center"/>
                </w:tcPr>
                <w:p>
                  <w:pPr>
                    <w:adjustRightInd w:val="0"/>
                    <w:snapToGrid w:val="0"/>
                    <w:jc w:val="center"/>
                  </w:pPr>
                  <w:r>
                    <w:rPr>
                      <w:rFonts w:hint="eastAsia"/>
                      <w:szCs w:val="21"/>
                    </w:rPr>
                    <w:t>非甲烷总烃</w:t>
                  </w:r>
                </w:p>
              </w:tc>
              <w:tc>
                <w:tcPr>
                  <w:tcW w:w="1102" w:type="dxa"/>
                  <w:vAlign w:val="center"/>
                </w:tcPr>
                <w:p>
                  <w:pPr>
                    <w:adjustRightInd w:val="0"/>
                    <w:snapToGrid w:val="0"/>
                    <w:jc w:val="center"/>
                  </w:pPr>
                  <w:r>
                    <w:rPr>
                      <w:szCs w:val="21"/>
                    </w:rPr>
                    <w:t>非连续采样至少3个</w:t>
                  </w:r>
                </w:p>
              </w:tc>
              <w:tc>
                <w:tcPr>
                  <w:tcW w:w="705" w:type="dxa"/>
                  <w:vAlign w:val="center"/>
                </w:tcPr>
                <w:p>
                  <w:pPr>
                    <w:adjustRightInd w:val="0"/>
                    <w:snapToGrid w:val="0"/>
                    <w:jc w:val="center"/>
                  </w:pPr>
                  <w:r>
                    <w:rPr>
                      <w:rFonts w:hint="eastAsia"/>
                      <w:szCs w:val="21"/>
                    </w:rPr>
                    <w:t>1次/年</w:t>
                  </w:r>
                </w:p>
              </w:tc>
              <w:tc>
                <w:tcPr>
                  <w:tcW w:w="2295" w:type="dxa"/>
                  <w:vAlign w:val="center"/>
                </w:tcPr>
                <w:p>
                  <w:pPr>
                    <w:pStyle w:val="2"/>
                    <w:spacing w:line="240" w:lineRule="auto"/>
                    <w:jc w:val="center"/>
                    <w:rPr>
                      <w:sz w:val="21"/>
                      <w:szCs w:val="21"/>
                    </w:rPr>
                  </w:pPr>
                  <w:r>
                    <w:rPr>
                      <w:sz w:val="21"/>
                      <w:szCs w:val="21"/>
                    </w:rPr>
                    <w:t>固定污染源排气中颗粒物测定与气态污染物采样方法 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pPr>
                  <w:r>
                    <w:rPr>
                      <w:rFonts w:hint="eastAsia"/>
                      <w:szCs w:val="21"/>
                    </w:rPr>
                    <w:t>2</w:t>
                  </w:r>
                </w:p>
              </w:tc>
              <w:tc>
                <w:tcPr>
                  <w:tcW w:w="1087" w:type="dxa"/>
                  <w:vAlign w:val="center"/>
                </w:tcPr>
                <w:p>
                  <w:pPr>
                    <w:jc w:val="center"/>
                  </w:pPr>
                  <w:r>
                    <w:rPr>
                      <w:rFonts w:hint="eastAsia"/>
                      <w:sz w:val="22"/>
                      <w:szCs w:val="20"/>
                    </w:rPr>
                    <w:t>DA002</w:t>
                  </w:r>
                </w:p>
              </w:tc>
              <w:tc>
                <w:tcPr>
                  <w:tcW w:w="1523" w:type="dxa"/>
                  <w:vAlign w:val="center"/>
                </w:tcPr>
                <w:p>
                  <w:pPr>
                    <w:adjustRightInd w:val="0"/>
                    <w:snapToGrid w:val="0"/>
                    <w:jc w:val="center"/>
                    <w:rPr>
                      <w:szCs w:val="21"/>
                    </w:rPr>
                  </w:pPr>
                  <w:r>
                    <w:rPr>
                      <w:szCs w:val="21"/>
                    </w:rPr>
                    <w:t>烟气流速、烟气温度、烟气量、烟气压力</w:t>
                  </w:r>
                </w:p>
              </w:tc>
              <w:tc>
                <w:tcPr>
                  <w:tcW w:w="750" w:type="dxa"/>
                  <w:vAlign w:val="center"/>
                </w:tcPr>
                <w:p>
                  <w:pPr>
                    <w:adjustRightInd w:val="0"/>
                    <w:snapToGrid w:val="0"/>
                    <w:jc w:val="center"/>
                  </w:pPr>
                  <w:r>
                    <w:rPr>
                      <w:szCs w:val="21"/>
                    </w:rPr>
                    <w:t>颗粒物</w:t>
                  </w:r>
                </w:p>
              </w:tc>
              <w:tc>
                <w:tcPr>
                  <w:tcW w:w="1102" w:type="dxa"/>
                  <w:vAlign w:val="center"/>
                </w:tcPr>
                <w:p>
                  <w:pPr>
                    <w:adjustRightInd w:val="0"/>
                    <w:snapToGrid w:val="0"/>
                    <w:jc w:val="center"/>
                  </w:pPr>
                  <w:r>
                    <w:rPr>
                      <w:szCs w:val="21"/>
                    </w:rPr>
                    <w:t>非连续采样至少3个</w:t>
                  </w:r>
                </w:p>
              </w:tc>
              <w:tc>
                <w:tcPr>
                  <w:tcW w:w="705" w:type="dxa"/>
                  <w:vAlign w:val="center"/>
                </w:tcPr>
                <w:p>
                  <w:pPr>
                    <w:adjustRightInd w:val="0"/>
                    <w:snapToGrid w:val="0"/>
                    <w:jc w:val="center"/>
                  </w:pPr>
                  <w:r>
                    <w:rPr>
                      <w:rFonts w:hint="eastAsia"/>
                      <w:szCs w:val="21"/>
                    </w:rPr>
                    <w:t>1次/年</w:t>
                  </w:r>
                </w:p>
              </w:tc>
              <w:tc>
                <w:tcPr>
                  <w:tcW w:w="2295" w:type="dxa"/>
                  <w:vAlign w:val="center"/>
                </w:tcPr>
                <w:p>
                  <w:pPr>
                    <w:pStyle w:val="2"/>
                    <w:spacing w:line="240" w:lineRule="auto"/>
                    <w:jc w:val="center"/>
                    <w:rPr>
                      <w:sz w:val="21"/>
                      <w:szCs w:val="21"/>
                    </w:rPr>
                  </w:pPr>
                  <w:r>
                    <w:rPr>
                      <w:sz w:val="21"/>
                      <w:szCs w:val="21"/>
                    </w:rPr>
                    <w:t>固定污染源排气中</w:t>
                  </w:r>
                  <w:r>
                    <w:rPr>
                      <w:rFonts w:hint="eastAsia"/>
                      <w:sz w:val="21"/>
                      <w:szCs w:val="21"/>
                    </w:rPr>
                    <w:t>挥发性有机物</w:t>
                  </w:r>
                  <w:r>
                    <w:rPr>
                      <w:sz w:val="21"/>
                      <w:szCs w:val="21"/>
                    </w:rPr>
                    <w:t>的测定气相色谱法HJ/T38-1999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szCs w:val="21"/>
                    </w:rPr>
                  </w:pPr>
                  <w:r>
                    <w:rPr>
                      <w:rFonts w:hint="eastAsia"/>
                      <w:szCs w:val="21"/>
                    </w:rPr>
                    <w:t>3</w:t>
                  </w:r>
                </w:p>
              </w:tc>
              <w:tc>
                <w:tcPr>
                  <w:tcW w:w="1087" w:type="dxa"/>
                  <w:vAlign w:val="center"/>
                </w:tcPr>
                <w:p>
                  <w:pPr>
                    <w:jc w:val="center"/>
                    <w:rPr>
                      <w:sz w:val="22"/>
                      <w:szCs w:val="20"/>
                    </w:rPr>
                  </w:pPr>
                  <w:r>
                    <w:rPr>
                      <w:rFonts w:hint="eastAsia"/>
                      <w:sz w:val="22"/>
                      <w:szCs w:val="20"/>
                    </w:rPr>
                    <w:t>DA002</w:t>
                  </w:r>
                </w:p>
              </w:tc>
              <w:tc>
                <w:tcPr>
                  <w:tcW w:w="1523" w:type="dxa"/>
                  <w:vAlign w:val="center"/>
                </w:tcPr>
                <w:p>
                  <w:pPr>
                    <w:adjustRightInd w:val="0"/>
                    <w:snapToGrid w:val="0"/>
                    <w:jc w:val="center"/>
                    <w:rPr>
                      <w:szCs w:val="21"/>
                    </w:rPr>
                  </w:pPr>
                  <w:r>
                    <w:rPr>
                      <w:szCs w:val="21"/>
                    </w:rPr>
                    <w:t>烟气流速、烟气温度、烟气量、烟气压力</w:t>
                  </w:r>
                </w:p>
              </w:tc>
              <w:tc>
                <w:tcPr>
                  <w:tcW w:w="750" w:type="dxa"/>
                  <w:vAlign w:val="center"/>
                </w:tcPr>
                <w:p>
                  <w:pPr>
                    <w:adjustRightInd w:val="0"/>
                    <w:snapToGrid w:val="0"/>
                    <w:jc w:val="center"/>
                    <w:rPr>
                      <w:szCs w:val="21"/>
                    </w:rPr>
                  </w:pPr>
                  <w:r>
                    <w:rPr>
                      <w:rFonts w:hint="eastAsia"/>
                      <w:szCs w:val="21"/>
                    </w:rPr>
                    <w:t>非甲烷总烃</w:t>
                  </w:r>
                </w:p>
              </w:tc>
              <w:tc>
                <w:tcPr>
                  <w:tcW w:w="1102" w:type="dxa"/>
                  <w:vAlign w:val="center"/>
                </w:tcPr>
                <w:p>
                  <w:pPr>
                    <w:adjustRightInd w:val="0"/>
                    <w:snapToGrid w:val="0"/>
                    <w:jc w:val="center"/>
                    <w:rPr>
                      <w:szCs w:val="21"/>
                    </w:rPr>
                  </w:pPr>
                  <w:r>
                    <w:rPr>
                      <w:szCs w:val="21"/>
                    </w:rPr>
                    <w:t>非连续采样至少3个</w:t>
                  </w:r>
                </w:p>
              </w:tc>
              <w:tc>
                <w:tcPr>
                  <w:tcW w:w="705" w:type="dxa"/>
                  <w:vAlign w:val="center"/>
                </w:tcPr>
                <w:p>
                  <w:pPr>
                    <w:adjustRightInd w:val="0"/>
                    <w:snapToGrid w:val="0"/>
                    <w:jc w:val="center"/>
                    <w:rPr>
                      <w:szCs w:val="21"/>
                    </w:rPr>
                  </w:pPr>
                  <w:r>
                    <w:rPr>
                      <w:rFonts w:hint="eastAsia"/>
                      <w:szCs w:val="21"/>
                    </w:rPr>
                    <w:t>1次/年</w:t>
                  </w:r>
                </w:p>
              </w:tc>
              <w:tc>
                <w:tcPr>
                  <w:tcW w:w="2295" w:type="dxa"/>
                  <w:vAlign w:val="center"/>
                </w:tcPr>
                <w:p>
                  <w:pPr>
                    <w:pStyle w:val="2"/>
                    <w:spacing w:line="240" w:lineRule="auto"/>
                    <w:jc w:val="center"/>
                    <w:rPr>
                      <w:sz w:val="21"/>
                      <w:szCs w:val="21"/>
                    </w:rPr>
                  </w:pPr>
                  <w:r>
                    <w:rPr>
                      <w:rFonts w:hint="default" w:ascii="Times New Roman" w:hAnsi="Times New Roman" w:eastAsia="宋体" w:cs="Times New Roman"/>
                      <w:sz w:val="21"/>
                      <w:szCs w:val="21"/>
                      <w:lang w:val="en-US" w:eastAsia="zh-CN"/>
                    </w:rPr>
                    <w:t>固定污染源排气中颗粒物测定与气态污染物采样方法 GB/T 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jc w:val="center"/>
                    <w:rPr>
                      <w:szCs w:val="21"/>
                    </w:rPr>
                  </w:pPr>
                  <w:r>
                    <w:rPr>
                      <w:rFonts w:hint="eastAsia"/>
                      <w:szCs w:val="21"/>
                    </w:rPr>
                    <w:t>4</w:t>
                  </w:r>
                </w:p>
              </w:tc>
              <w:tc>
                <w:tcPr>
                  <w:tcW w:w="1087" w:type="dxa"/>
                  <w:vAlign w:val="center"/>
                </w:tcPr>
                <w:p>
                  <w:pPr>
                    <w:adjustRightInd w:val="0"/>
                    <w:snapToGrid w:val="0"/>
                    <w:jc w:val="center"/>
                    <w:rPr>
                      <w:color w:val="auto"/>
                      <w:sz w:val="22"/>
                      <w:szCs w:val="20"/>
                    </w:rPr>
                  </w:pPr>
                  <w:r>
                    <w:rPr>
                      <w:rFonts w:hint="eastAsia"/>
                      <w:color w:val="auto"/>
                      <w:sz w:val="22"/>
                      <w:szCs w:val="20"/>
                    </w:rPr>
                    <w:t>DA002</w:t>
                  </w:r>
                </w:p>
              </w:tc>
              <w:tc>
                <w:tcPr>
                  <w:tcW w:w="1523" w:type="dxa"/>
                  <w:vAlign w:val="center"/>
                </w:tcPr>
                <w:p>
                  <w:pPr>
                    <w:adjustRightInd w:val="0"/>
                    <w:snapToGrid w:val="0"/>
                    <w:jc w:val="center"/>
                    <w:rPr>
                      <w:color w:val="auto"/>
                      <w:szCs w:val="21"/>
                    </w:rPr>
                  </w:pPr>
                  <w:r>
                    <w:rPr>
                      <w:color w:val="auto"/>
                      <w:szCs w:val="21"/>
                    </w:rPr>
                    <w:t>烟气流速、烟气温度、烟气量、烟气压力</w:t>
                  </w:r>
                </w:p>
              </w:tc>
              <w:tc>
                <w:tcPr>
                  <w:tcW w:w="750" w:type="dxa"/>
                  <w:vAlign w:val="center"/>
                </w:tcPr>
                <w:p>
                  <w:pPr>
                    <w:adjustRightInd w:val="0"/>
                    <w:snapToGrid w:val="0"/>
                    <w:jc w:val="center"/>
                    <w:rPr>
                      <w:color w:val="auto"/>
                      <w:szCs w:val="21"/>
                    </w:rPr>
                  </w:pPr>
                  <w:r>
                    <w:rPr>
                      <w:rFonts w:hint="eastAsia"/>
                      <w:color w:val="auto"/>
                      <w:szCs w:val="21"/>
                    </w:rPr>
                    <w:t>二甲苯</w:t>
                  </w:r>
                </w:p>
              </w:tc>
              <w:tc>
                <w:tcPr>
                  <w:tcW w:w="1102" w:type="dxa"/>
                  <w:vAlign w:val="center"/>
                </w:tcPr>
                <w:p>
                  <w:pPr>
                    <w:adjustRightInd w:val="0"/>
                    <w:snapToGrid w:val="0"/>
                    <w:jc w:val="center"/>
                    <w:rPr>
                      <w:color w:val="auto"/>
                      <w:szCs w:val="21"/>
                    </w:rPr>
                  </w:pPr>
                  <w:r>
                    <w:rPr>
                      <w:color w:val="auto"/>
                      <w:szCs w:val="21"/>
                    </w:rPr>
                    <w:t>非连续采样至少3个</w:t>
                  </w:r>
                </w:p>
              </w:tc>
              <w:tc>
                <w:tcPr>
                  <w:tcW w:w="705" w:type="dxa"/>
                  <w:vAlign w:val="center"/>
                </w:tcPr>
                <w:p>
                  <w:pPr>
                    <w:adjustRightInd w:val="0"/>
                    <w:snapToGrid w:val="0"/>
                    <w:jc w:val="center"/>
                    <w:rPr>
                      <w:color w:val="auto"/>
                      <w:szCs w:val="21"/>
                    </w:rPr>
                  </w:pPr>
                  <w:r>
                    <w:rPr>
                      <w:color w:val="auto"/>
                      <w:szCs w:val="21"/>
                    </w:rPr>
                    <w:t>1次/年</w:t>
                  </w:r>
                </w:p>
              </w:tc>
              <w:tc>
                <w:tcPr>
                  <w:tcW w:w="2295" w:type="dxa"/>
                  <w:vAlign w:val="center"/>
                </w:tcPr>
                <w:p>
                  <w:pPr>
                    <w:pStyle w:val="2"/>
                    <w:spacing w:line="240" w:lineRule="auto"/>
                    <w:jc w:val="center"/>
                    <w:rPr>
                      <w:color w:val="auto"/>
                      <w:sz w:val="21"/>
                      <w:szCs w:val="21"/>
                    </w:rPr>
                  </w:pPr>
                  <w:r>
                    <w:rPr>
                      <w:color w:val="auto"/>
                      <w:sz w:val="21"/>
                      <w:szCs w:val="21"/>
                    </w:rPr>
                    <w:t>环境空气 苯系物的测定 活性炭吸附/ 二硫化碳解吸-气相色谱法 HJ584-2010</w:t>
                  </w:r>
                </w:p>
              </w:tc>
            </w:tr>
          </w:tbl>
          <w:p>
            <w:pPr>
              <w:pStyle w:val="2"/>
              <w:jc w:val="center"/>
              <w:rPr>
                <w:sz w:val="24"/>
                <w:szCs w:val="24"/>
              </w:rPr>
            </w:pPr>
            <w:r>
              <w:rPr>
                <w:b/>
                <w:bCs/>
                <w:sz w:val="24"/>
                <w:szCs w:val="24"/>
              </w:rPr>
              <w:t>表4-</w:t>
            </w:r>
            <w:r>
              <w:rPr>
                <w:rFonts w:hint="eastAsia"/>
                <w:b/>
                <w:bCs/>
                <w:sz w:val="24"/>
                <w:szCs w:val="24"/>
              </w:rPr>
              <w:t>7</w:t>
            </w:r>
            <w:r>
              <w:rPr>
                <w:b/>
                <w:bCs/>
                <w:sz w:val="24"/>
                <w:szCs w:val="24"/>
              </w:rPr>
              <w:t xml:space="preserve">  </w:t>
            </w:r>
            <w:r>
              <w:rPr>
                <w:rFonts w:hint="eastAsia"/>
                <w:b/>
                <w:bCs/>
                <w:sz w:val="24"/>
                <w:szCs w:val="24"/>
              </w:rPr>
              <w:t>无组织</w:t>
            </w:r>
            <w:r>
              <w:rPr>
                <w:b/>
                <w:bCs/>
                <w:sz w:val="24"/>
                <w:szCs w:val="24"/>
              </w:rPr>
              <w:t>废气监测一览表</w:t>
            </w:r>
          </w:p>
          <w:tbl>
            <w:tblPr>
              <w:tblStyle w:val="23"/>
              <w:tblW w:w="7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15"/>
              <w:gridCol w:w="1193"/>
              <w:gridCol w:w="1177"/>
              <w:gridCol w:w="847"/>
              <w:gridCol w:w="1092"/>
              <w:gridCol w:w="72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jc w:val="center"/>
                    <w:rPr>
                      <w:b/>
                      <w:bCs/>
                      <w:szCs w:val="21"/>
                    </w:rPr>
                  </w:pPr>
                  <w:r>
                    <w:rPr>
                      <w:rFonts w:hint="eastAsia"/>
                      <w:b/>
                      <w:bCs/>
                      <w:szCs w:val="21"/>
                    </w:rPr>
                    <w:t>序号</w:t>
                  </w:r>
                </w:p>
              </w:tc>
              <w:tc>
                <w:tcPr>
                  <w:tcW w:w="815" w:type="dxa"/>
                  <w:vAlign w:val="center"/>
                </w:tcPr>
                <w:p>
                  <w:pPr>
                    <w:jc w:val="center"/>
                    <w:rPr>
                      <w:b/>
                      <w:bCs/>
                      <w:szCs w:val="21"/>
                    </w:rPr>
                  </w:pPr>
                  <w:r>
                    <w:rPr>
                      <w:rFonts w:hint="eastAsia"/>
                      <w:b/>
                      <w:bCs/>
                      <w:szCs w:val="21"/>
                    </w:rPr>
                    <w:t>监测位置</w:t>
                  </w:r>
                </w:p>
              </w:tc>
              <w:tc>
                <w:tcPr>
                  <w:tcW w:w="1193" w:type="dxa"/>
                  <w:vAlign w:val="center"/>
                </w:tcPr>
                <w:p>
                  <w:pPr>
                    <w:jc w:val="center"/>
                    <w:rPr>
                      <w:b/>
                      <w:bCs/>
                      <w:szCs w:val="21"/>
                    </w:rPr>
                  </w:pPr>
                  <w:r>
                    <w:rPr>
                      <w:rFonts w:hint="eastAsia"/>
                      <w:b/>
                      <w:bCs/>
                      <w:szCs w:val="21"/>
                    </w:rPr>
                    <w:t>点位布设</w:t>
                  </w:r>
                </w:p>
              </w:tc>
              <w:tc>
                <w:tcPr>
                  <w:tcW w:w="1177" w:type="dxa"/>
                  <w:vAlign w:val="center"/>
                </w:tcPr>
                <w:p>
                  <w:pPr>
                    <w:jc w:val="center"/>
                    <w:rPr>
                      <w:b/>
                      <w:bCs/>
                      <w:szCs w:val="21"/>
                    </w:rPr>
                  </w:pPr>
                  <w:r>
                    <w:rPr>
                      <w:b/>
                      <w:bCs/>
                      <w:szCs w:val="21"/>
                    </w:rPr>
                    <w:t>监测内容</w:t>
                  </w:r>
                </w:p>
              </w:tc>
              <w:tc>
                <w:tcPr>
                  <w:tcW w:w="847" w:type="dxa"/>
                  <w:vAlign w:val="center"/>
                </w:tcPr>
                <w:p>
                  <w:pPr>
                    <w:jc w:val="center"/>
                    <w:rPr>
                      <w:b/>
                      <w:bCs/>
                      <w:szCs w:val="21"/>
                    </w:rPr>
                  </w:pPr>
                  <w:r>
                    <w:rPr>
                      <w:b/>
                      <w:bCs/>
                      <w:szCs w:val="21"/>
                    </w:rPr>
                    <w:t>污染物名称</w:t>
                  </w:r>
                </w:p>
              </w:tc>
              <w:tc>
                <w:tcPr>
                  <w:tcW w:w="1092" w:type="dxa"/>
                  <w:vAlign w:val="center"/>
                </w:tcPr>
                <w:p>
                  <w:pPr>
                    <w:jc w:val="center"/>
                    <w:rPr>
                      <w:b/>
                      <w:bCs/>
                      <w:szCs w:val="21"/>
                    </w:rPr>
                  </w:pPr>
                  <w:r>
                    <w:rPr>
                      <w:b/>
                      <w:bCs/>
                      <w:szCs w:val="21"/>
                    </w:rPr>
                    <w:t>手工监测采样方法及个数</w:t>
                  </w:r>
                </w:p>
              </w:tc>
              <w:tc>
                <w:tcPr>
                  <w:tcW w:w="720" w:type="dxa"/>
                  <w:vAlign w:val="center"/>
                </w:tcPr>
                <w:p>
                  <w:pPr>
                    <w:jc w:val="center"/>
                    <w:rPr>
                      <w:b/>
                      <w:bCs/>
                      <w:szCs w:val="21"/>
                    </w:rPr>
                  </w:pPr>
                  <w:r>
                    <w:rPr>
                      <w:b/>
                      <w:bCs/>
                      <w:szCs w:val="21"/>
                    </w:rPr>
                    <w:t>监测频次</w:t>
                  </w:r>
                </w:p>
              </w:tc>
              <w:tc>
                <w:tcPr>
                  <w:tcW w:w="1487" w:type="dxa"/>
                  <w:vAlign w:val="center"/>
                </w:tcPr>
                <w:p>
                  <w:pPr>
                    <w:jc w:val="center"/>
                    <w:rPr>
                      <w:b/>
                      <w:bCs/>
                      <w:szCs w:val="21"/>
                    </w:rPr>
                  </w:pPr>
                  <w:r>
                    <w:rPr>
                      <w:b/>
                      <w:bCs/>
                      <w:szCs w:val="21"/>
                    </w:rPr>
                    <w:t>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pStyle w:val="2"/>
                    <w:spacing w:line="240" w:lineRule="auto"/>
                    <w:jc w:val="center"/>
                    <w:rPr>
                      <w:sz w:val="21"/>
                      <w:szCs w:val="21"/>
                    </w:rPr>
                  </w:pPr>
                  <w:r>
                    <w:rPr>
                      <w:rFonts w:hint="eastAsia"/>
                      <w:sz w:val="21"/>
                      <w:szCs w:val="21"/>
                    </w:rPr>
                    <w:t>1</w:t>
                  </w:r>
                </w:p>
              </w:tc>
              <w:tc>
                <w:tcPr>
                  <w:tcW w:w="815" w:type="dxa"/>
                  <w:vMerge w:val="restart"/>
                  <w:vAlign w:val="center"/>
                </w:tcPr>
                <w:p>
                  <w:pPr>
                    <w:pStyle w:val="2"/>
                    <w:spacing w:line="240" w:lineRule="auto"/>
                    <w:jc w:val="center"/>
                    <w:rPr>
                      <w:sz w:val="21"/>
                      <w:szCs w:val="21"/>
                    </w:rPr>
                  </w:pPr>
                  <w:r>
                    <w:rPr>
                      <w:rFonts w:hint="eastAsia"/>
                      <w:sz w:val="21"/>
                      <w:szCs w:val="21"/>
                    </w:rPr>
                    <w:t>厂界</w:t>
                  </w:r>
                </w:p>
              </w:tc>
              <w:tc>
                <w:tcPr>
                  <w:tcW w:w="1193" w:type="dxa"/>
                  <w:vAlign w:val="center"/>
                </w:tcPr>
                <w:p>
                  <w:pPr>
                    <w:pStyle w:val="2"/>
                    <w:spacing w:line="240" w:lineRule="auto"/>
                    <w:jc w:val="center"/>
                    <w:rPr>
                      <w:sz w:val="21"/>
                      <w:szCs w:val="21"/>
                    </w:rPr>
                  </w:pPr>
                  <w:r>
                    <w:rPr>
                      <w:rFonts w:hint="eastAsia"/>
                      <w:sz w:val="21"/>
                      <w:szCs w:val="21"/>
                    </w:rPr>
                    <w:t>上风向1个对照点下风向3个监测点</w:t>
                  </w:r>
                </w:p>
              </w:tc>
              <w:tc>
                <w:tcPr>
                  <w:tcW w:w="1177" w:type="dxa"/>
                  <w:vAlign w:val="center"/>
                </w:tcPr>
                <w:p>
                  <w:pPr>
                    <w:pStyle w:val="2"/>
                    <w:spacing w:line="240" w:lineRule="auto"/>
                    <w:jc w:val="center"/>
                    <w:rPr>
                      <w:sz w:val="21"/>
                      <w:szCs w:val="21"/>
                    </w:rPr>
                  </w:pPr>
                  <w:r>
                    <w:rPr>
                      <w:rFonts w:hint="eastAsia"/>
                      <w:sz w:val="21"/>
                      <w:szCs w:val="21"/>
                    </w:rPr>
                    <w:t>温度，湿度，气压，风速，风向</w:t>
                  </w:r>
                </w:p>
              </w:tc>
              <w:tc>
                <w:tcPr>
                  <w:tcW w:w="847" w:type="dxa"/>
                  <w:vAlign w:val="center"/>
                </w:tcPr>
                <w:p>
                  <w:pPr>
                    <w:pStyle w:val="2"/>
                    <w:spacing w:line="240" w:lineRule="auto"/>
                    <w:jc w:val="center"/>
                    <w:rPr>
                      <w:sz w:val="21"/>
                      <w:szCs w:val="21"/>
                    </w:rPr>
                  </w:pPr>
                  <w:r>
                    <w:rPr>
                      <w:rFonts w:hint="eastAsia"/>
                      <w:sz w:val="21"/>
                      <w:szCs w:val="21"/>
                    </w:rPr>
                    <w:t>颗粒物</w:t>
                  </w:r>
                </w:p>
              </w:tc>
              <w:tc>
                <w:tcPr>
                  <w:tcW w:w="1092" w:type="dxa"/>
                  <w:vAlign w:val="center"/>
                </w:tcPr>
                <w:p>
                  <w:pPr>
                    <w:pStyle w:val="2"/>
                    <w:spacing w:line="240" w:lineRule="auto"/>
                    <w:jc w:val="center"/>
                    <w:rPr>
                      <w:sz w:val="21"/>
                      <w:szCs w:val="21"/>
                    </w:rPr>
                  </w:pPr>
                  <w:r>
                    <w:rPr>
                      <w:rFonts w:hint="eastAsia"/>
                      <w:sz w:val="21"/>
                      <w:szCs w:val="21"/>
                    </w:rPr>
                    <w:t>连续采样</w:t>
                  </w:r>
                </w:p>
              </w:tc>
              <w:tc>
                <w:tcPr>
                  <w:tcW w:w="720" w:type="dxa"/>
                  <w:vAlign w:val="center"/>
                </w:tcPr>
                <w:p>
                  <w:pPr>
                    <w:pStyle w:val="2"/>
                    <w:spacing w:line="240" w:lineRule="auto"/>
                    <w:jc w:val="center"/>
                    <w:rPr>
                      <w:sz w:val="21"/>
                      <w:szCs w:val="21"/>
                    </w:rPr>
                  </w:pPr>
                  <w:r>
                    <w:rPr>
                      <w:rFonts w:hint="eastAsia"/>
                      <w:sz w:val="21"/>
                      <w:szCs w:val="21"/>
                    </w:rPr>
                    <w:t>1次/年</w:t>
                  </w:r>
                </w:p>
              </w:tc>
              <w:tc>
                <w:tcPr>
                  <w:tcW w:w="1487" w:type="dxa"/>
                  <w:vAlign w:val="center"/>
                </w:tcPr>
                <w:p>
                  <w:pPr>
                    <w:pStyle w:val="2"/>
                    <w:spacing w:line="240" w:lineRule="auto"/>
                    <w:jc w:val="center"/>
                    <w:rPr>
                      <w:sz w:val="21"/>
                      <w:szCs w:val="21"/>
                    </w:rPr>
                  </w:pPr>
                  <w:r>
                    <w:rPr>
                      <w:rFonts w:hint="eastAsia"/>
                      <w:sz w:val="21"/>
                      <w:szCs w:val="21"/>
                    </w:rPr>
                    <w:t>环境空气 总悬浮颗粒物的测定 重量法 GB/T 15432-1995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pStyle w:val="2"/>
                    <w:spacing w:line="240" w:lineRule="auto"/>
                    <w:jc w:val="center"/>
                    <w:rPr>
                      <w:sz w:val="21"/>
                      <w:szCs w:val="21"/>
                    </w:rPr>
                  </w:pPr>
                  <w:r>
                    <w:rPr>
                      <w:rFonts w:hint="eastAsia"/>
                      <w:sz w:val="21"/>
                      <w:szCs w:val="21"/>
                    </w:rPr>
                    <w:t>2</w:t>
                  </w:r>
                </w:p>
              </w:tc>
              <w:tc>
                <w:tcPr>
                  <w:tcW w:w="815" w:type="dxa"/>
                  <w:vMerge w:val="continue"/>
                  <w:vAlign w:val="center"/>
                </w:tcPr>
                <w:p>
                  <w:pPr>
                    <w:pStyle w:val="2"/>
                    <w:spacing w:line="240" w:lineRule="auto"/>
                    <w:jc w:val="center"/>
                    <w:rPr>
                      <w:sz w:val="21"/>
                      <w:szCs w:val="21"/>
                    </w:rPr>
                  </w:pPr>
                </w:p>
              </w:tc>
              <w:tc>
                <w:tcPr>
                  <w:tcW w:w="1193" w:type="dxa"/>
                  <w:vAlign w:val="center"/>
                </w:tcPr>
                <w:p>
                  <w:pPr>
                    <w:pStyle w:val="2"/>
                    <w:spacing w:line="240" w:lineRule="auto"/>
                    <w:jc w:val="center"/>
                    <w:rPr>
                      <w:sz w:val="21"/>
                      <w:szCs w:val="21"/>
                    </w:rPr>
                  </w:pPr>
                  <w:r>
                    <w:rPr>
                      <w:rFonts w:hint="eastAsia"/>
                      <w:sz w:val="21"/>
                      <w:szCs w:val="21"/>
                    </w:rPr>
                    <w:t>上风向1个对照点下风向3个监测点</w:t>
                  </w:r>
                </w:p>
              </w:tc>
              <w:tc>
                <w:tcPr>
                  <w:tcW w:w="1177" w:type="dxa"/>
                  <w:vAlign w:val="center"/>
                </w:tcPr>
                <w:p>
                  <w:pPr>
                    <w:pStyle w:val="2"/>
                    <w:spacing w:line="240" w:lineRule="auto"/>
                    <w:jc w:val="center"/>
                    <w:rPr>
                      <w:sz w:val="21"/>
                      <w:szCs w:val="21"/>
                    </w:rPr>
                  </w:pPr>
                  <w:r>
                    <w:rPr>
                      <w:rFonts w:hint="eastAsia"/>
                      <w:sz w:val="21"/>
                      <w:szCs w:val="21"/>
                    </w:rPr>
                    <w:t>温度，湿度，气压，风速，风向</w:t>
                  </w:r>
                </w:p>
              </w:tc>
              <w:tc>
                <w:tcPr>
                  <w:tcW w:w="847" w:type="dxa"/>
                  <w:vAlign w:val="center"/>
                </w:tcPr>
                <w:p>
                  <w:pPr>
                    <w:pStyle w:val="2"/>
                    <w:spacing w:line="240" w:lineRule="auto"/>
                    <w:jc w:val="center"/>
                    <w:rPr>
                      <w:sz w:val="21"/>
                      <w:szCs w:val="21"/>
                    </w:rPr>
                  </w:pPr>
                  <w:r>
                    <w:rPr>
                      <w:rFonts w:hint="eastAsia"/>
                      <w:sz w:val="21"/>
                      <w:szCs w:val="21"/>
                    </w:rPr>
                    <w:t>非甲烷总烃</w:t>
                  </w:r>
                </w:p>
              </w:tc>
              <w:tc>
                <w:tcPr>
                  <w:tcW w:w="1092" w:type="dxa"/>
                  <w:vAlign w:val="center"/>
                </w:tcPr>
                <w:p>
                  <w:pPr>
                    <w:jc w:val="center"/>
                    <w:rPr>
                      <w:szCs w:val="21"/>
                    </w:rPr>
                  </w:pPr>
                  <w:r>
                    <w:rPr>
                      <w:rFonts w:hint="eastAsia"/>
                      <w:szCs w:val="21"/>
                    </w:rPr>
                    <w:t>连续采样</w:t>
                  </w:r>
                </w:p>
              </w:tc>
              <w:tc>
                <w:tcPr>
                  <w:tcW w:w="720" w:type="dxa"/>
                  <w:vAlign w:val="center"/>
                </w:tcPr>
                <w:p>
                  <w:pPr>
                    <w:jc w:val="center"/>
                    <w:rPr>
                      <w:szCs w:val="21"/>
                    </w:rPr>
                  </w:pPr>
                  <w:r>
                    <w:rPr>
                      <w:szCs w:val="21"/>
                    </w:rPr>
                    <w:t>1次/年</w:t>
                  </w:r>
                </w:p>
              </w:tc>
              <w:tc>
                <w:tcPr>
                  <w:tcW w:w="1487" w:type="dxa"/>
                  <w:vAlign w:val="center"/>
                </w:tcPr>
                <w:p>
                  <w:pPr>
                    <w:adjustRightInd w:val="0"/>
                    <w:snapToGrid w:val="0"/>
                    <w:jc w:val="center"/>
                    <w:rPr>
                      <w:szCs w:val="21"/>
                    </w:rPr>
                  </w:pPr>
                  <w:r>
                    <w:rPr>
                      <w:rFonts w:hint="eastAsia"/>
                      <w:szCs w:val="21"/>
                    </w:rPr>
                    <w:t>环境空气 挥发性有机物的测定 气相色谱-质谱法HJ759-2015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0" w:type="dxa"/>
                  <w:vAlign w:val="center"/>
                </w:tcPr>
                <w:p>
                  <w:pPr>
                    <w:pStyle w:val="2"/>
                    <w:spacing w:line="240" w:lineRule="auto"/>
                    <w:jc w:val="center"/>
                    <w:rPr>
                      <w:sz w:val="21"/>
                      <w:szCs w:val="21"/>
                    </w:rPr>
                  </w:pPr>
                  <w:r>
                    <w:rPr>
                      <w:rFonts w:hint="eastAsia"/>
                      <w:sz w:val="21"/>
                      <w:szCs w:val="21"/>
                    </w:rPr>
                    <w:t>3</w:t>
                  </w:r>
                </w:p>
              </w:tc>
              <w:tc>
                <w:tcPr>
                  <w:tcW w:w="815" w:type="dxa"/>
                  <w:vMerge w:val="continue"/>
                  <w:vAlign w:val="center"/>
                </w:tcPr>
                <w:p>
                  <w:pPr>
                    <w:pStyle w:val="2"/>
                    <w:spacing w:line="240" w:lineRule="auto"/>
                    <w:jc w:val="center"/>
                    <w:rPr>
                      <w:sz w:val="21"/>
                      <w:szCs w:val="21"/>
                    </w:rPr>
                  </w:pPr>
                </w:p>
              </w:tc>
              <w:tc>
                <w:tcPr>
                  <w:tcW w:w="1193" w:type="dxa"/>
                  <w:vAlign w:val="center"/>
                </w:tcPr>
                <w:p>
                  <w:pPr>
                    <w:spacing w:line="400" w:lineRule="exact"/>
                    <w:jc w:val="center"/>
                    <w:rPr>
                      <w:color w:val="auto"/>
                      <w:szCs w:val="21"/>
                    </w:rPr>
                  </w:pPr>
                  <w:r>
                    <w:rPr>
                      <w:color w:val="auto"/>
                      <w:szCs w:val="21"/>
                    </w:rPr>
                    <w:t>上风向1个对照点</w:t>
                  </w:r>
                </w:p>
                <w:p>
                  <w:pPr>
                    <w:adjustRightInd w:val="0"/>
                    <w:snapToGrid w:val="0"/>
                    <w:jc w:val="center"/>
                    <w:rPr>
                      <w:color w:val="auto"/>
                      <w:szCs w:val="21"/>
                    </w:rPr>
                  </w:pPr>
                  <w:r>
                    <w:rPr>
                      <w:color w:val="auto"/>
                      <w:szCs w:val="21"/>
                    </w:rPr>
                    <w:t>下风向3个监测点</w:t>
                  </w:r>
                </w:p>
              </w:tc>
              <w:tc>
                <w:tcPr>
                  <w:tcW w:w="1177" w:type="dxa"/>
                  <w:vAlign w:val="center"/>
                </w:tcPr>
                <w:p>
                  <w:pPr>
                    <w:widowControl/>
                    <w:jc w:val="center"/>
                    <w:rPr>
                      <w:color w:val="auto"/>
                      <w:szCs w:val="21"/>
                    </w:rPr>
                  </w:pPr>
                  <w:r>
                    <w:rPr>
                      <w:rFonts w:hint="eastAsia" w:ascii="宋体" w:hAnsi="宋体" w:cs="宋体"/>
                      <w:color w:val="auto"/>
                      <w:kern w:val="0"/>
                      <w:sz w:val="20"/>
                      <w:szCs w:val="20"/>
                      <w:lang w:bidi="ar"/>
                    </w:rPr>
                    <w:t>风量、排放浓度、排放、速率</w:t>
                  </w:r>
                </w:p>
              </w:tc>
              <w:tc>
                <w:tcPr>
                  <w:tcW w:w="847" w:type="dxa"/>
                  <w:vAlign w:val="center"/>
                </w:tcPr>
                <w:p>
                  <w:pPr>
                    <w:widowControl/>
                    <w:spacing w:line="360" w:lineRule="auto"/>
                    <w:jc w:val="center"/>
                    <w:rPr>
                      <w:color w:val="auto"/>
                      <w:szCs w:val="21"/>
                    </w:rPr>
                  </w:pPr>
                  <w:r>
                    <w:rPr>
                      <w:rFonts w:hint="eastAsia" w:cs="宋体"/>
                      <w:color w:val="auto"/>
                      <w:szCs w:val="21"/>
                    </w:rPr>
                    <w:t>二甲苯</w:t>
                  </w:r>
                </w:p>
              </w:tc>
              <w:tc>
                <w:tcPr>
                  <w:tcW w:w="1092" w:type="dxa"/>
                  <w:vAlign w:val="center"/>
                </w:tcPr>
                <w:p>
                  <w:pPr>
                    <w:widowControl/>
                    <w:jc w:val="center"/>
                    <w:rPr>
                      <w:color w:val="auto"/>
                      <w:szCs w:val="21"/>
                    </w:rPr>
                  </w:pPr>
                  <w:r>
                    <w:rPr>
                      <w:rFonts w:hint="eastAsia"/>
                      <w:color w:val="auto"/>
                      <w:szCs w:val="21"/>
                    </w:rPr>
                    <w:t>连续采样</w:t>
                  </w:r>
                </w:p>
              </w:tc>
              <w:tc>
                <w:tcPr>
                  <w:tcW w:w="720" w:type="dxa"/>
                  <w:vAlign w:val="center"/>
                </w:tcPr>
                <w:p>
                  <w:pPr>
                    <w:adjustRightInd w:val="0"/>
                    <w:snapToGrid w:val="0"/>
                    <w:jc w:val="center"/>
                    <w:rPr>
                      <w:color w:val="auto"/>
                      <w:szCs w:val="21"/>
                    </w:rPr>
                  </w:pPr>
                  <w:r>
                    <w:rPr>
                      <w:color w:val="auto"/>
                      <w:szCs w:val="21"/>
                    </w:rPr>
                    <w:t>1次/年</w:t>
                  </w:r>
                </w:p>
              </w:tc>
              <w:tc>
                <w:tcPr>
                  <w:tcW w:w="1487" w:type="dxa"/>
                  <w:vAlign w:val="center"/>
                </w:tcPr>
                <w:p>
                  <w:pPr>
                    <w:adjustRightInd w:val="0"/>
                    <w:snapToGrid w:val="0"/>
                    <w:jc w:val="center"/>
                    <w:rPr>
                      <w:color w:val="auto"/>
                      <w:szCs w:val="21"/>
                    </w:rPr>
                  </w:pPr>
                  <w:r>
                    <w:rPr>
                      <w:color w:val="auto"/>
                      <w:szCs w:val="21"/>
                    </w:rPr>
                    <w:t>环境空气 苯系物的测定 活性炭吸附/ 二硫化碳解吸-气相色谱法 HJ584-2010</w:t>
                  </w:r>
                </w:p>
              </w:tc>
            </w:tr>
          </w:tbl>
          <w:p>
            <w:pPr>
              <w:pStyle w:val="45"/>
              <w:autoSpaceDE w:val="0"/>
              <w:spacing w:line="360" w:lineRule="auto"/>
              <w:ind w:firstLine="480" w:firstLineChars="200"/>
              <w:rPr>
                <w:bCs/>
                <w:sz w:val="24"/>
              </w:rPr>
            </w:pPr>
            <w:r>
              <w:rPr>
                <w:rFonts w:ascii="宋体" w:hAnsi="宋体" w:cs="宋体"/>
                <w:szCs w:val="24"/>
              </w:rPr>
              <w:t>二、</w:t>
            </w:r>
            <w:r>
              <w:rPr>
                <w:b/>
                <w:bCs/>
              </w:rPr>
              <w:t>水污染</w:t>
            </w:r>
          </w:p>
          <w:p>
            <w:pPr>
              <w:spacing w:line="360" w:lineRule="auto"/>
              <w:ind w:firstLine="480" w:firstLineChars="200"/>
              <w:rPr>
                <w:bCs/>
                <w:sz w:val="24"/>
              </w:rPr>
            </w:pPr>
            <w:r>
              <w:rPr>
                <w:bCs/>
                <w:sz w:val="24"/>
              </w:rPr>
              <w:t>1、该项目营运期</w:t>
            </w:r>
            <w:r>
              <w:rPr>
                <w:rFonts w:hint="eastAsia"/>
                <w:bCs/>
                <w:sz w:val="24"/>
              </w:rPr>
              <w:t>产生的废水主要为生活污水。</w:t>
            </w:r>
          </w:p>
          <w:p>
            <w:pPr>
              <w:spacing w:line="360" w:lineRule="auto"/>
              <w:ind w:firstLine="480" w:firstLineChars="200"/>
              <w:rPr>
                <w:bCs/>
                <w:sz w:val="24"/>
              </w:rPr>
            </w:pPr>
            <w:r>
              <w:rPr>
                <w:rFonts w:hint="eastAsia"/>
                <w:bCs/>
                <w:sz w:val="24"/>
              </w:rPr>
              <w:t>生活污水</w:t>
            </w:r>
            <w:r>
              <w:rPr>
                <w:rFonts w:hint="eastAsia"/>
                <w:bCs/>
                <w:sz w:val="24"/>
                <w:lang w:eastAsia="zh-CN"/>
              </w:rPr>
              <w:t>：</w:t>
            </w:r>
            <w:r>
              <w:rPr>
                <w:sz w:val="24"/>
              </w:rPr>
              <w:t>项目劳动定员人数</w:t>
            </w:r>
            <w:r>
              <w:rPr>
                <w:rFonts w:hint="eastAsia"/>
                <w:sz w:val="24"/>
                <w:lang w:val="en-US" w:eastAsia="zh-CN"/>
              </w:rPr>
              <w:t>2</w:t>
            </w:r>
            <w:r>
              <w:rPr>
                <w:rFonts w:hint="eastAsia"/>
                <w:sz w:val="24"/>
              </w:rPr>
              <w:t>5</w:t>
            </w:r>
            <w:r>
              <w:rPr>
                <w:sz w:val="24"/>
              </w:rPr>
              <w:t>人，均不在厂区食宿，用水标准参考《安徽省行业用水定额》（DB34/T679-2019），人均用水量按</w:t>
            </w:r>
            <w:r>
              <w:rPr>
                <w:rFonts w:hint="eastAsia"/>
                <w:sz w:val="24"/>
              </w:rPr>
              <w:t>60</w:t>
            </w:r>
            <w:r>
              <w:rPr>
                <w:sz w:val="24"/>
              </w:rPr>
              <w:t>L/d计，则年用水量</w:t>
            </w:r>
            <w:r>
              <w:rPr>
                <w:rFonts w:hint="eastAsia"/>
                <w:sz w:val="24"/>
                <w:lang w:val="en-US" w:eastAsia="zh-CN"/>
              </w:rPr>
              <w:t>450</w:t>
            </w:r>
            <w:r>
              <w:rPr>
                <w:sz w:val="24"/>
              </w:rPr>
              <w:t>t/a，废水产生系数取0.8，则废水产生量为</w:t>
            </w:r>
            <w:r>
              <w:rPr>
                <w:rFonts w:hint="eastAsia"/>
                <w:sz w:val="24"/>
                <w:lang w:val="en-US" w:eastAsia="zh-CN"/>
              </w:rPr>
              <w:t>360</w:t>
            </w:r>
            <w:r>
              <w:rPr>
                <w:sz w:val="24"/>
              </w:rPr>
              <w:t>t/a。</w:t>
            </w:r>
          </w:p>
          <w:p>
            <w:pPr>
              <w:spacing w:line="360" w:lineRule="auto"/>
              <w:ind w:firstLine="480" w:firstLineChars="200"/>
              <w:jc w:val="left"/>
              <w:rPr>
                <w:sz w:val="24"/>
                <w:szCs w:val="24"/>
              </w:rPr>
            </w:pPr>
            <w:r>
              <w:rPr>
                <w:bCs/>
                <w:sz w:val="24"/>
                <w:szCs w:val="24"/>
              </w:rPr>
              <w:t>2、项目废水产生情况</w:t>
            </w:r>
          </w:p>
          <w:p>
            <w:pPr>
              <w:spacing w:line="360" w:lineRule="auto"/>
              <w:ind w:firstLine="480" w:firstLineChars="200"/>
              <w:rPr>
                <w:sz w:val="24"/>
              </w:rPr>
            </w:pPr>
            <w:r>
              <w:rPr>
                <w:rFonts w:hint="eastAsia"/>
                <w:sz w:val="24"/>
                <w:lang w:eastAsia="zh-CN"/>
              </w:rPr>
              <w:t>（</w:t>
            </w:r>
            <w:r>
              <w:rPr>
                <w:rFonts w:hint="eastAsia"/>
                <w:sz w:val="24"/>
                <w:lang w:val="en-US" w:eastAsia="zh-CN"/>
              </w:rPr>
              <w:t>1）</w:t>
            </w:r>
            <w:r>
              <w:rPr>
                <w:sz w:val="24"/>
              </w:rPr>
              <w:t>项目废水产生及排放情况见下表所示。</w:t>
            </w:r>
          </w:p>
          <w:p>
            <w:pPr>
              <w:spacing w:line="360" w:lineRule="auto"/>
              <w:ind w:firstLine="482" w:firstLineChars="200"/>
              <w:jc w:val="center"/>
              <w:rPr>
                <w:b/>
                <w:color w:val="000000"/>
                <w:sz w:val="24"/>
              </w:rPr>
            </w:pPr>
            <w:r>
              <w:rPr>
                <w:b/>
                <w:color w:val="000000"/>
                <w:sz w:val="24"/>
              </w:rPr>
              <w:t>表</w:t>
            </w:r>
            <w:r>
              <w:rPr>
                <w:rFonts w:hint="eastAsia"/>
                <w:b/>
                <w:color w:val="000000"/>
                <w:sz w:val="24"/>
              </w:rPr>
              <w:t>4-8</w:t>
            </w:r>
            <w:r>
              <w:rPr>
                <w:b/>
                <w:color w:val="000000"/>
                <w:sz w:val="24"/>
              </w:rPr>
              <w:t xml:space="preserve">  项目</w:t>
            </w:r>
            <w:r>
              <w:rPr>
                <w:rFonts w:hint="eastAsia"/>
                <w:b/>
                <w:color w:val="000000"/>
                <w:sz w:val="24"/>
              </w:rPr>
              <w:t>用</w:t>
            </w:r>
            <w:r>
              <w:rPr>
                <w:b/>
                <w:color w:val="000000"/>
                <w:sz w:val="24"/>
              </w:rPr>
              <w:t>水及排放情况一览表</w:t>
            </w:r>
            <w:r>
              <w:rPr>
                <w:rFonts w:hint="eastAsia"/>
                <w:b/>
                <w:color w:val="000000"/>
                <w:sz w:val="24"/>
              </w:rPr>
              <w:t xml:space="preserve">  单位：t/a</w:t>
            </w:r>
          </w:p>
          <w:tbl>
            <w:tblPr>
              <w:tblStyle w:val="22"/>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017"/>
              <w:gridCol w:w="1303"/>
              <w:gridCol w:w="1022"/>
              <w:gridCol w:w="1023"/>
              <w:gridCol w:w="981"/>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572" w:type="dxa"/>
                  <w:vAlign w:val="center"/>
                </w:tcPr>
                <w:p>
                  <w:pPr>
                    <w:jc w:val="center"/>
                    <w:rPr>
                      <w:b/>
                      <w:szCs w:val="21"/>
                    </w:rPr>
                  </w:pPr>
                  <w:r>
                    <w:rPr>
                      <w:b/>
                      <w:szCs w:val="21"/>
                    </w:rPr>
                    <w:t>序号</w:t>
                  </w:r>
                </w:p>
              </w:tc>
              <w:tc>
                <w:tcPr>
                  <w:tcW w:w="2017" w:type="dxa"/>
                  <w:vAlign w:val="center"/>
                </w:tcPr>
                <w:p>
                  <w:pPr>
                    <w:jc w:val="center"/>
                    <w:rPr>
                      <w:b/>
                      <w:szCs w:val="21"/>
                    </w:rPr>
                  </w:pPr>
                  <w:r>
                    <w:rPr>
                      <w:b/>
                      <w:szCs w:val="21"/>
                    </w:rPr>
                    <w:t>用排水环节</w:t>
                  </w:r>
                </w:p>
              </w:tc>
              <w:tc>
                <w:tcPr>
                  <w:tcW w:w="1303" w:type="dxa"/>
                  <w:vAlign w:val="center"/>
                </w:tcPr>
                <w:p>
                  <w:pPr>
                    <w:jc w:val="center"/>
                    <w:rPr>
                      <w:b/>
                      <w:szCs w:val="21"/>
                    </w:rPr>
                  </w:pPr>
                  <w:r>
                    <w:rPr>
                      <w:b/>
                      <w:szCs w:val="21"/>
                    </w:rPr>
                    <w:t>用水指标</w:t>
                  </w:r>
                </w:p>
              </w:tc>
              <w:tc>
                <w:tcPr>
                  <w:tcW w:w="1022" w:type="dxa"/>
                  <w:vAlign w:val="center"/>
                </w:tcPr>
                <w:p>
                  <w:pPr>
                    <w:jc w:val="center"/>
                    <w:rPr>
                      <w:b/>
                      <w:szCs w:val="21"/>
                    </w:rPr>
                  </w:pPr>
                  <w:r>
                    <w:rPr>
                      <w:b/>
                      <w:szCs w:val="21"/>
                    </w:rPr>
                    <w:t>数量</w:t>
                  </w:r>
                </w:p>
              </w:tc>
              <w:tc>
                <w:tcPr>
                  <w:tcW w:w="1023" w:type="dxa"/>
                  <w:vAlign w:val="center"/>
                </w:tcPr>
                <w:p>
                  <w:pPr>
                    <w:jc w:val="center"/>
                    <w:rPr>
                      <w:b/>
                      <w:szCs w:val="21"/>
                    </w:rPr>
                  </w:pPr>
                  <w:r>
                    <w:rPr>
                      <w:b/>
                      <w:szCs w:val="21"/>
                    </w:rPr>
                    <w:t>用水量</w:t>
                  </w:r>
                </w:p>
              </w:tc>
              <w:tc>
                <w:tcPr>
                  <w:tcW w:w="981" w:type="dxa"/>
                  <w:vAlign w:val="center"/>
                </w:tcPr>
                <w:p>
                  <w:pPr>
                    <w:jc w:val="center"/>
                    <w:rPr>
                      <w:b/>
                      <w:szCs w:val="21"/>
                    </w:rPr>
                  </w:pPr>
                  <w:r>
                    <w:rPr>
                      <w:b/>
                      <w:szCs w:val="21"/>
                    </w:rPr>
                    <w:t>废水产生系数</w:t>
                  </w:r>
                </w:p>
              </w:tc>
              <w:tc>
                <w:tcPr>
                  <w:tcW w:w="1019" w:type="dxa"/>
                  <w:vAlign w:val="center"/>
                </w:tcPr>
                <w:p>
                  <w:pPr>
                    <w:jc w:val="center"/>
                    <w:rPr>
                      <w:b/>
                      <w:szCs w:val="21"/>
                    </w:rPr>
                  </w:pPr>
                  <w:r>
                    <w:rPr>
                      <w:b/>
                      <w:szCs w:val="21"/>
                    </w:rPr>
                    <w:t>废水产生量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572" w:type="dxa"/>
                  <w:vAlign w:val="center"/>
                </w:tcPr>
                <w:p>
                  <w:pPr>
                    <w:jc w:val="center"/>
                    <w:rPr>
                      <w:bCs/>
                      <w:szCs w:val="21"/>
                    </w:rPr>
                  </w:pPr>
                  <w:r>
                    <w:rPr>
                      <w:bCs/>
                      <w:szCs w:val="21"/>
                    </w:rPr>
                    <w:t>1</w:t>
                  </w:r>
                </w:p>
              </w:tc>
              <w:tc>
                <w:tcPr>
                  <w:tcW w:w="2017" w:type="dxa"/>
                  <w:vAlign w:val="center"/>
                </w:tcPr>
                <w:p>
                  <w:pPr>
                    <w:jc w:val="center"/>
                    <w:rPr>
                      <w:bCs/>
                      <w:szCs w:val="21"/>
                    </w:rPr>
                  </w:pPr>
                  <w:r>
                    <w:rPr>
                      <w:rFonts w:hint="eastAsia"/>
                      <w:bCs/>
                      <w:szCs w:val="21"/>
                    </w:rPr>
                    <w:t>生活污水</w:t>
                  </w:r>
                </w:p>
              </w:tc>
              <w:tc>
                <w:tcPr>
                  <w:tcW w:w="1303" w:type="dxa"/>
                  <w:vAlign w:val="center"/>
                </w:tcPr>
                <w:p>
                  <w:pPr>
                    <w:jc w:val="center"/>
                    <w:rPr>
                      <w:bCs/>
                      <w:szCs w:val="21"/>
                    </w:rPr>
                  </w:pPr>
                  <w:r>
                    <w:rPr>
                      <w:rFonts w:hint="eastAsia"/>
                      <w:bCs/>
                      <w:szCs w:val="21"/>
                    </w:rPr>
                    <w:t>60</w:t>
                  </w:r>
                  <w:r>
                    <w:rPr>
                      <w:bCs/>
                      <w:szCs w:val="21"/>
                    </w:rPr>
                    <w:t>L/人</w:t>
                  </w:r>
                </w:p>
              </w:tc>
              <w:tc>
                <w:tcPr>
                  <w:tcW w:w="1022" w:type="dxa"/>
                  <w:vAlign w:val="center"/>
                </w:tcPr>
                <w:p>
                  <w:pPr>
                    <w:jc w:val="center"/>
                    <w:rPr>
                      <w:bCs/>
                      <w:szCs w:val="21"/>
                    </w:rPr>
                  </w:pPr>
                  <w:r>
                    <w:rPr>
                      <w:rFonts w:hint="eastAsia"/>
                      <w:bCs/>
                      <w:szCs w:val="21"/>
                      <w:lang w:val="en-US" w:eastAsia="zh-CN"/>
                    </w:rPr>
                    <w:t>2</w:t>
                  </w:r>
                  <w:r>
                    <w:rPr>
                      <w:rFonts w:hint="eastAsia"/>
                      <w:bCs/>
                      <w:szCs w:val="21"/>
                    </w:rPr>
                    <w:t>5</w:t>
                  </w:r>
                  <w:r>
                    <w:rPr>
                      <w:bCs/>
                      <w:szCs w:val="21"/>
                    </w:rPr>
                    <w:t>人</w:t>
                  </w:r>
                </w:p>
              </w:tc>
              <w:tc>
                <w:tcPr>
                  <w:tcW w:w="1023" w:type="dxa"/>
                  <w:vAlign w:val="center"/>
                </w:tcPr>
                <w:p>
                  <w:pPr>
                    <w:jc w:val="center"/>
                    <w:rPr>
                      <w:rFonts w:hint="default" w:eastAsia="宋体"/>
                      <w:bCs/>
                      <w:szCs w:val="21"/>
                      <w:lang w:val="en-US" w:eastAsia="zh-CN"/>
                    </w:rPr>
                  </w:pPr>
                  <w:r>
                    <w:rPr>
                      <w:rFonts w:hint="eastAsia"/>
                      <w:bCs/>
                      <w:szCs w:val="21"/>
                      <w:lang w:val="en-US" w:eastAsia="zh-CN"/>
                    </w:rPr>
                    <w:t>450</w:t>
                  </w:r>
                </w:p>
              </w:tc>
              <w:tc>
                <w:tcPr>
                  <w:tcW w:w="981" w:type="dxa"/>
                  <w:vAlign w:val="center"/>
                </w:tcPr>
                <w:p>
                  <w:pPr>
                    <w:jc w:val="center"/>
                    <w:rPr>
                      <w:bCs/>
                      <w:szCs w:val="21"/>
                    </w:rPr>
                  </w:pPr>
                  <w:r>
                    <w:rPr>
                      <w:bCs/>
                      <w:szCs w:val="21"/>
                    </w:rPr>
                    <w:t>0.8</w:t>
                  </w:r>
                </w:p>
              </w:tc>
              <w:tc>
                <w:tcPr>
                  <w:tcW w:w="1019" w:type="dxa"/>
                  <w:vAlign w:val="center"/>
                </w:tcPr>
                <w:p>
                  <w:pPr>
                    <w:jc w:val="center"/>
                    <w:rPr>
                      <w:rFonts w:hint="default" w:eastAsia="宋体"/>
                      <w:bCs/>
                      <w:szCs w:val="21"/>
                      <w:lang w:val="en-US" w:eastAsia="zh-CN"/>
                    </w:rPr>
                  </w:pPr>
                  <w:r>
                    <w:rPr>
                      <w:rFonts w:hint="eastAsia"/>
                      <w:bCs/>
                      <w:szCs w:val="21"/>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4914" w:type="dxa"/>
                  <w:gridSpan w:val="4"/>
                  <w:vAlign w:val="center"/>
                </w:tcPr>
                <w:p>
                  <w:pPr>
                    <w:jc w:val="center"/>
                    <w:rPr>
                      <w:bCs/>
                      <w:szCs w:val="21"/>
                    </w:rPr>
                  </w:pPr>
                  <w:r>
                    <w:rPr>
                      <w:bCs/>
                      <w:szCs w:val="21"/>
                    </w:rPr>
                    <w:t>合计</w:t>
                  </w:r>
                </w:p>
              </w:tc>
              <w:tc>
                <w:tcPr>
                  <w:tcW w:w="1023" w:type="dxa"/>
                  <w:vAlign w:val="center"/>
                </w:tcPr>
                <w:p>
                  <w:pPr>
                    <w:jc w:val="center"/>
                    <w:rPr>
                      <w:bCs/>
                      <w:szCs w:val="21"/>
                    </w:rPr>
                  </w:pPr>
                  <w:r>
                    <w:rPr>
                      <w:rFonts w:hint="eastAsia"/>
                      <w:bCs/>
                      <w:szCs w:val="21"/>
                      <w:lang w:val="en-US" w:eastAsia="zh-CN"/>
                    </w:rPr>
                    <w:t>450</w:t>
                  </w:r>
                </w:p>
              </w:tc>
              <w:tc>
                <w:tcPr>
                  <w:tcW w:w="981" w:type="dxa"/>
                  <w:vAlign w:val="center"/>
                </w:tcPr>
                <w:p>
                  <w:pPr>
                    <w:jc w:val="center"/>
                    <w:rPr>
                      <w:bCs/>
                      <w:szCs w:val="21"/>
                    </w:rPr>
                  </w:pPr>
                  <w:r>
                    <w:rPr>
                      <w:bCs/>
                      <w:szCs w:val="21"/>
                    </w:rPr>
                    <w:t>/</w:t>
                  </w:r>
                </w:p>
              </w:tc>
              <w:tc>
                <w:tcPr>
                  <w:tcW w:w="1019" w:type="dxa"/>
                  <w:vAlign w:val="center"/>
                </w:tcPr>
                <w:p>
                  <w:pPr>
                    <w:jc w:val="center"/>
                    <w:rPr>
                      <w:bCs/>
                      <w:szCs w:val="21"/>
                    </w:rPr>
                  </w:pPr>
                  <w:r>
                    <w:rPr>
                      <w:rFonts w:hint="eastAsia"/>
                      <w:bCs/>
                      <w:szCs w:val="21"/>
                      <w:lang w:val="en-US" w:eastAsia="zh-CN"/>
                    </w:rPr>
                    <w:t>360</w:t>
                  </w:r>
                </w:p>
              </w:tc>
            </w:tr>
          </w:tbl>
          <w:p>
            <w:pPr>
              <w:adjustRightInd w:val="0"/>
              <w:snapToGrid w:val="0"/>
              <w:spacing w:line="360" w:lineRule="auto"/>
              <w:jc w:val="center"/>
              <w:rPr>
                <w:b/>
                <w:bCs/>
                <w:sz w:val="24"/>
              </w:rPr>
            </w:pPr>
            <w:r>
              <w:rPr>
                <w:b/>
                <w:bCs/>
                <w:sz w:val="24"/>
              </w:rPr>
              <w:t>表4-</w:t>
            </w:r>
            <w:r>
              <w:rPr>
                <w:rFonts w:hint="eastAsia"/>
                <w:b/>
                <w:bCs/>
                <w:sz w:val="24"/>
              </w:rPr>
              <w:t>9</w:t>
            </w:r>
            <w:r>
              <w:rPr>
                <w:b/>
                <w:bCs/>
                <w:sz w:val="24"/>
              </w:rPr>
              <w:t xml:space="preserve"> 废水类别、污染物种类、排放方式及污染治理设施一览表</w:t>
            </w:r>
          </w:p>
          <w:tbl>
            <w:tblPr>
              <w:tblStyle w:val="22"/>
              <w:tblW w:w="7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852"/>
              <w:gridCol w:w="1357"/>
              <w:gridCol w:w="926"/>
              <w:gridCol w:w="756"/>
              <w:gridCol w:w="947"/>
              <w:gridCol w:w="1207"/>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50" w:type="dxa"/>
                  <w:vMerge w:val="restart"/>
                  <w:vAlign w:val="center"/>
                </w:tcPr>
                <w:p>
                  <w:pPr>
                    <w:jc w:val="center"/>
                    <w:rPr>
                      <w:szCs w:val="21"/>
                    </w:rPr>
                  </w:pPr>
                  <w:r>
                    <w:rPr>
                      <w:szCs w:val="21"/>
                    </w:rPr>
                    <w:t>废水类别</w:t>
                  </w:r>
                </w:p>
              </w:tc>
              <w:tc>
                <w:tcPr>
                  <w:tcW w:w="852" w:type="dxa"/>
                  <w:vMerge w:val="restart"/>
                  <w:vAlign w:val="center"/>
                </w:tcPr>
                <w:p>
                  <w:pPr>
                    <w:jc w:val="center"/>
                    <w:rPr>
                      <w:szCs w:val="21"/>
                    </w:rPr>
                  </w:pPr>
                  <w:r>
                    <w:rPr>
                      <w:szCs w:val="21"/>
                    </w:rPr>
                    <w:t>污染物种类</w:t>
                  </w:r>
                </w:p>
              </w:tc>
              <w:tc>
                <w:tcPr>
                  <w:tcW w:w="2283" w:type="dxa"/>
                  <w:gridSpan w:val="2"/>
                  <w:vAlign w:val="center"/>
                </w:tcPr>
                <w:p>
                  <w:pPr>
                    <w:jc w:val="center"/>
                    <w:rPr>
                      <w:szCs w:val="21"/>
                    </w:rPr>
                  </w:pPr>
                  <w:r>
                    <w:rPr>
                      <w:szCs w:val="21"/>
                    </w:rPr>
                    <w:t>污染治理设施</w:t>
                  </w:r>
                </w:p>
              </w:tc>
              <w:tc>
                <w:tcPr>
                  <w:tcW w:w="756" w:type="dxa"/>
                  <w:vMerge w:val="restart"/>
                  <w:vAlign w:val="center"/>
                </w:tcPr>
                <w:p>
                  <w:pPr>
                    <w:jc w:val="center"/>
                    <w:rPr>
                      <w:szCs w:val="21"/>
                    </w:rPr>
                  </w:pPr>
                  <w:r>
                    <w:rPr>
                      <w:szCs w:val="21"/>
                    </w:rPr>
                    <w:t>排放去向</w:t>
                  </w:r>
                </w:p>
              </w:tc>
              <w:tc>
                <w:tcPr>
                  <w:tcW w:w="947" w:type="dxa"/>
                  <w:vMerge w:val="restart"/>
                  <w:vAlign w:val="center"/>
                </w:tcPr>
                <w:p>
                  <w:pPr>
                    <w:jc w:val="center"/>
                    <w:rPr>
                      <w:szCs w:val="21"/>
                    </w:rPr>
                  </w:pPr>
                  <w:r>
                    <w:rPr>
                      <w:szCs w:val="21"/>
                    </w:rPr>
                    <w:t>排放方式</w:t>
                  </w:r>
                </w:p>
              </w:tc>
              <w:tc>
                <w:tcPr>
                  <w:tcW w:w="1207" w:type="dxa"/>
                  <w:vMerge w:val="restart"/>
                  <w:vAlign w:val="center"/>
                </w:tcPr>
                <w:p>
                  <w:pPr>
                    <w:jc w:val="center"/>
                    <w:rPr>
                      <w:szCs w:val="21"/>
                    </w:rPr>
                  </w:pPr>
                  <w:r>
                    <w:rPr>
                      <w:szCs w:val="21"/>
                    </w:rPr>
                    <w:t>排放口编号</w:t>
                  </w:r>
                </w:p>
              </w:tc>
              <w:tc>
                <w:tcPr>
                  <w:tcW w:w="1206" w:type="dxa"/>
                  <w:vMerge w:val="restart"/>
                  <w:vAlign w:val="center"/>
                </w:tcPr>
                <w:p>
                  <w:pPr>
                    <w:jc w:val="center"/>
                    <w:rPr>
                      <w:szCs w:val="21"/>
                    </w:rPr>
                  </w:pPr>
                  <w:r>
                    <w:rPr>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50" w:type="dxa"/>
                  <w:vMerge w:val="continue"/>
                  <w:vAlign w:val="center"/>
                </w:tcPr>
                <w:p>
                  <w:pPr>
                    <w:jc w:val="center"/>
                    <w:rPr>
                      <w:szCs w:val="21"/>
                    </w:rPr>
                  </w:pPr>
                </w:p>
              </w:tc>
              <w:tc>
                <w:tcPr>
                  <w:tcW w:w="852" w:type="dxa"/>
                  <w:vMerge w:val="continue"/>
                  <w:vAlign w:val="center"/>
                </w:tcPr>
                <w:p>
                  <w:pPr>
                    <w:jc w:val="center"/>
                    <w:rPr>
                      <w:szCs w:val="21"/>
                    </w:rPr>
                  </w:pPr>
                </w:p>
              </w:tc>
              <w:tc>
                <w:tcPr>
                  <w:tcW w:w="1357" w:type="dxa"/>
                  <w:vAlign w:val="center"/>
                </w:tcPr>
                <w:p>
                  <w:pPr>
                    <w:jc w:val="center"/>
                    <w:rPr>
                      <w:szCs w:val="21"/>
                    </w:rPr>
                  </w:pPr>
                  <w:r>
                    <w:rPr>
                      <w:szCs w:val="21"/>
                    </w:rPr>
                    <w:t>治理工艺</w:t>
                  </w:r>
                </w:p>
              </w:tc>
              <w:tc>
                <w:tcPr>
                  <w:tcW w:w="926" w:type="dxa"/>
                  <w:vAlign w:val="center"/>
                </w:tcPr>
                <w:p>
                  <w:pPr>
                    <w:jc w:val="center"/>
                    <w:rPr>
                      <w:szCs w:val="21"/>
                    </w:rPr>
                  </w:pPr>
                  <w:r>
                    <w:rPr>
                      <w:szCs w:val="21"/>
                    </w:rPr>
                    <w:t>是否可行</w:t>
                  </w:r>
                </w:p>
              </w:tc>
              <w:tc>
                <w:tcPr>
                  <w:tcW w:w="756" w:type="dxa"/>
                  <w:vMerge w:val="continue"/>
                  <w:vAlign w:val="center"/>
                </w:tcPr>
                <w:p>
                  <w:pPr>
                    <w:jc w:val="center"/>
                    <w:rPr>
                      <w:szCs w:val="21"/>
                    </w:rPr>
                  </w:pPr>
                </w:p>
              </w:tc>
              <w:tc>
                <w:tcPr>
                  <w:tcW w:w="947" w:type="dxa"/>
                  <w:vMerge w:val="continue"/>
                  <w:vAlign w:val="center"/>
                </w:tcPr>
                <w:p>
                  <w:pPr>
                    <w:jc w:val="center"/>
                    <w:rPr>
                      <w:szCs w:val="21"/>
                    </w:rPr>
                  </w:pPr>
                </w:p>
              </w:tc>
              <w:tc>
                <w:tcPr>
                  <w:tcW w:w="1207" w:type="dxa"/>
                  <w:vMerge w:val="continue"/>
                  <w:vAlign w:val="center"/>
                </w:tcPr>
                <w:p>
                  <w:pPr>
                    <w:jc w:val="center"/>
                    <w:rPr>
                      <w:szCs w:val="21"/>
                    </w:rPr>
                  </w:pPr>
                </w:p>
              </w:tc>
              <w:tc>
                <w:tcPr>
                  <w:tcW w:w="1206"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vAlign w:val="center"/>
                </w:tcPr>
                <w:p>
                  <w:pPr>
                    <w:jc w:val="center"/>
                    <w:rPr>
                      <w:szCs w:val="21"/>
                    </w:rPr>
                  </w:pPr>
                  <w:r>
                    <w:rPr>
                      <w:szCs w:val="21"/>
                    </w:rPr>
                    <w:t>生活污水</w:t>
                  </w:r>
                </w:p>
              </w:tc>
              <w:tc>
                <w:tcPr>
                  <w:tcW w:w="852" w:type="dxa"/>
                  <w:vAlign w:val="center"/>
                </w:tcPr>
                <w:p>
                  <w:pPr>
                    <w:jc w:val="center"/>
                    <w:rPr>
                      <w:szCs w:val="21"/>
                    </w:rPr>
                  </w:pPr>
                  <w:r>
                    <w:rPr>
                      <w:szCs w:val="21"/>
                    </w:rPr>
                    <w:t>pH、COD、BOD</w:t>
                  </w:r>
                  <w:r>
                    <w:rPr>
                      <w:szCs w:val="21"/>
                      <w:vertAlign w:val="subscript"/>
                    </w:rPr>
                    <w:t>5</w:t>
                  </w:r>
                  <w:r>
                    <w:rPr>
                      <w:szCs w:val="21"/>
                    </w:rPr>
                    <w:t>、SS、</w:t>
                  </w:r>
                  <w:r>
                    <w:rPr>
                      <w:bCs/>
                      <w:snapToGrid w:val="0"/>
                      <w:kern w:val="0"/>
                      <w:szCs w:val="21"/>
                    </w:rPr>
                    <w:t>NH</w:t>
                  </w:r>
                  <w:r>
                    <w:rPr>
                      <w:bCs/>
                      <w:snapToGrid w:val="0"/>
                      <w:kern w:val="0"/>
                      <w:szCs w:val="21"/>
                      <w:vertAlign w:val="subscript"/>
                    </w:rPr>
                    <w:t>3</w:t>
                  </w:r>
                  <w:r>
                    <w:rPr>
                      <w:bCs/>
                      <w:snapToGrid w:val="0"/>
                      <w:kern w:val="0"/>
                      <w:szCs w:val="21"/>
                    </w:rPr>
                    <w:t>-N</w:t>
                  </w:r>
                </w:p>
              </w:tc>
              <w:tc>
                <w:tcPr>
                  <w:tcW w:w="1357" w:type="dxa"/>
                  <w:vAlign w:val="center"/>
                </w:tcPr>
                <w:p>
                  <w:pPr>
                    <w:jc w:val="center"/>
                    <w:rPr>
                      <w:szCs w:val="21"/>
                    </w:rPr>
                  </w:pPr>
                  <w:r>
                    <w:rPr>
                      <w:szCs w:val="21"/>
                    </w:rPr>
                    <w:t>化粪池</w:t>
                  </w:r>
                </w:p>
              </w:tc>
              <w:tc>
                <w:tcPr>
                  <w:tcW w:w="926" w:type="dxa"/>
                  <w:vAlign w:val="center"/>
                </w:tcPr>
                <w:p>
                  <w:pPr>
                    <w:jc w:val="center"/>
                    <w:rPr>
                      <w:szCs w:val="21"/>
                    </w:rPr>
                  </w:pPr>
                  <w:r>
                    <w:rPr>
                      <w:szCs w:val="21"/>
                    </w:rPr>
                    <w:t>是</w:t>
                  </w:r>
                </w:p>
              </w:tc>
              <w:tc>
                <w:tcPr>
                  <w:tcW w:w="756" w:type="dxa"/>
                  <w:vAlign w:val="center"/>
                </w:tcPr>
                <w:p>
                  <w:pPr>
                    <w:jc w:val="center"/>
                    <w:rPr>
                      <w:szCs w:val="21"/>
                    </w:rPr>
                  </w:pPr>
                  <w:r>
                    <w:rPr>
                      <w:rFonts w:hint="eastAsia"/>
                      <w:szCs w:val="21"/>
                    </w:rPr>
                    <w:t>不排放</w:t>
                  </w:r>
                </w:p>
              </w:tc>
              <w:tc>
                <w:tcPr>
                  <w:tcW w:w="947" w:type="dxa"/>
                  <w:vAlign w:val="center"/>
                </w:tcPr>
                <w:p>
                  <w:pPr>
                    <w:jc w:val="center"/>
                    <w:rPr>
                      <w:szCs w:val="21"/>
                    </w:rPr>
                  </w:pPr>
                  <w:r>
                    <w:rPr>
                      <w:szCs w:val="21"/>
                    </w:rPr>
                    <w:t>/</w:t>
                  </w:r>
                </w:p>
              </w:tc>
              <w:tc>
                <w:tcPr>
                  <w:tcW w:w="1207" w:type="dxa"/>
                  <w:vAlign w:val="center"/>
                </w:tcPr>
                <w:p>
                  <w:pPr>
                    <w:jc w:val="center"/>
                    <w:rPr>
                      <w:szCs w:val="21"/>
                    </w:rPr>
                  </w:pPr>
                  <w:r>
                    <w:rPr>
                      <w:szCs w:val="21"/>
                    </w:rPr>
                    <w:t>/</w:t>
                  </w:r>
                </w:p>
              </w:tc>
              <w:tc>
                <w:tcPr>
                  <w:tcW w:w="1206" w:type="dxa"/>
                  <w:vAlign w:val="center"/>
                </w:tcPr>
                <w:p>
                  <w:pPr>
                    <w:jc w:val="center"/>
                    <w:rPr>
                      <w:szCs w:val="21"/>
                    </w:rPr>
                  </w:pPr>
                  <w:r>
                    <w:rPr>
                      <w:szCs w:val="21"/>
                    </w:rPr>
                    <w:t>/</w:t>
                  </w:r>
                </w:p>
              </w:tc>
            </w:tr>
          </w:tbl>
          <w:p>
            <w:pPr>
              <w:ind w:firstLine="1205" w:firstLineChars="500"/>
              <w:outlineLvl w:val="0"/>
              <w:rPr>
                <w:b/>
              </w:rPr>
            </w:pPr>
            <w:r>
              <w:rPr>
                <w:b/>
                <w:sz w:val="24"/>
                <w:lang w:bidi="ar"/>
              </w:rPr>
              <w:t>表4-</w:t>
            </w:r>
            <w:r>
              <w:rPr>
                <w:rFonts w:hint="eastAsia"/>
                <w:b/>
                <w:sz w:val="24"/>
                <w:lang w:bidi="ar"/>
              </w:rPr>
              <w:t>10</w:t>
            </w:r>
            <w:r>
              <w:rPr>
                <w:b/>
                <w:sz w:val="24"/>
                <w:lang w:bidi="ar"/>
              </w:rPr>
              <w:t xml:space="preserve">  建设项目营运期水污染物产生及排放情况表</w:t>
            </w:r>
          </w:p>
          <w:tbl>
            <w:tblPr>
              <w:tblStyle w:val="22"/>
              <w:tblW w:w="7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407"/>
              <w:gridCol w:w="964"/>
              <w:gridCol w:w="739"/>
              <w:gridCol w:w="950"/>
              <w:gridCol w:w="1007"/>
              <w:gridCol w:w="879"/>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2378" w:type="dxa"/>
                  <w:gridSpan w:val="2"/>
                  <w:tcBorders>
                    <w:tl2br w:val="single" w:color="auto" w:sz="4" w:space="0"/>
                  </w:tcBorders>
                  <w:vAlign w:val="center"/>
                </w:tcPr>
                <w:p>
                  <w:pPr>
                    <w:adjustRightInd w:val="0"/>
                    <w:snapToGrid w:val="0"/>
                    <w:jc w:val="center"/>
                    <w:rPr>
                      <w:b/>
                      <w:snapToGrid w:val="0"/>
                      <w:kern w:val="0"/>
                      <w:szCs w:val="21"/>
                    </w:rPr>
                  </w:pPr>
                  <w:r>
                    <w:rPr>
                      <w:b/>
                      <w:snapToGrid w:val="0"/>
                      <w:kern w:val="0"/>
                      <w:szCs w:val="21"/>
                    </w:rPr>
                    <w:t>污染物</w:t>
                  </w:r>
                </w:p>
                <w:p>
                  <w:pPr>
                    <w:adjustRightInd w:val="0"/>
                    <w:snapToGrid w:val="0"/>
                    <w:jc w:val="center"/>
                    <w:rPr>
                      <w:b/>
                      <w:snapToGrid w:val="0"/>
                      <w:kern w:val="0"/>
                      <w:szCs w:val="21"/>
                    </w:rPr>
                  </w:pPr>
                  <w:r>
                    <w:rPr>
                      <w:b/>
                      <w:snapToGrid w:val="0"/>
                      <w:kern w:val="0"/>
                      <w:szCs w:val="21"/>
                    </w:rPr>
                    <w:t>项目</w:t>
                  </w:r>
                </w:p>
              </w:tc>
              <w:tc>
                <w:tcPr>
                  <w:tcW w:w="964" w:type="dxa"/>
                  <w:vAlign w:val="center"/>
                </w:tcPr>
                <w:p>
                  <w:pPr>
                    <w:adjustRightInd w:val="0"/>
                    <w:snapToGrid w:val="0"/>
                    <w:jc w:val="center"/>
                    <w:rPr>
                      <w:b/>
                      <w:snapToGrid w:val="0"/>
                      <w:kern w:val="0"/>
                      <w:szCs w:val="21"/>
                    </w:rPr>
                  </w:pPr>
                  <w:r>
                    <w:rPr>
                      <w:b/>
                      <w:snapToGrid w:val="0"/>
                      <w:kern w:val="0"/>
                      <w:szCs w:val="21"/>
                    </w:rPr>
                    <w:t>废水量（t/a）</w:t>
                  </w:r>
                </w:p>
              </w:tc>
              <w:tc>
                <w:tcPr>
                  <w:tcW w:w="739" w:type="dxa"/>
                  <w:vAlign w:val="center"/>
                </w:tcPr>
                <w:p>
                  <w:pPr>
                    <w:adjustRightInd w:val="0"/>
                    <w:snapToGrid w:val="0"/>
                    <w:jc w:val="center"/>
                    <w:rPr>
                      <w:b/>
                      <w:szCs w:val="21"/>
                    </w:rPr>
                  </w:pPr>
                  <w:r>
                    <w:rPr>
                      <w:b/>
                      <w:szCs w:val="21"/>
                    </w:rPr>
                    <w:t>pH</w:t>
                  </w:r>
                </w:p>
              </w:tc>
              <w:tc>
                <w:tcPr>
                  <w:tcW w:w="950" w:type="dxa"/>
                  <w:vAlign w:val="center"/>
                </w:tcPr>
                <w:p>
                  <w:pPr>
                    <w:adjustRightInd w:val="0"/>
                    <w:snapToGrid w:val="0"/>
                    <w:jc w:val="center"/>
                    <w:rPr>
                      <w:b/>
                      <w:snapToGrid w:val="0"/>
                      <w:kern w:val="0"/>
                      <w:szCs w:val="21"/>
                    </w:rPr>
                  </w:pPr>
                  <w:r>
                    <w:rPr>
                      <w:b/>
                      <w:snapToGrid w:val="0"/>
                      <w:kern w:val="0"/>
                      <w:szCs w:val="21"/>
                    </w:rPr>
                    <w:t>COD</w:t>
                  </w:r>
                </w:p>
              </w:tc>
              <w:tc>
                <w:tcPr>
                  <w:tcW w:w="1007" w:type="dxa"/>
                  <w:vAlign w:val="center"/>
                </w:tcPr>
                <w:p>
                  <w:pPr>
                    <w:adjustRightInd w:val="0"/>
                    <w:snapToGrid w:val="0"/>
                    <w:jc w:val="center"/>
                    <w:rPr>
                      <w:b/>
                      <w:snapToGrid w:val="0"/>
                      <w:kern w:val="0"/>
                      <w:szCs w:val="21"/>
                    </w:rPr>
                  </w:pPr>
                  <w:r>
                    <w:rPr>
                      <w:b/>
                      <w:snapToGrid w:val="0"/>
                      <w:kern w:val="0"/>
                      <w:szCs w:val="21"/>
                    </w:rPr>
                    <w:t>BOD</w:t>
                  </w:r>
                  <w:r>
                    <w:rPr>
                      <w:b/>
                      <w:snapToGrid w:val="0"/>
                      <w:kern w:val="0"/>
                      <w:szCs w:val="21"/>
                      <w:vertAlign w:val="subscript"/>
                    </w:rPr>
                    <w:t>5</w:t>
                  </w:r>
                </w:p>
              </w:tc>
              <w:tc>
                <w:tcPr>
                  <w:tcW w:w="879" w:type="dxa"/>
                  <w:vAlign w:val="center"/>
                </w:tcPr>
                <w:p>
                  <w:pPr>
                    <w:adjustRightInd w:val="0"/>
                    <w:snapToGrid w:val="0"/>
                    <w:jc w:val="center"/>
                    <w:rPr>
                      <w:b/>
                      <w:snapToGrid w:val="0"/>
                      <w:kern w:val="0"/>
                      <w:szCs w:val="21"/>
                    </w:rPr>
                  </w:pPr>
                  <w:r>
                    <w:rPr>
                      <w:b/>
                      <w:snapToGrid w:val="0"/>
                      <w:kern w:val="0"/>
                      <w:szCs w:val="21"/>
                    </w:rPr>
                    <w:t>SS</w:t>
                  </w:r>
                </w:p>
              </w:tc>
              <w:tc>
                <w:tcPr>
                  <w:tcW w:w="1077" w:type="dxa"/>
                  <w:vAlign w:val="center"/>
                </w:tcPr>
                <w:p>
                  <w:pPr>
                    <w:adjustRightInd w:val="0"/>
                    <w:snapToGrid w:val="0"/>
                    <w:jc w:val="center"/>
                    <w:rPr>
                      <w:b/>
                      <w:snapToGrid w:val="0"/>
                      <w:kern w:val="0"/>
                      <w:szCs w:val="21"/>
                    </w:rPr>
                  </w:pPr>
                  <w:r>
                    <w:rPr>
                      <w:b/>
                      <w:snapToGrid w:val="0"/>
                      <w:kern w:val="0"/>
                      <w:szCs w:val="21"/>
                    </w:rPr>
                    <w:t>NH</w:t>
                  </w:r>
                  <w:r>
                    <w:rPr>
                      <w:b/>
                      <w:snapToGrid w:val="0"/>
                      <w:kern w:val="0"/>
                      <w:szCs w:val="21"/>
                      <w:vertAlign w:val="subscript"/>
                    </w:rPr>
                    <w:t>3</w:t>
                  </w:r>
                  <w:r>
                    <w:rPr>
                      <w:b/>
                      <w:snapToGrid w:val="0"/>
                      <w:kern w:val="0"/>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71" w:type="dxa"/>
                  <w:vMerge w:val="restart"/>
                  <w:vAlign w:val="center"/>
                </w:tcPr>
                <w:p>
                  <w:pPr>
                    <w:adjustRightInd w:val="0"/>
                    <w:snapToGrid w:val="0"/>
                    <w:jc w:val="center"/>
                    <w:rPr>
                      <w:bCs/>
                      <w:snapToGrid w:val="0"/>
                      <w:kern w:val="0"/>
                      <w:szCs w:val="21"/>
                    </w:rPr>
                  </w:pPr>
                  <w:r>
                    <w:rPr>
                      <w:bCs/>
                      <w:szCs w:val="21"/>
                    </w:rPr>
                    <w:t>生活污水</w:t>
                  </w:r>
                </w:p>
              </w:tc>
              <w:tc>
                <w:tcPr>
                  <w:tcW w:w="1407" w:type="dxa"/>
                  <w:vAlign w:val="center"/>
                </w:tcPr>
                <w:p>
                  <w:pPr>
                    <w:adjustRightInd w:val="0"/>
                    <w:snapToGrid w:val="0"/>
                    <w:jc w:val="center"/>
                    <w:rPr>
                      <w:bCs/>
                      <w:snapToGrid w:val="0"/>
                      <w:kern w:val="0"/>
                      <w:szCs w:val="21"/>
                    </w:rPr>
                  </w:pPr>
                  <w:r>
                    <w:rPr>
                      <w:bCs/>
                      <w:snapToGrid w:val="0"/>
                      <w:kern w:val="0"/>
                      <w:szCs w:val="21"/>
                    </w:rPr>
                    <w:t>产生浓度（mg/L）</w:t>
                  </w:r>
                </w:p>
              </w:tc>
              <w:tc>
                <w:tcPr>
                  <w:tcW w:w="964" w:type="dxa"/>
                  <w:vMerge w:val="restart"/>
                  <w:vAlign w:val="center"/>
                </w:tcPr>
                <w:p>
                  <w:pPr>
                    <w:adjustRightInd w:val="0"/>
                    <w:snapToGrid w:val="0"/>
                    <w:jc w:val="center"/>
                    <w:rPr>
                      <w:rFonts w:hint="default" w:eastAsia="宋体"/>
                      <w:bCs/>
                      <w:snapToGrid w:val="0"/>
                      <w:kern w:val="0"/>
                      <w:szCs w:val="21"/>
                      <w:lang w:val="en-US" w:eastAsia="zh-CN"/>
                    </w:rPr>
                  </w:pPr>
                  <w:r>
                    <w:rPr>
                      <w:rFonts w:hint="eastAsia"/>
                      <w:bCs/>
                      <w:szCs w:val="21"/>
                      <w:lang w:val="en-US" w:eastAsia="zh-CN"/>
                    </w:rPr>
                    <w:t>360</w:t>
                  </w:r>
                </w:p>
              </w:tc>
              <w:tc>
                <w:tcPr>
                  <w:tcW w:w="739" w:type="dxa"/>
                  <w:vAlign w:val="center"/>
                </w:tcPr>
                <w:p>
                  <w:pPr>
                    <w:adjustRightInd w:val="0"/>
                    <w:snapToGrid w:val="0"/>
                    <w:jc w:val="center"/>
                    <w:rPr>
                      <w:bCs/>
                      <w:szCs w:val="21"/>
                    </w:rPr>
                  </w:pPr>
                  <w:r>
                    <w:rPr>
                      <w:bCs/>
                      <w:szCs w:val="21"/>
                    </w:rPr>
                    <w:t>6~9</w:t>
                  </w:r>
                </w:p>
              </w:tc>
              <w:tc>
                <w:tcPr>
                  <w:tcW w:w="950" w:type="dxa"/>
                  <w:vAlign w:val="center"/>
                </w:tcPr>
                <w:p>
                  <w:pPr>
                    <w:adjustRightInd w:val="0"/>
                    <w:snapToGrid w:val="0"/>
                    <w:jc w:val="center"/>
                    <w:rPr>
                      <w:bCs/>
                      <w:szCs w:val="21"/>
                    </w:rPr>
                  </w:pPr>
                  <w:r>
                    <w:rPr>
                      <w:bCs/>
                      <w:snapToGrid w:val="0"/>
                      <w:kern w:val="0"/>
                      <w:szCs w:val="21"/>
                    </w:rPr>
                    <w:t>300</w:t>
                  </w:r>
                </w:p>
              </w:tc>
              <w:tc>
                <w:tcPr>
                  <w:tcW w:w="1007" w:type="dxa"/>
                  <w:vAlign w:val="center"/>
                </w:tcPr>
                <w:p>
                  <w:pPr>
                    <w:adjustRightInd w:val="0"/>
                    <w:snapToGrid w:val="0"/>
                    <w:jc w:val="center"/>
                    <w:rPr>
                      <w:bCs/>
                      <w:szCs w:val="21"/>
                    </w:rPr>
                  </w:pPr>
                  <w:r>
                    <w:rPr>
                      <w:bCs/>
                      <w:snapToGrid w:val="0"/>
                      <w:kern w:val="0"/>
                      <w:szCs w:val="21"/>
                    </w:rPr>
                    <w:t>200</w:t>
                  </w:r>
                </w:p>
              </w:tc>
              <w:tc>
                <w:tcPr>
                  <w:tcW w:w="879" w:type="dxa"/>
                  <w:vAlign w:val="center"/>
                </w:tcPr>
                <w:p>
                  <w:pPr>
                    <w:adjustRightInd w:val="0"/>
                    <w:snapToGrid w:val="0"/>
                    <w:jc w:val="center"/>
                    <w:rPr>
                      <w:bCs/>
                      <w:szCs w:val="21"/>
                    </w:rPr>
                  </w:pPr>
                  <w:r>
                    <w:rPr>
                      <w:bCs/>
                      <w:snapToGrid w:val="0"/>
                      <w:kern w:val="0"/>
                      <w:szCs w:val="21"/>
                    </w:rPr>
                    <w:t>200</w:t>
                  </w:r>
                </w:p>
              </w:tc>
              <w:tc>
                <w:tcPr>
                  <w:tcW w:w="1077" w:type="dxa"/>
                  <w:vAlign w:val="center"/>
                </w:tcPr>
                <w:p>
                  <w:pPr>
                    <w:adjustRightInd w:val="0"/>
                    <w:snapToGrid w:val="0"/>
                    <w:jc w:val="center"/>
                    <w:rPr>
                      <w:bCs/>
                      <w:szCs w:val="21"/>
                    </w:rPr>
                  </w:pPr>
                  <w:r>
                    <w:rPr>
                      <w:bCs/>
                      <w:snapToGrid w:val="0"/>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1" w:type="dxa"/>
                  <w:vMerge w:val="continue"/>
                  <w:vAlign w:val="center"/>
                </w:tcPr>
                <w:p>
                  <w:pPr>
                    <w:adjustRightInd w:val="0"/>
                    <w:snapToGrid w:val="0"/>
                    <w:jc w:val="center"/>
                    <w:rPr>
                      <w:bCs/>
                      <w:szCs w:val="21"/>
                    </w:rPr>
                  </w:pPr>
                </w:p>
              </w:tc>
              <w:tc>
                <w:tcPr>
                  <w:tcW w:w="1407" w:type="dxa"/>
                  <w:vAlign w:val="center"/>
                </w:tcPr>
                <w:p>
                  <w:pPr>
                    <w:adjustRightInd w:val="0"/>
                    <w:snapToGrid w:val="0"/>
                    <w:jc w:val="center"/>
                    <w:rPr>
                      <w:bCs/>
                      <w:snapToGrid w:val="0"/>
                      <w:kern w:val="0"/>
                      <w:szCs w:val="21"/>
                    </w:rPr>
                  </w:pPr>
                  <w:r>
                    <w:rPr>
                      <w:bCs/>
                      <w:szCs w:val="21"/>
                      <w:lang w:bidi="ar"/>
                    </w:rPr>
                    <w:t>产生量(t/a)</w:t>
                  </w:r>
                </w:p>
              </w:tc>
              <w:tc>
                <w:tcPr>
                  <w:tcW w:w="964" w:type="dxa"/>
                  <w:vMerge w:val="continue"/>
                  <w:vAlign w:val="center"/>
                </w:tcPr>
                <w:p>
                  <w:pPr>
                    <w:adjustRightInd w:val="0"/>
                    <w:snapToGrid w:val="0"/>
                    <w:jc w:val="center"/>
                    <w:rPr>
                      <w:bCs/>
                      <w:snapToGrid w:val="0"/>
                      <w:kern w:val="0"/>
                      <w:szCs w:val="21"/>
                    </w:rPr>
                  </w:pPr>
                </w:p>
              </w:tc>
              <w:tc>
                <w:tcPr>
                  <w:tcW w:w="739" w:type="dxa"/>
                  <w:vAlign w:val="center"/>
                </w:tcPr>
                <w:p>
                  <w:pPr>
                    <w:jc w:val="center"/>
                    <w:rPr>
                      <w:bCs/>
                      <w:szCs w:val="21"/>
                    </w:rPr>
                  </w:pPr>
                  <w:r>
                    <w:rPr>
                      <w:bCs/>
                      <w:szCs w:val="21"/>
                    </w:rPr>
                    <w:t>/</w:t>
                  </w:r>
                </w:p>
              </w:tc>
              <w:tc>
                <w:tcPr>
                  <w:tcW w:w="950" w:type="dxa"/>
                  <w:vAlign w:val="center"/>
                </w:tcPr>
                <w:p>
                  <w:pPr>
                    <w:adjustRightInd w:val="0"/>
                    <w:snapToGrid w:val="0"/>
                    <w:jc w:val="center"/>
                    <w:rPr>
                      <w:rFonts w:hint="default" w:eastAsia="宋体"/>
                      <w:bCs/>
                      <w:snapToGrid w:val="0"/>
                      <w:kern w:val="0"/>
                      <w:szCs w:val="21"/>
                      <w:lang w:val="en-US" w:eastAsia="zh-CN"/>
                    </w:rPr>
                  </w:pPr>
                  <w:r>
                    <w:rPr>
                      <w:bCs/>
                      <w:snapToGrid w:val="0"/>
                      <w:kern w:val="0"/>
                      <w:szCs w:val="21"/>
                    </w:rPr>
                    <w:t>0.</w:t>
                  </w:r>
                  <w:r>
                    <w:rPr>
                      <w:rFonts w:hint="eastAsia"/>
                      <w:bCs/>
                      <w:snapToGrid w:val="0"/>
                      <w:kern w:val="0"/>
                      <w:szCs w:val="21"/>
                      <w:lang w:val="en-US" w:eastAsia="zh-CN"/>
                    </w:rPr>
                    <w:t>108</w:t>
                  </w:r>
                </w:p>
              </w:tc>
              <w:tc>
                <w:tcPr>
                  <w:tcW w:w="1007" w:type="dxa"/>
                  <w:vAlign w:val="center"/>
                </w:tcPr>
                <w:p>
                  <w:pPr>
                    <w:adjustRightInd w:val="0"/>
                    <w:snapToGrid w:val="0"/>
                    <w:jc w:val="center"/>
                    <w:rPr>
                      <w:rFonts w:hint="default" w:eastAsia="宋体"/>
                      <w:bCs/>
                      <w:snapToGrid w:val="0"/>
                      <w:kern w:val="0"/>
                      <w:szCs w:val="21"/>
                      <w:lang w:val="en-US" w:eastAsia="zh-CN"/>
                    </w:rPr>
                  </w:pPr>
                  <w:r>
                    <w:rPr>
                      <w:bCs/>
                      <w:snapToGrid w:val="0"/>
                      <w:kern w:val="0"/>
                      <w:szCs w:val="21"/>
                    </w:rPr>
                    <w:t>0.</w:t>
                  </w:r>
                  <w:r>
                    <w:rPr>
                      <w:rFonts w:hint="eastAsia"/>
                      <w:bCs/>
                      <w:snapToGrid w:val="0"/>
                      <w:kern w:val="0"/>
                      <w:szCs w:val="21"/>
                      <w:lang w:val="en-US" w:eastAsia="zh-CN"/>
                    </w:rPr>
                    <w:t>072</w:t>
                  </w:r>
                </w:p>
              </w:tc>
              <w:tc>
                <w:tcPr>
                  <w:tcW w:w="879" w:type="dxa"/>
                  <w:vAlign w:val="center"/>
                </w:tcPr>
                <w:p>
                  <w:pPr>
                    <w:jc w:val="center"/>
                    <w:rPr>
                      <w:rFonts w:hint="default" w:eastAsia="宋体"/>
                      <w:bCs/>
                      <w:snapToGrid w:val="0"/>
                      <w:kern w:val="0"/>
                      <w:szCs w:val="21"/>
                      <w:lang w:val="en-US" w:eastAsia="zh-CN"/>
                    </w:rPr>
                  </w:pPr>
                  <w:r>
                    <w:rPr>
                      <w:bCs/>
                      <w:snapToGrid w:val="0"/>
                      <w:kern w:val="0"/>
                      <w:szCs w:val="21"/>
                    </w:rPr>
                    <w:t>0.</w:t>
                  </w:r>
                  <w:r>
                    <w:rPr>
                      <w:rFonts w:hint="eastAsia"/>
                      <w:bCs/>
                      <w:snapToGrid w:val="0"/>
                      <w:kern w:val="0"/>
                      <w:szCs w:val="21"/>
                    </w:rPr>
                    <w:t>0</w:t>
                  </w:r>
                  <w:r>
                    <w:rPr>
                      <w:rFonts w:hint="eastAsia"/>
                      <w:bCs/>
                      <w:snapToGrid w:val="0"/>
                      <w:kern w:val="0"/>
                      <w:szCs w:val="21"/>
                      <w:lang w:val="en-US" w:eastAsia="zh-CN"/>
                    </w:rPr>
                    <w:t>72</w:t>
                  </w:r>
                </w:p>
              </w:tc>
              <w:tc>
                <w:tcPr>
                  <w:tcW w:w="1077" w:type="dxa"/>
                  <w:vAlign w:val="center"/>
                </w:tcPr>
                <w:p>
                  <w:pPr>
                    <w:jc w:val="center"/>
                    <w:rPr>
                      <w:rFonts w:hint="eastAsia" w:eastAsia="宋体"/>
                      <w:bCs/>
                      <w:snapToGrid w:val="0"/>
                      <w:kern w:val="0"/>
                      <w:szCs w:val="21"/>
                      <w:lang w:val="en-US" w:eastAsia="zh-CN"/>
                    </w:rPr>
                  </w:pPr>
                  <w:r>
                    <w:rPr>
                      <w:bCs/>
                      <w:snapToGrid w:val="0"/>
                      <w:kern w:val="0"/>
                      <w:szCs w:val="21"/>
                    </w:rPr>
                    <w:t>0.0</w:t>
                  </w:r>
                  <w:r>
                    <w:rPr>
                      <w:rFonts w:hint="eastAsia"/>
                      <w:bCs/>
                      <w:snapToGrid w:val="0"/>
                      <w:kern w:val="0"/>
                      <w:szCs w:val="21"/>
                    </w:rPr>
                    <w:t>0</w:t>
                  </w:r>
                  <w:r>
                    <w:rPr>
                      <w:rFonts w:hint="eastAsia"/>
                      <w:bCs/>
                      <w:snapToGrid w:val="0"/>
                      <w:kern w:val="0"/>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971" w:type="dxa"/>
                  <w:vMerge w:val="continue"/>
                  <w:vAlign w:val="center"/>
                </w:tcPr>
                <w:p>
                  <w:pPr>
                    <w:adjustRightInd w:val="0"/>
                    <w:snapToGrid w:val="0"/>
                    <w:jc w:val="center"/>
                    <w:rPr>
                      <w:bCs/>
                      <w:snapToGrid w:val="0"/>
                      <w:kern w:val="0"/>
                      <w:szCs w:val="21"/>
                    </w:rPr>
                  </w:pPr>
                </w:p>
              </w:tc>
              <w:tc>
                <w:tcPr>
                  <w:tcW w:w="1407" w:type="dxa"/>
                  <w:vAlign w:val="center"/>
                </w:tcPr>
                <w:p>
                  <w:pPr>
                    <w:adjustRightInd w:val="0"/>
                    <w:snapToGrid w:val="0"/>
                    <w:jc w:val="center"/>
                    <w:rPr>
                      <w:bCs/>
                      <w:snapToGrid w:val="0"/>
                      <w:kern w:val="0"/>
                      <w:szCs w:val="21"/>
                    </w:rPr>
                  </w:pPr>
                  <w:r>
                    <w:rPr>
                      <w:bCs/>
                      <w:snapToGrid w:val="0"/>
                      <w:kern w:val="0"/>
                      <w:szCs w:val="21"/>
                    </w:rPr>
                    <w:t>化粪池处理后浓度（mg/L）</w:t>
                  </w:r>
                </w:p>
              </w:tc>
              <w:tc>
                <w:tcPr>
                  <w:tcW w:w="964" w:type="dxa"/>
                  <w:vMerge w:val="continue"/>
                  <w:vAlign w:val="center"/>
                </w:tcPr>
                <w:p>
                  <w:pPr>
                    <w:adjustRightInd w:val="0"/>
                    <w:snapToGrid w:val="0"/>
                    <w:jc w:val="center"/>
                    <w:rPr>
                      <w:bCs/>
                      <w:snapToGrid w:val="0"/>
                      <w:kern w:val="0"/>
                      <w:szCs w:val="21"/>
                    </w:rPr>
                  </w:pPr>
                </w:p>
              </w:tc>
              <w:tc>
                <w:tcPr>
                  <w:tcW w:w="739" w:type="dxa"/>
                  <w:vAlign w:val="center"/>
                </w:tcPr>
                <w:p>
                  <w:pPr>
                    <w:adjustRightInd w:val="0"/>
                    <w:snapToGrid w:val="0"/>
                    <w:jc w:val="center"/>
                    <w:rPr>
                      <w:bCs/>
                      <w:szCs w:val="21"/>
                    </w:rPr>
                  </w:pPr>
                  <w:r>
                    <w:rPr>
                      <w:bCs/>
                      <w:szCs w:val="21"/>
                    </w:rPr>
                    <w:t>6~9</w:t>
                  </w:r>
                </w:p>
              </w:tc>
              <w:tc>
                <w:tcPr>
                  <w:tcW w:w="3913" w:type="dxa"/>
                  <w:gridSpan w:val="4"/>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处理后清掏外运，不外排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71" w:type="dxa"/>
                  <w:vMerge w:val="continue"/>
                  <w:vAlign w:val="center"/>
                </w:tcPr>
                <w:p>
                  <w:pPr>
                    <w:adjustRightInd w:val="0"/>
                    <w:snapToGrid w:val="0"/>
                    <w:jc w:val="center"/>
                    <w:rPr>
                      <w:bCs/>
                      <w:snapToGrid w:val="0"/>
                      <w:kern w:val="0"/>
                      <w:szCs w:val="21"/>
                    </w:rPr>
                  </w:pPr>
                </w:p>
              </w:tc>
              <w:tc>
                <w:tcPr>
                  <w:tcW w:w="1407" w:type="dxa"/>
                  <w:vAlign w:val="center"/>
                </w:tcPr>
                <w:p>
                  <w:pPr>
                    <w:adjustRightInd w:val="0"/>
                    <w:snapToGrid w:val="0"/>
                    <w:jc w:val="center"/>
                    <w:rPr>
                      <w:bCs/>
                      <w:snapToGrid w:val="0"/>
                      <w:kern w:val="0"/>
                      <w:szCs w:val="21"/>
                    </w:rPr>
                  </w:pPr>
                  <w:r>
                    <w:rPr>
                      <w:bCs/>
                      <w:snapToGrid w:val="0"/>
                      <w:kern w:val="0"/>
                      <w:szCs w:val="21"/>
                    </w:rPr>
                    <w:t>排放量（t/a）</w:t>
                  </w:r>
                </w:p>
              </w:tc>
              <w:tc>
                <w:tcPr>
                  <w:tcW w:w="964" w:type="dxa"/>
                  <w:vMerge w:val="continue"/>
                  <w:vAlign w:val="center"/>
                </w:tcPr>
                <w:p>
                  <w:pPr>
                    <w:adjustRightInd w:val="0"/>
                    <w:snapToGrid w:val="0"/>
                    <w:jc w:val="center"/>
                    <w:rPr>
                      <w:bCs/>
                      <w:snapToGrid w:val="0"/>
                      <w:kern w:val="0"/>
                      <w:szCs w:val="21"/>
                    </w:rPr>
                  </w:pPr>
                </w:p>
              </w:tc>
              <w:tc>
                <w:tcPr>
                  <w:tcW w:w="739" w:type="dxa"/>
                  <w:vAlign w:val="center"/>
                </w:tcPr>
                <w:p>
                  <w:pPr>
                    <w:tabs>
                      <w:tab w:val="center" w:pos="308"/>
                      <w:tab w:val="left" w:pos="437"/>
                    </w:tabs>
                    <w:adjustRightInd w:val="0"/>
                    <w:snapToGrid w:val="0"/>
                    <w:jc w:val="center"/>
                    <w:rPr>
                      <w:bCs/>
                      <w:szCs w:val="21"/>
                    </w:rPr>
                  </w:pPr>
                  <w:r>
                    <w:rPr>
                      <w:bCs/>
                      <w:szCs w:val="21"/>
                    </w:rPr>
                    <w:t>/</w:t>
                  </w:r>
                </w:p>
              </w:tc>
              <w:tc>
                <w:tcPr>
                  <w:tcW w:w="950"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w:t>
                  </w:r>
                </w:p>
              </w:tc>
              <w:tc>
                <w:tcPr>
                  <w:tcW w:w="1007"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w:t>
                  </w:r>
                </w:p>
              </w:tc>
              <w:tc>
                <w:tcPr>
                  <w:tcW w:w="879"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w:t>
                  </w:r>
                </w:p>
              </w:tc>
              <w:tc>
                <w:tcPr>
                  <w:tcW w:w="1077" w:type="dxa"/>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0</w:t>
                  </w:r>
                </w:p>
              </w:tc>
            </w:tr>
          </w:tbl>
          <w:p>
            <w:pPr>
              <w:spacing w:line="360" w:lineRule="auto"/>
              <w:ind w:firstLine="482" w:firstLineChars="200"/>
              <w:rPr>
                <w:b/>
                <w:bCs/>
                <w:color w:val="000000"/>
                <w:sz w:val="24"/>
              </w:rPr>
            </w:pPr>
            <w:r>
              <w:rPr>
                <w:b/>
                <w:bCs/>
                <w:color w:val="000000"/>
                <w:sz w:val="24"/>
              </w:rPr>
              <w:t>三、噪声污染</w:t>
            </w:r>
          </w:p>
          <w:p>
            <w:pPr>
              <w:adjustRightInd w:val="0"/>
              <w:snapToGrid w:val="0"/>
              <w:spacing w:line="360" w:lineRule="auto"/>
              <w:ind w:firstLine="480" w:firstLineChars="200"/>
              <w:rPr>
                <w:b w:val="0"/>
                <w:bCs w:val="0"/>
                <w:sz w:val="24"/>
              </w:rPr>
            </w:pPr>
            <w:r>
              <w:rPr>
                <w:b w:val="0"/>
                <w:bCs w:val="0"/>
                <w:color w:val="000000"/>
                <w:kern w:val="0"/>
                <w:sz w:val="24"/>
              </w:rPr>
              <w:t>1、噪声源强</w:t>
            </w:r>
          </w:p>
          <w:p>
            <w:pPr>
              <w:spacing w:line="360" w:lineRule="auto"/>
              <w:ind w:firstLine="480" w:firstLineChars="200"/>
              <w:rPr>
                <w:sz w:val="24"/>
              </w:rPr>
            </w:pPr>
            <w:r>
              <w:rPr>
                <w:sz w:val="24"/>
              </w:rPr>
              <w:t>本项目营运期主要噪声来源于设备运行产生的噪声，噪声源强约为</w:t>
            </w:r>
            <w:r>
              <w:rPr>
                <w:rFonts w:hint="eastAsia"/>
                <w:sz w:val="24"/>
              </w:rPr>
              <w:t>60</w:t>
            </w:r>
            <w:r>
              <w:rPr>
                <w:sz w:val="24"/>
              </w:rPr>
              <w:t>~</w:t>
            </w:r>
            <w:r>
              <w:rPr>
                <w:rFonts w:hint="eastAsia"/>
                <w:sz w:val="24"/>
              </w:rPr>
              <w:t>8</w:t>
            </w:r>
            <w:r>
              <w:rPr>
                <w:sz w:val="24"/>
              </w:rPr>
              <w:t>5dB(A)之间，本项目对噪声较大的设备采取降噪减振措施，使厂界噪声达到《工业企业厂界环境噪声排放标准》GB12348-2008中</w:t>
            </w:r>
            <w:r>
              <w:rPr>
                <w:rFonts w:hint="eastAsia"/>
                <w:sz w:val="24"/>
              </w:rPr>
              <w:t>2</w:t>
            </w:r>
            <w:r>
              <w:rPr>
                <w:sz w:val="24"/>
              </w:rPr>
              <w:t>类标准详见下表。</w:t>
            </w:r>
          </w:p>
          <w:p>
            <w:pPr>
              <w:pStyle w:val="13"/>
              <w:spacing w:after="0" w:line="360" w:lineRule="auto"/>
              <w:ind w:left="0" w:leftChars="0" w:firstLine="0"/>
              <w:jc w:val="center"/>
              <w:rPr>
                <w:b/>
                <w:bCs/>
                <w:color w:val="000000"/>
              </w:rPr>
            </w:pPr>
            <w:r>
              <w:rPr>
                <w:b/>
                <w:bCs/>
                <w:color w:val="000000"/>
              </w:rPr>
              <w:t>表4-</w:t>
            </w:r>
            <w:r>
              <w:rPr>
                <w:rFonts w:hint="eastAsia"/>
                <w:b/>
                <w:bCs/>
                <w:color w:val="000000"/>
              </w:rPr>
              <w:t>11</w:t>
            </w:r>
            <w:r>
              <w:rPr>
                <w:b/>
                <w:bCs/>
                <w:color w:val="000000"/>
              </w:rPr>
              <w:t xml:space="preserve">  噪声污染源及源强表  单位：dB(A)</w:t>
            </w:r>
          </w:p>
          <w:tbl>
            <w:tblPr>
              <w:tblStyle w:val="22"/>
              <w:tblW w:w="7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869"/>
              <w:gridCol w:w="584"/>
              <w:gridCol w:w="901"/>
              <w:gridCol w:w="1360"/>
              <w:gridCol w:w="1364"/>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b/>
                      <w:bCs/>
                      <w:szCs w:val="21"/>
                    </w:rPr>
                    <w:t>序号</w:t>
                  </w:r>
                </w:p>
              </w:tc>
              <w:tc>
                <w:tcPr>
                  <w:tcW w:w="1869" w:type="dxa"/>
                  <w:tcBorders>
                    <w:top w:val="single" w:color="auto" w:sz="4" w:space="0"/>
                    <w:left w:val="nil"/>
                    <w:bottom w:val="single" w:color="auto" w:sz="4" w:space="0"/>
                    <w:right w:val="single" w:color="auto" w:sz="4" w:space="0"/>
                  </w:tcBorders>
                  <w:vAlign w:val="center"/>
                </w:tcPr>
                <w:p>
                  <w:pPr>
                    <w:jc w:val="center"/>
                    <w:rPr>
                      <w:b/>
                      <w:bCs/>
                      <w:szCs w:val="21"/>
                    </w:rPr>
                  </w:pPr>
                  <w:r>
                    <w:rPr>
                      <w:b/>
                      <w:bCs/>
                      <w:szCs w:val="21"/>
                    </w:rPr>
                    <w:t>设备名称</w:t>
                  </w:r>
                </w:p>
              </w:tc>
              <w:tc>
                <w:tcPr>
                  <w:tcW w:w="584" w:type="dxa"/>
                  <w:tcBorders>
                    <w:top w:val="single" w:color="auto" w:sz="4" w:space="0"/>
                    <w:left w:val="nil"/>
                    <w:bottom w:val="single" w:color="auto" w:sz="4" w:space="0"/>
                    <w:right w:val="single" w:color="auto" w:sz="4" w:space="0"/>
                  </w:tcBorders>
                  <w:vAlign w:val="center"/>
                </w:tcPr>
                <w:p>
                  <w:pPr>
                    <w:jc w:val="center"/>
                    <w:rPr>
                      <w:b/>
                      <w:bCs/>
                      <w:szCs w:val="21"/>
                    </w:rPr>
                  </w:pPr>
                  <w:r>
                    <w:rPr>
                      <w:b/>
                      <w:bCs/>
                      <w:szCs w:val="21"/>
                    </w:rPr>
                    <w:t>数量</w:t>
                  </w:r>
                </w:p>
              </w:tc>
              <w:tc>
                <w:tcPr>
                  <w:tcW w:w="901" w:type="dxa"/>
                  <w:tcBorders>
                    <w:top w:val="single" w:color="auto" w:sz="4" w:space="0"/>
                    <w:left w:val="nil"/>
                    <w:bottom w:val="single" w:color="auto" w:sz="4" w:space="0"/>
                    <w:right w:val="single" w:color="auto" w:sz="4" w:space="0"/>
                  </w:tcBorders>
                  <w:vAlign w:val="center"/>
                </w:tcPr>
                <w:p>
                  <w:pPr>
                    <w:jc w:val="center"/>
                    <w:rPr>
                      <w:b/>
                      <w:bCs/>
                      <w:szCs w:val="21"/>
                    </w:rPr>
                  </w:pPr>
                  <w:r>
                    <w:rPr>
                      <w:b/>
                      <w:bCs/>
                      <w:szCs w:val="21"/>
                    </w:rPr>
                    <w:t>1m处工作声压级dB（A）</w:t>
                  </w:r>
                </w:p>
              </w:tc>
              <w:tc>
                <w:tcPr>
                  <w:tcW w:w="1360" w:type="dxa"/>
                  <w:tcBorders>
                    <w:top w:val="single" w:color="auto" w:sz="4" w:space="0"/>
                    <w:left w:val="nil"/>
                    <w:bottom w:val="single" w:color="auto" w:sz="4" w:space="0"/>
                    <w:right w:val="single" w:color="auto" w:sz="4" w:space="0"/>
                  </w:tcBorders>
                  <w:vAlign w:val="center"/>
                </w:tcPr>
                <w:p>
                  <w:pPr>
                    <w:jc w:val="center"/>
                    <w:rPr>
                      <w:b/>
                      <w:bCs/>
                      <w:szCs w:val="21"/>
                    </w:rPr>
                  </w:pPr>
                  <w:r>
                    <w:rPr>
                      <w:b/>
                      <w:bCs/>
                      <w:szCs w:val="21"/>
                    </w:rPr>
                    <w:t>分布位置</w:t>
                  </w:r>
                </w:p>
              </w:tc>
              <w:tc>
                <w:tcPr>
                  <w:tcW w:w="1364" w:type="dxa"/>
                  <w:tcBorders>
                    <w:top w:val="single" w:color="auto" w:sz="4" w:space="0"/>
                    <w:left w:val="nil"/>
                    <w:bottom w:val="single" w:color="auto" w:sz="4" w:space="0"/>
                    <w:right w:val="single" w:color="auto" w:sz="4" w:space="0"/>
                  </w:tcBorders>
                  <w:vAlign w:val="center"/>
                </w:tcPr>
                <w:p>
                  <w:pPr>
                    <w:jc w:val="center"/>
                    <w:rPr>
                      <w:b/>
                      <w:bCs/>
                      <w:szCs w:val="21"/>
                    </w:rPr>
                  </w:pPr>
                  <w:r>
                    <w:rPr>
                      <w:b/>
                      <w:bCs/>
                      <w:szCs w:val="21"/>
                    </w:rPr>
                    <w:t>拟采取措施</w:t>
                  </w:r>
                </w:p>
              </w:tc>
              <w:tc>
                <w:tcPr>
                  <w:tcW w:w="1202" w:type="dxa"/>
                  <w:tcBorders>
                    <w:top w:val="single" w:color="auto" w:sz="4" w:space="0"/>
                    <w:left w:val="nil"/>
                    <w:bottom w:val="single" w:color="auto" w:sz="4" w:space="0"/>
                    <w:right w:val="single" w:color="auto" w:sz="4" w:space="0"/>
                  </w:tcBorders>
                  <w:vAlign w:val="center"/>
                </w:tcPr>
                <w:p>
                  <w:pPr>
                    <w:jc w:val="center"/>
                    <w:rPr>
                      <w:b/>
                      <w:bCs/>
                      <w:szCs w:val="21"/>
                    </w:rPr>
                  </w:pPr>
                  <w:r>
                    <w:rPr>
                      <w:b/>
                      <w:bCs/>
                      <w:szCs w:val="21"/>
                    </w:rPr>
                    <w:t>降噪后声级（dB（A））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r>
                    <w:rPr>
                      <w:color w:val="000000"/>
                      <w:kern w:val="0"/>
                      <w:szCs w:val="21"/>
                      <w:lang w:bidi="ar"/>
                    </w:rPr>
                    <w:t>1</w:t>
                  </w:r>
                </w:p>
              </w:tc>
              <w:tc>
                <w:tcPr>
                  <w:tcW w:w="1869"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hint="eastAsia" w:ascii="Times New Roman" w:hAnsi="Times New Roman" w:cs="Times New Roman"/>
                      <w:szCs w:val="21"/>
                      <w:lang w:val="en-US" w:eastAsia="zh-CN"/>
                    </w:rPr>
                    <w:t>大型台锯</w:t>
                  </w:r>
                </w:p>
              </w:tc>
              <w:tc>
                <w:tcPr>
                  <w:tcW w:w="584"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hint="eastAsia"/>
                      <w:bCs/>
                      <w:kern w:val="0"/>
                      <w:szCs w:val="21"/>
                    </w:rPr>
                    <w:t>2</w:t>
                  </w:r>
                </w:p>
              </w:tc>
              <w:tc>
                <w:tcPr>
                  <w:tcW w:w="901" w:type="dxa"/>
                  <w:tcBorders>
                    <w:top w:val="single" w:color="auto" w:sz="4" w:space="0"/>
                    <w:left w:val="nil"/>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rPr>
                    <w:t>80</w:t>
                  </w:r>
                  <w:r>
                    <w:rPr>
                      <w:rFonts w:hint="eastAsia"/>
                      <w:szCs w:val="21"/>
                      <w:lang w:val="en-US" w:eastAsia="zh-CN"/>
                    </w:rPr>
                    <w:t>-85</w:t>
                  </w:r>
                </w:p>
              </w:tc>
              <w:tc>
                <w:tcPr>
                  <w:tcW w:w="1360" w:type="dxa"/>
                  <w:tcBorders>
                    <w:top w:val="single" w:color="auto" w:sz="4" w:space="0"/>
                    <w:left w:val="nil"/>
                    <w:bottom w:val="single" w:color="auto" w:sz="4" w:space="0"/>
                    <w:right w:val="single" w:color="auto" w:sz="4" w:space="0"/>
                  </w:tcBorders>
                  <w:vAlign w:val="center"/>
                </w:tcPr>
                <w:p>
                  <w:pPr>
                    <w:jc w:val="center"/>
                    <w:rPr>
                      <w:szCs w:val="21"/>
                    </w:rPr>
                  </w:pPr>
                  <w:r>
                    <w:rPr>
                      <w:rFonts w:ascii="宋体" w:hAnsi="宋体" w:cs="宋体"/>
                      <w:szCs w:val="21"/>
                    </w:rPr>
                    <w:t>下料</w:t>
                  </w:r>
                  <w:r>
                    <w:rPr>
                      <w:szCs w:val="21"/>
                    </w:rPr>
                    <w:t>区</w:t>
                  </w:r>
                </w:p>
              </w:tc>
              <w:tc>
                <w:tcPr>
                  <w:tcW w:w="1364" w:type="dxa"/>
                  <w:tcBorders>
                    <w:top w:val="single" w:color="auto" w:sz="4" w:space="0"/>
                    <w:left w:val="nil"/>
                    <w:bottom w:val="single" w:color="auto" w:sz="4" w:space="0"/>
                    <w:right w:val="single" w:color="auto" w:sz="4" w:space="0"/>
                  </w:tcBorders>
                  <w:vAlign w:val="center"/>
                </w:tcPr>
                <w:p>
                  <w:pPr>
                    <w:jc w:val="center"/>
                    <w:rPr>
                      <w:szCs w:val="21"/>
                    </w:rPr>
                  </w:pPr>
                  <w:r>
                    <w:rPr>
                      <w:szCs w:val="21"/>
                    </w:rPr>
                    <w:t>隔声、减振底座</w:t>
                  </w:r>
                </w:p>
              </w:tc>
              <w:tc>
                <w:tcPr>
                  <w:tcW w:w="1202" w:type="dxa"/>
                  <w:tcBorders>
                    <w:top w:val="single" w:color="auto" w:sz="4" w:space="0"/>
                    <w:left w:val="nil"/>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rPr>
                    <w:t>60</w:t>
                  </w:r>
                  <w:r>
                    <w:rPr>
                      <w:rFonts w:hint="eastAsia"/>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r>
                    <w:rPr>
                      <w:color w:val="000000"/>
                      <w:kern w:val="0"/>
                      <w:szCs w:val="21"/>
                      <w:lang w:bidi="ar"/>
                    </w:rPr>
                    <w:t>2</w:t>
                  </w:r>
                </w:p>
              </w:tc>
              <w:tc>
                <w:tcPr>
                  <w:tcW w:w="1869"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ascii="宋体" w:hAnsi="宋体" w:cs="宋体"/>
                      <w:szCs w:val="21"/>
                    </w:rPr>
                    <w:t>轴雕刻机</w:t>
                  </w:r>
                </w:p>
              </w:tc>
              <w:tc>
                <w:tcPr>
                  <w:tcW w:w="584"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hint="eastAsia"/>
                      <w:bCs/>
                      <w:kern w:val="0"/>
                      <w:szCs w:val="21"/>
                      <w:lang w:val="en-US" w:eastAsia="zh-CN"/>
                    </w:rPr>
                    <w:t>2</w:t>
                  </w:r>
                </w:p>
              </w:tc>
              <w:tc>
                <w:tcPr>
                  <w:tcW w:w="901" w:type="dxa"/>
                  <w:tcBorders>
                    <w:top w:val="single" w:color="auto" w:sz="4" w:space="0"/>
                    <w:left w:val="nil"/>
                    <w:bottom w:val="single" w:color="auto" w:sz="4" w:space="0"/>
                    <w:right w:val="single" w:color="auto" w:sz="4" w:space="0"/>
                  </w:tcBorders>
                  <w:vAlign w:val="center"/>
                </w:tcPr>
                <w:p>
                  <w:pPr>
                    <w:jc w:val="center"/>
                    <w:rPr>
                      <w:rFonts w:hint="default" w:eastAsia="宋体"/>
                      <w:szCs w:val="21"/>
                      <w:lang w:val="en-US" w:eastAsia="zh-CN"/>
                    </w:rPr>
                  </w:pPr>
                  <w:r>
                    <w:rPr>
                      <w:szCs w:val="21"/>
                    </w:rPr>
                    <w:t>75</w:t>
                  </w:r>
                  <w:r>
                    <w:rPr>
                      <w:rFonts w:hint="eastAsia"/>
                      <w:szCs w:val="21"/>
                      <w:lang w:val="en-US" w:eastAsia="zh-CN"/>
                    </w:rPr>
                    <w:t>-80</w:t>
                  </w:r>
                </w:p>
              </w:tc>
              <w:tc>
                <w:tcPr>
                  <w:tcW w:w="1360" w:type="dxa"/>
                  <w:tcBorders>
                    <w:top w:val="single" w:color="auto" w:sz="4" w:space="0"/>
                    <w:left w:val="nil"/>
                    <w:bottom w:val="single" w:color="auto" w:sz="4" w:space="0"/>
                    <w:right w:val="single" w:color="auto" w:sz="4" w:space="0"/>
                  </w:tcBorders>
                  <w:vAlign w:val="center"/>
                </w:tcPr>
                <w:p>
                  <w:pPr>
                    <w:jc w:val="center"/>
                    <w:rPr>
                      <w:szCs w:val="21"/>
                    </w:rPr>
                  </w:pPr>
                  <w:r>
                    <w:rPr>
                      <w:rFonts w:ascii="宋体" w:hAnsi="宋体" w:cs="宋体"/>
                      <w:szCs w:val="21"/>
                    </w:rPr>
                    <w:t>雕刻</w:t>
                  </w:r>
                  <w:r>
                    <w:rPr>
                      <w:szCs w:val="21"/>
                    </w:rPr>
                    <w:t>区</w:t>
                  </w:r>
                </w:p>
              </w:tc>
              <w:tc>
                <w:tcPr>
                  <w:tcW w:w="1364" w:type="dxa"/>
                  <w:tcBorders>
                    <w:top w:val="single" w:color="auto" w:sz="4" w:space="0"/>
                    <w:left w:val="nil"/>
                    <w:bottom w:val="single" w:color="auto" w:sz="4" w:space="0"/>
                    <w:right w:val="single" w:color="auto" w:sz="4" w:space="0"/>
                  </w:tcBorders>
                  <w:vAlign w:val="center"/>
                </w:tcPr>
                <w:p>
                  <w:pPr>
                    <w:jc w:val="center"/>
                    <w:rPr>
                      <w:szCs w:val="21"/>
                    </w:rPr>
                  </w:pPr>
                  <w:r>
                    <w:rPr>
                      <w:szCs w:val="21"/>
                    </w:rPr>
                    <w:t>隔声、减振底座</w:t>
                  </w:r>
                </w:p>
              </w:tc>
              <w:tc>
                <w:tcPr>
                  <w:tcW w:w="1202" w:type="dxa"/>
                  <w:tcBorders>
                    <w:top w:val="single" w:color="auto" w:sz="4" w:space="0"/>
                    <w:left w:val="nil"/>
                    <w:bottom w:val="single" w:color="auto" w:sz="4" w:space="0"/>
                    <w:right w:val="single" w:color="auto" w:sz="4" w:space="0"/>
                  </w:tcBorders>
                  <w:vAlign w:val="center"/>
                </w:tcPr>
                <w:p>
                  <w:pPr>
                    <w:jc w:val="center"/>
                    <w:rPr>
                      <w:rFonts w:hint="default" w:eastAsia="宋体"/>
                      <w:szCs w:val="21"/>
                      <w:lang w:val="en-US" w:eastAsia="zh-CN"/>
                    </w:rPr>
                  </w:pPr>
                  <w:r>
                    <w:rPr>
                      <w:szCs w:val="21"/>
                    </w:rPr>
                    <w:t>55</w:t>
                  </w:r>
                  <w:r>
                    <w:rPr>
                      <w:rFonts w:hint="eastAsia"/>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r>
                    <w:rPr>
                      <w:color w:val="000000"/>
                      <w:kern w:val="0"/>
                      <w:szCs w:val="21"/>
                      <w:lang w:bidi="ar"/>
                    </w:rPr>
                    <w:t>3</w:t>
                  </w:r>
                </w:p>
              </w:tc>
              <w:tc>
                <w:tcPr>
                  <w:tcW w:w="1869"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hint="eastAsia" w:ascii="宋体" w:hAnsi="宋体" w:cs="宋体"/>
                      <w:szCs w:val="21"/>
                    </w:rPr>
                    <w:t>热熔</w:t>
                  </w:r>
                  <w:r>
                    <w:rPr>
                      <w:rFonts w:ascii="宋体" w:hAnsi="宋体" w:cs="宋体"/>
                      <w:szCs w:val="21"/>
                    </w:rPr>
                    <w:t>封边机</w:t>
                  </w:r>
                </w:p>
              </w:tc>
              <w:tc>
                <w:tcPr>
                  <w:tcW w:w="584"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bCs/>
                      <w:kern w:val="0"/>
                      <w:szCs w:val="21"/>
                    </w:rPr>
                    <w:t>1</w:t>
                  </w:r>
                </w:p>
              </w:tc>
              <w:tc>
                <w:tcPr>
                  <w:tcW w:w="901"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val="en-US" w:eastAsia="zh-CN"/>
                    </w:rPr>
                    <w:t>65-</w:t>
                  </w:r>
                  <w:r>
                    <w:rPr>
                      <w:szCs w:val="21"/>
                    </w:rPr>
                    <w:t>7</w:t>
                  </w:r>
                  <w:r>
                    <w:rPr>
                      <w:rFonts w:hint="eastAsia"/>
                      <w:szCs w:val="21"/>
                    </w:rPr>
                    <w:t>0</w:t>
                  </w:r>
                </w:p>
              </w:tc>
              <w:tc>
                <w:tcPr>
                  <w:tcW w:w="1360" w:type="dxa"/>
                  <w:tcBorders>
                    <w:top w:val="single" w:color="auto" w:sz="4" w:space="0"/>
                    <w:left w:val="nil"/>
                    <w:bottom w:val="single" w:color="auto" w:sz="4" w:space="0"/>
                    <w:right w:val="single" w:color="auto" w:sz="4" w:space="0"/>
                  </w:tcBorders>
                  <w:vAlign w:val="center"/>
                </w:tcPr>
                <w:p>
                  <w:pPr>
                    <w:jc w:val="center"/>
                    <w:rPr>
                      <w:szCs w:val="21"/>
                    </w:rPr>
                  </w:pPr>
                  <w:r>
                    <w:rPr>
                      <w:rFonts w:ascii="宋体" w:hAnsi="宋体" w:cs="宋体"/>
                      <w:szCs w:val="21"/>
                    </w:rPr>
                    <w:t>封边</w:t>
                  </w:r>
                  <w:r>
                    <w:rPr>
                      <w:szCs w:val="21"/>
                    </w:rPr>
                    <w:t>区</w:t>
                  </w:r>
                </w:p>
              </w:tc>
              <w:tc>
                <w:tcPr>
                  <w:tcW w:w="1364" w:type="dxa"/>
                  <w:tcBorders>
                    <w:top w:val="single" w:color="auto" w:sz="4" w:space="0"/>
                    <w:left w:val="nil"/>
                    <w:bottom w:val="single" w:color="auto" w:sz="4" w:space="0"/>
                    <w:right w:val="single" w:color="auto" w:sz="4" w:space="0"/>
                  </w:tcBorders>
                  <w:vAlign w:val="center"/>
                </w:tcPr>
                <w:p>
                  <w:pPr>
                    <w:jc w:val="center"/>
                    <w:rPr>
                      <w:szCs w:val="21"/>
                    </w:rPr>
                  </w:pPr>
                  <w:r>
                    <w:rPr>
                      <w:szCs w:val="21"/>
                    </w:rPr>
                    <w:t>隔声、低噪声设备</w:t>
                  </w:r>
                </w:p>
              </w:tc>
              <w:tc>
                <w:tcPr>
                  <w:tcW w:w="120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val="en-US" w:eastAsia="zh-CN"/>
                    </w:rPr>
                    <w:t>45-</w:t>
                  </w:r>
                  <w:r>
                    <w:rPr>
                      <w:szCs w:val="21"/>
                    </w:rPr>
                    <w:t>5</w:t>
                  </w: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r>
                    <w:rPr>
                      <w:color w:val="000000"/>
                      <w:kern w:val="0"/>
                      <w:szCs w:val="21"/>
                      <w:lang w:bidi="ar"/>
                    </w:rPr>
                    <w:t>4</w:t>
                  </w:r>
                </w:p>
              </w:tc>
              <w:tc>
                <w:tcPr>
                  <w:tcW w:w="1869"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hint="eastAsia" w:ascii="宋体" w:hAnsi="宋体" w:cs="宋体"/>
                      <w:szCs w:val="21"/>
                    </w:rPr>
                    <w:t>双轴</w:t>
                  </w:r>
                  <w:r>
                    <w:rPr>
                      <w:rFonts w:ascii="宋体" w:hAnsi="宋体" w:cs="宋体"/>
                      <w:szCs w:val="21"/>
                    </w:rPr>
                    <w:t>修边机</w:t>
                  </w:r>
                </w:p>
              </w:tc>
              <w:tc>
                <w:tcPr>
                  <w:tcW w:w="584"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hint="eastAsia"/>
                      <w:bCs/>
                      <w:kern w:val="0"/>
                      <w:szCs w:val="21"/>
                      <w:lang w:val="en-US" w:eastAsia="zh-CN"/>
                    </w:rPr>
                    <w:t>2</w:t>
                  </w:r>
                </w:p>
              </w:tc>
              <w:tc>
                <w:tcPr>
                  <w:tcW w:w="901"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val="en-US" w:eastAsia="zh-CN"/>
                    </w:rPr>
                    <w:t>65-</w:t>
                  </w:r>
                  <w:r>
                    <w:rPr>
                      <w:szCs w:val="21"/>
                    </w:rPr>
                    <w:t>7</w:t>
                  </w:r>
                  <w:r>
                    <w:rPr>
                      <w:rFonts w:hint="eastAsia"/>
                      <w:szCs w:val="21"/>
                    </w:rPr>
                    <w:t>0</w:t>
                  </w:r>
                </w:p>
              </w:tc>
              <w:tc>
                <w:tcPr>
                  <w:tcW w:w="1360" w:type="dxa"/>
                  <w:tcBorders>
                    <w:top w:val="single" w:color="auto" w:sz="4" w:space="0"/>
                    <w:left w:val="nil"/>
                    <w:bottom w:val="single" w:color="auto" w:sz="4" w:space="0"/>
                    <w:right w:val="single" w:color="auto" w:sz="4" w:space="0"/>
                  </w:tcBorders>
                  <w:vAlign w:val="center"/>
                </w:tcPr>
                <w:p>
                  <w:pPr>
                    <w:jc w:val="center"/>
                    <w:rPr>
                      <w:szCs w:val="21"/>
                    </w:rPr>
                  </w:pPr>
                  <w:r>
                    <w:rPr>
                      <w:rFonts w:ascii="宋体" w:hAnsi="宋体" w:cs="宋体"/>
                      <w:szCs w:val="21"/>
                    </w:rPr>
                    <w:t>修边</w:t>
                  </w:r>
                  <w:r>
                    <w:rPr>
                      <w:szCs w:val="21"/>
                    </w:rPr>
                    <w:t>区</w:t>
                  </w:r>
                </w:p>
              </w:tc>
              <w:tc>
                <w:tcPr>
                  <w:tcW w:w="1364" w:type="dxa"/>
                  <w:tcBorders>
                    <w:top w:val="single" w:color="auto" w:sz="4" w:space="0"/>
                    <w:left w:val="nil"/>
                    <w:bottom w:val="single" w:color="auto" w:sz="4" w:space="0"/>
                    <w:right w:val="single" w:color="auto" w:sz="4" w:space="0"/>
                  </w:tcBorders>
                  <w:vAlign w:val="center"/>
                </w:tcPr>
                <w:p>
                  <w:pPr>
                    <w:jc w:val="center"/>
                    <w:rPr>
                      <w:szCs w:val="21"/>
                    </w:rPr>
                  </w:pPr>
                  <w:r>
                    <w:rPr>
                      <w:szCs w:val="21"/>
                    </w:rPr>
                    <w:t>隔声、低噪声设备、减振</w:t>
                  </w:r>
                </w:p>
              </w:tc>
              <w:tc>
                <w:tcPr>
                  <w:tcW w:w="120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val="en-US" w:eastAsia="zh-CN"/>
                    </w:rPr>
                    <w:t>45-</w:t>
                  </w:r>
                  <w:r>
                    <w:rPr>
                      <w:szCs w:val="21"/>
                    </w:rPr>
                    <w:t>5</w:t>
                  </w: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r>
                    <w:rPr>
                      <w:color w:val="000000"/>
                      <w:kern w:val="0"/>
                      <w:szCs w:val="21"/>
                      <w:lang w:bidi="ar"/>
                    </w:rPr>
                    <w:t>5</w:t>
                  </w:r>
                </w:p>
              </w:tc>
              <w:tc>
                <w:tcPr>
                  <w:tcW w:w="1869"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hint="eastAsia" w:ascii="Times New Roman" w:hAnsi="Times New Roman" w:cs="Times New Roman"/>
                      <w:bCs/>
                      <w:kern w:val="0"/>
                      <w:szCs w:val="21"/>
                      <w:lang w:val="en-US" w:eastAsia="zh-CN"/>
                    </w:rPr>
                    <w:t>砂磨机</w:t>
                  </w:r>
                </w:p>
              </w:tc>
              <w:tc>
                <w:tcPr>
                  <w:tcW w:w="584"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hint="eastAsia" w:ascii="Times New Roman" w:hAnsi="Times New Roman" w:cs="Times New Roman"/>
                      <w:bCs/>
                      <w:kern w:val="0"/>
                      <w:szCs w:val="21"/>
                    </w:rPr>
                    <w:t>1</w:t>
                  </w:r>
                </w:p>
              </w:tc>
              <w:tc>
                <w:tcPr>
                  <w:tcW w:w="901" w:type="dxa"/>
                  <w:tcBorders>
                    <w:top w:val="single" w:color="auto" w:sz="4" w:space="0"/>
                    <w:left w:val="nil"/>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70-75</w:t>
                  </w:r>
                </w:p>
              </w:tc>
              <w:tc>
                <w:tcPr>
                  <w:tcW w:w="1360" w:type="dxa"/>
                  <w:tcBorders>
                    <w:top w:val="single" w:color="auto" w:sz="4" w:space="0"/>
                    <w:left w:val="nil"/>
                    <w:bottom w:val="single" w:color="auto" w:sz="4" w:space="0"/>
                    <w:right w:val="single" w:color="auto" w:sz="4" w:space="0"/>
                  </w:tcBorders>
                  <w:vAlign w:val="center"/>
                </w:tcPr>
                <w:p>
                  <w:pPr>
                    <w:jc w:val="center"/>
                    <w:rPr>
                      <w:szCs w:val="21"/>
                    </w:rPr>
                  </w:pPr>
                  <w:r>
                    <w:rPr>
                      <w:rFonts w:ascii="宋体" w:hAnsi="宋体" w:cs="宋体"/>
                      <w:szCs w:val="21"/>
                    </w:rPr>
                    <w:t>修边</w:t>
                  </w:r>
                  <w:r>
                    <w:rPr>
                      <w:szCs w:val="21"/>
                    </w:rPr>
                    <w:t>区</w:t>
                  </w:r>
                </w:p>
              </w:tc>
              <w:tc>
                <w:tcPr>
                  <w:tcW w:w="1364" w:type="dxa"/>
                  <w:tcBorders>
                    <w:top w:val="single" w:color="auto" w:sz="4" w:space="0"/>
                    <w:left w:val="nil"/>
                    <w:bottom w:val="single" w:color="auto" w:sz="4" w:space="0"/>
                    <w:right w:val="single" w:color="auto" w:sz="4" w:space="0"/>
                  </w:tcBorders>
                  <w:vAlign w:val="center"/>
                </w:tcPr>
                <w:p>
                  <w:pPr>
                    <w:jc w:val="center"/>
                    <w:rPr>
                      <w:szCs w:val="21"/>
                    </w:rPr>
                  </w:pPr>
                  <w:r>
                    <w:rPr>
                      <w:szCs w:val="21"/>
                    </w:rPr>
                    <w:t>隔声、减振垫</w:t>
                  </w:r>
                </w:p>
              </w:tc>
              <w:tc>
                <w:tcPr>
                  <w:tcW w:w="1202" w:type="dxa"/>
                  <w:tcBorders>
                    <w:top w:val="single" w:color="auto" w:sz="4" w:space="0"/>
                    <w:left w:val="nil"/>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50-55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r>
                    <w:rPr>
                      <w:color w:val="000000"/>
                      <w:kern w:val="0"/>
                      <w:szCs w:val="21"/>
                      <w:lang w:bidi="ar"/>
                    </w:rPr>
                    <w:t>6</w:t>
                  </w:r>
                </w:p>
              </w:tc>
              <w:tc>
                <w:tcPr>
                  <w:tcW w:w="1869"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ascii="Times New Roman" w:hAnsi="Times New Roman" w:cs="Times New Roman"/>
                      <w:bCs/>
                      <w:kern w:val="0"/>
                      <w:szCs w:val="21"/>
                    </w:rPr>
                    <w:t>空压机</w:t>
                  </w:r>
                </w:p>
              </w:tc>
              <w:tc>
                <w:tcPr>
                  <w:tcW w:w="584"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hint="eastAsia" w:ascii="Times New Roman" w:hAnsi="Times New Roman" w:cs="Times New Roman"/>
                      <w:bCs/>
                      <w:kern w:val="0"/>
                      <w:szCs w:val="21"/>
                      <w:lang w:val="en-US" w:eastAsia="zh-CN"/>
                    </w:rPr>
                    <w:t>2</w:t>
                  </w:r>
                </w:p>
              </w:tc>
              <w:tc>
                <w:tcPr>
                  <w:tcW w:w="901"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val="en-US" w:eastAsia="zh-CN"/>
                    </w:rPr>
                    <w:t>80-</w:t>
                  </w:r>
                  <w:r>
                    <w:rPr>
                      <w:rFonts w:hint="eastAsia"/>
                      <w:szCs w:val="21"/>
                    </w:rPr>
                    <w:t>85</w:t>
                  </w:r>
                </w:p>
              </w:tc>
              <w:tc>
                <w:tcPr>
                  <w:tcW w:w="1360" w:type="dxa"/>
                  <w:tcBorders>
                    <w:top w:val="single" w:color="auto" w:sz="4" w:space="0"/>
                    <w:left w:val="nil"/>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厂</w:t>
                  </w:r>
                  <w:r>
                    <w:rPr>
                      <w:szCs w:val="21"/>
                    </w:rPr>
                    <w:t>区</w:t>
                  </w:r>
                  <w:r>
                    <w:rPr>
                      <w:rFonts w:hint="eastAsia"/>
                      <w:szCs w:val="21"/>
                      <w:lang w:val="en-US" w:eastAsia="zh-CN"/>
                    </w:rPr>
                    <w:t>外</w:t>
                  </w:r>
                </w:p>
              </w:tc>
              <w:tc>
                <w:tcPr>
                  <w:tcW w:w="1364" w:type="dxa"/>
                  <w:tcBorders>
                    <w:top w:val="single" w:color="auto" w:sz="4" w:space="0"/>
                    <w:left w:val="nil"/>
                    <w:bottom w:val="single" w:color="auto" w:sz="4" w:space="0"/>
                    <w:right w:val="single" w:color="auto" w:sz="4" w:space="0"/>
                  </w:tcBorders>
                  <w:vAlign w:val="center"/>
                </w:tcPr>
                <w:p>
                  <w:pPr>
                    <w:jc w:val="center"/>
                    <w:rPr>
                      <w:szCs w:val="21"/>
                    </w:rPr>
                  </w:pPr>
                  <w:r>
                    <w:rPr>
                      <w:szCs w:val="21"/>
                    </w:rPr>
                    <w:t>隔声、减振垫</w:t>
                  </w:r>
                </w:p>
              </w:tc>
              <w:tc>
                <w:tcPr>
                  <w:tcW w:w="1202"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val="en-US" w:eastAsia="zh-CN"/>
                    </w:rPr>
                    <w:t>60-</w:t>
                  </w:r>
                  <w:r>
                    <w:rPr>
                      <w:rFonts w:hint="eastAsia"/>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Cs w:val="21"/>
                    </w:rPr>
                  </w:pPr>
                  <w:r>
                    <w:rPr>
                      <w:color w:val="000000"/>
                      <w:kern w:val="0"/>
                      <w:szCs w:val="21"/>
                      <w:lang w:bidi="ar"/>
                    </w:rPr>
                    <w:t>7</w:t>
                  </w:r>
                </w:p>
              </w:tc>
              <w:tc>
                <w:tcPr>
                  <w:tcW w:w="1869"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hint="eastAsia" w:ascii="Times New Roman" w:hAnsi="Times New Roman" w:cs="Times New Roman"/>
                      <w:szCs w:val="21"/>
                    </w:rPr>
                    <w:t>叉</w:t>
                  </w:r>
                  <w:r>
                    <w:rPr>
                      <w:rFonts w:ascii="Times New Roman" w:hAnsi="Times New Roman" w:cs="Times New Roman"/>
                      <w:szCs w:val="21"/>
                    </w:rPr>
                    <w:t>车</w:t>
                  </w:r>
                </w:p>
              </w:tc>
              <w:tc>
                <w:tcPr>
                  <w:tcW w:w="584" w:type="dxa"/>
                  <w:tcBorders>
                    <w:top w:val="single" w:color="auto" w:sz="4" w:space="0"/>
                    <w:left w:val="nil"/>
                    <w:bottom w:val="single" w:color="auto" w:sz="4" w:space="0"/>
                    <w:right w:val="single" w:color="auto" w:sz="4" w:space="0"/>
                  </w:tcBorders>
                  <w:vAlign w:val="center"/>
                </w:tcPr>
                <w:p>
                  <w:pPr>
                    <w:widowControl/>
                    <w:jc w:val="center"/>
                    <w:textAlignment w:val="center"/>
                    <w:rPr>
                      <w:szCs w:val="21"/>
                    </w:rPr>
                  </w:pPr>
                  <w:r>
                    <w:rPr>
                      <w:rFonts w:hint="eastAsia"/>
                      <w:bCs/>
                      <w:kern w:val="0"/>
                      <w:szCs w:val="21"/>
                    </w:rPr>
                    <w:t>1</w:t>
                  </w:r>
                </w:p>
              </w:tc>
              <w:tc>
                <w:tcPr>
                  <w:tcW w:w="901" w:type="dxa"/>
                  <w:tcBorders>
                    <w:top w:val="single" w:color="auto" w:sz="4" w:space="0"/>
                    <w:left w:val="nil"/>
                    <w:bottom w:val="single" w:color="auto" w:sz="4" w:space="0"/>
                    <w:right w:val="single" w:color="auto" w:sz="4" w:space="0"/>
                  </w:tcBorders>
                  <w:vAlign w:val="center"/>
                </w:tcPr>
                <w:p>
                  <w:pPr>
                    <w:jc w:val="center"/>
                    <w:rPr>
                      <w:rFonts w:hint="default" w:eastAsia="宋体"/>
                      <w:szCs w:val="21"/>
                      <w:lang w:val="en-US" w:eastAsia="zh-CN"/>
                    </w:rPr>
                  </w:pPr>
                  <w:r>
                    <w:rPr>
                      <w:szCs w:val="21"/>
                    </w:rPr>
                    <w:t>60</w:t>
                  </w:r>
                  <w:r>
                    <w:rPr>
                      <w:rFonts w:hint="eastAsia"/>
                      <w:szCs w:val="21"/>
                      <w:lang w:val="en-US" w:eastAsia="zh-CN"/>
                    </w:rPr>
                    <w:t>-65</w:t>
                  </w:r>
                </w:p>
              </w:tc>
              <w:tc>
                <w:tcPr>
                  <w:tcW w:w="1360" w:type="dxa"/>
                  <w:tcBorders>
                    <w:top w:val="single" w:color="auto" w:sz="4" w:space="0"/>
                    <w:left w:val="nil"/>
                    <w:bottom w:val="single" w:color="auto" w:sz="4" w:space="0"/>
                    <w:right w:val="single" w:color="auto" w:sz="4" w:space="0"/>
                  </w:tcBorders>
                  <w:vAlign w:val="center"/>
                </w:tcPr>
                <w:p>
                  <w:pPr>
                    <w:jc w:val="center"/>
                    <w:rPr>
                      <w:szCs w:val="21"/>
                    </w:rPr>
                  </w:pPr>
                  <w:r>
                    <w:rPr>
                      <w:rFonts w:hint="eastAsia"/>
                      <w:szCs w:val="21"/>
                      <w:lang w:val="en-US" w:eastAsia="zh-CN"/>
                    </w:rPr>
                    <w:t>厂</w:t>
                  </w:r>
                  <w:r>
                    <w:rPr>
                      <w:szCs w:val="21"/>
                    </w:rPr>
                    <w:t>区</w:t>
                  </w:r>
                </w:p>
              </w:tc>
              <w:tc>
                <w:tcPr>
                  <w:tcW w:w="1364" w:type="dxa"/>
                  <w:tcBorders>
                    <w:top w:val="single" w:color="auto" w:sz="4" w:space="0"/>
                    <w:left w:val="nil"/>
                    <w:bottom w:val="single" w:color="auto" w:sz="4" w:space="0"/>
                    <w:right w:val="single" w:color="auto" w:sz="4" w:space="0"/>
                  </w:tcBorders>
                  <w:vAlign w:val="center"/>
                </w:tcPr>
                <w:p>
                  <w:pPr>
                    <w:jc w:val="center"/>
                    <w:rPr>
                      <w:szCs w:val="21"/>
                    </w:rPr>
                  </w:pPr>
                  <w:r>
                    <w:rPr>
                      <w:szCs w:val="21"/>
                    </w:rPr>
                    <w:t>隔声、低噪声设备、减振</w:t>
                  </w:r>
                </w:p>
              </w:tc>
              <w:tc>
                <w:tcPr>
                  <w:tcW w:w="1202" w:type="dxa"/>
                  <w:tcBorders>
                    <w:top w:val="single" w:color="auto" w:sz="4" w:space="0"/>
                    <w:left w:val="nil"/>
                    <w:bottom w:val="single" w:color="auto" w:sz="4" w:space="0"/>
                    <w:right w:val="single" w:color="auto" w:sz="4" w:space="0"/>
                  </w:tcBorders>
                  <w:vAlign w:val="center"/>
                </w:tcPr>
                <w:p>
                  <w:pPr>
                    <w:jc w:val="center"/>
                    <w:rPr>
                      <w:rFonts w:hint="default" w:eastAsia="宋体"/>
                      <w:szCs w:val="21"/>
                      <w:lang w:val="en-US" w:eastAsia="zh-CN"/>
                    </w:rPr>
                  </w:pPr>
                  <w:r>
                    <w:rPr>
                      <w:szCs w:val="21"/>
                    </w:rPr>
                    <w:t>40</w:t>
                  </w:r>
                  <w:r>
                    <w:rPr>
                      <w:rFonts w:hint="eastAsia"/>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color w:val="000000"/>
                      <w:kern w:val="0"/>
                      <w:szCs w:val="21"/>
                      <w:lang w:val="en-US" w:eastAsia="zh-CN" w:bidi="ar"/>
                    </w:rPr>
                  </w:pPr>
                  <w:r>
                    <w:rPr>
                      <w:rFonts w:hint="eastAsia"/>
                      <w:color w:val="000000"/>
                      <w:kern w:val="0"/>
                      <w:szCs w:val="21"/>
                      <w:lang w:val="en-US" w:eastAsia="zh-CN" w:bidi="ar"/>
                    </w:rPr>
                    <w:t>8</w:t>
                  </w:r>
                </w:p>
              </w:tc>
              <w:tc>
                <w:tcPr>
                  <w:tcW w:w="186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color w:val="000000"/>
                      <w:kern w:val="0"/>
                      <w:szCs w:val="21"/>
                      <w:lang w:bidi="ar"/>
                    </w:rPr>
                    <w:t>喷漆房</w:t>
                  </w:r>
                </w:p>
              </w:tc>
              <w:tc>
                <w:tcPr>
                  <w:tcW w:w="58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bCs/>
                      <w:kern w:val="0"/>
                      <w:szCs w:val="21"/>
                    </w:rPr>
                  </w:pPr>
                  <w:r>
                    <w:rPr>
                      <w:rFonts w:hint="eastAsia"/>
                      <w:bCs/>
                      <w:kern w:val="0"/>
                      <w:szCs w:val="21"/>
                    </w:rPr>
                    <w:t>1</w:t>
                  </w:r>
                </w:p>
              </w:tc>
              <w:tc>
                <w:tcPr>
                  <w:tcW w:w="901" w:type="dxa"/>
                  <w:tcBorders>
                    <w:top w:val="single" w:color="auto" w:sz="4" w:space="0"/>
                    <w:left w:val="nil"/>
                    <w:bottom w:val="single" w:color="auto" w:sz="4" w:space="0"/>
                    <w:right w:val="single" w:color="auto" w:sz="4" w:space="0"/>
                  </w:tcBorders>
                  <w:vAlign w:val="center"/>
                </w:tcPr>
                <w:p>
                  <w:pPr>
                    <w:jc w:val="center"/>
                    <w:rPr>
                      <w:szCs w:val="21"/>
                    </w:rPr>
                  </w:pPr>
                  <w:r>
                    <w:rPr>
                      <w:szCs w:val="21"/>
                    </w:rPr>
                    <w:t>60</w:t>
                  </w:r>
                  <w:r>
                    <w:rPr>
                      <w:rFonts w:hint="eastAsia"/>
                      <w:szCs w:val="21"/>
                      <w:lang w:val="en-US" w:eastAsia="zh-CN"/>
                    </w:rPr>
                    <w:t>-65</w:t>
                  </w:r>
                </w:p>
              </w:tc>
              <w:tc>
                <w:tcPr>
                  <w:tcW w:w="136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color w:val="000000"/>
                      <w:kern w:val="0"/>
                      <w:szCs w:val="21"/>
                      <w:lang w:bidi="ar"/>
                    </w:rPr>
                    <w:t>喷漆</w:t>
                  </w:r>
                  <w:r>
                    <w:rPr>
                      <w:szCs w:val="21"/>
                    </w:rPr>
                    <w:t>区</w:t>
                  </w:r>
                </w:p>
              </w:tc>
              <w:tc>
                <w:tcPr>
                  <w:tcW w:w="1364" w:type="dxa"/>
                  <w:tcBorders>
                    <w:top w:val="single" w:color="auto" w:sz="4" w:space="0"/>
                    <w:left w:val="nil"/>
                    <w:bottom w:val="single" w:color="auto" w:sz="4" w:space="0"/>
                    <w:right w:val="single" w:color="auto" w:sz="4" w:space="0"/>
                  </w:tcBorders>
                  <w:vAlign w:val="center"/>
                </w:tcPr>
                <w:p>
                  <w:pPr>
                    <w:jc w:val="center"/>
                    <w:rPr>
                      <w:szCs w:val="21"/>
                    </w:rPr>
                  </w:pPr>
                  <w:r>
                    <w:rPr>
                      <w:szCs w:val="21"/>
                    </w:rPr>
                    <w:t>隔声、低噪声设备、减振</w:t>
                  </w:r>
                </w:p>
              </w:tc>
              <w:tc>
                <w:tcPr>
                  <w:tcW w:w="1202" w:type="dxa"/>
                  <w:tcBorders>
                    <w:top w:val="single" w:color="auto" w:sz="4" w:space="0"/>
                    <w:left w:val="nil"/>
                    <w:bottom w:val="single" w:color="auto" w:sz="4" w:space="0"/>
                    <w:right w:val="single" w:color="auto" w:sz="4" w:space="0"/>
                  </w:tcBorders>
                  <w:vAlign w:val="center"/>
                </w:tcPr>
                <w:p>
                  <w:pPr>
                    <w:jc w:val="center"/>
                    <w:rPr>
                      <w:szCs w:val="21"/>
                    </w:rPr>
                  </w:pPr>
                  <w:r>
                    <w:rPr>
                      <w:szCs w:val="21"/>
                    </w:rPr>
                    <w:t>40</w:t>
                  </w:r>
                  <w:r>
                    <w:rPr>
                      <w:rFonts w:hint="eastAsia"/>
                      <w:szCs w:val="21"/>
                      <w:lang w:val="en-US" w:eastAsia="zh-CN"/>
                    </w:rPr>
                    <w:t>-45</w:t>
                  </w:r>
                </w:p>
              </w:tc>
            </w:tr>
          </w:tbl>
          <w:p>
            <w:pPr>
              <w:spacing w:line="360" w:lineRule="auto"/>
              <w:ind w:firstLine="480" w:firstLineChars="200"/>
              <w:rPr>
                <w:color w:val="000000"/>
                <w:kern w:val="0"/>
                <w:sz w:val="24"/>
                <w:szCs w:val="24"/>
                <w:lang w:bidi="ar"/>
              </w:rPr>
            </w:pPr>
            <w:r>
              <w:rPr>
                <w:color w:val="000000"/>
                <w:kern w:val="0"/>
                <w:sz w:val="24"/>
                <w:szCs w:val="24"/>
                <w:lang w:bidi="ar"/>
              </w:rPr>
              <w:t>2、</w:t>
            </w:r>
            <w:r>
              <w:rPr>
                <w:rFonts w:ascii="宋体" w:hAnsi="宋体"/>
                <w:sz w:val="24"/>
                <w:szCs w:val="24"/>
              </w:rPr>
              <w:t>预测模式</w:t>
            </w:r>
          </w:p>
          <w:p>
            <w:pPr>
              <w:spacing w:line="360" w:lineRule="auto"/>
              <w:ind w:firstLine="470" w:firstLineChars="196"/>
              <w:rPr>
                <w:sz w:val="24"/>
                <w:szCs w:val="24"/>
              </w:rPr>
            </w:pPr>
            <w:r>
              <w:rPr>
                <w:rFonts w:ascii="宋体" w:hAnsi="宋体"/>
                <w:sz w:val="24"/>
                <w:szCs w:val="24"/>
              </w:rPr>
              <w:t>为分析项目噪声对外环境的影响，</w:t>
            </w:r>
            <w:r>
              <w:rPr>
                <w:rFonts w:hint="eastAsia" w:ascii="宋体" w:hAnsi="宋体"/>
                <w:sz w:val="24"/>
                <w:szCs w:val="24"/>
              </w:rPr>
              <w:t>评价</w:t>
            </w:r>
            <w:r>
              <w:rPr>
                <w:rFonts w:ascii="宋体" w:hAnsi="宋体"/>
                <w:sz w:val="24"/>
                <w:szCs w:val="24"/>
              </w:rPr>
              <w:t>根据《环境影响评价技术导则声环境》（</w:t>
            </w:r>
            <w:r>
              <w:rPr>
                <w:sz w:val="24"/>
                <w:szCs w:val="24"/>
              </w:rPr>
              <w:t>HJ2.4-2021</w:t>
            </w:r>
            <w:r>
              <w:rPr>
                <w:rFonts w:ascii="宋体" w:hAnsi="宋体"/>
                <w:sz w:val="24"/>
                <w:szCs w:val="24"/>
              </w:rPr>
              <w:t>）进行预测。项目涉及室内声源及室外声源，本次噪声环境影响预测采用（</w:t>
            </w:r>
            <w:r>
              <w:rPr>
                <w:sz w:val="24"/>
                <w:szCs w:val="24"/>
              </w:rPr>
              <w:t>HJ2.4-2009</w:t>
            </w:r>
            <w:r>
              <w:rPr>
                <w:rFonts w:ascii="宋体" w:hAnsi="宋体"/>
                <w:sz w:val="24"/>
                <w:szCs w:val="24"/>
              </w:rPr>
              <w:t>）中的工业噪声预测计算模式进行预测。</w:t>
            </w:r>
          </w:p>
          <w:p>
            <w:pPr>
              <w:snapToGrid w:val="0"/>
              <w:spacing w:line="360" w:lineRule="auto"/>
              <w:ind w:firstLine="480"/>
              <w:rPr>
                <w:sz w:val="24"/>
                <w:szCs w:val="24"/>
              </w:rPr>
            </w:pPr>
            <w:r>
              <w:rPr>
                <w:sz w:val="24"/>
                <w:szCs w:val="24"/>
              </w:rPr>
              <w:t>1</w:t>
            </w:r>
            <w:r>
              <w:rPr>
                <w:rFonts w:ascii="宋体" w:hAnsi="宋体"/>
                <w:sz w:val="24"/>
                <w:szCs w:val="24"/>
              </w:rPr>
              <w:t>、计算某个室内靠近围护结构处的倍频带声压级</w:t>
            </w:r>
          </w:p>
          <w:p>
            <w:pPr>
              <w:spacing w:line="360" w:lineRule="auto"/>
              <w:ind w:firstLine="480"/>
              <w:jc w:val="center"/>
              <w:rPr>
                <w:sz w:val="24"/>
                <w:szCs w:val="24"/>
              </w:rPr>
            </w:pPr>
            <w:r>
              <w:rPr>
                <w:sz w:val="24"/>
                <w:szCs w:val="24"/>
              </w:rPr>
              <w:drawing>
                <wp:inline distT="0" distB="0" distL="0" distR="0">
                  <wp:extent cx="1876425" cy="3905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76425" cy="390525"/>
                          </a:xfrm>
                          <a:prstGeom prst="rect">
                            <a:avLst/>
                          </a:prstGeom>
                          <a:noFill/>
                          <a:ln>
                            <a:noFill/>
                          </a:ln>
                        </pic:spPr>
                      </pic:pic>
                    </a:graphicData>
                  </a:graphic>
                </wp:inline>
              </w:drawing>
            </w:r>
          </w:p>
          <w:p>
            <w:pPr>
              <w:spacing w:line="360" w:lineRule="auto"/>
              <w:ind w:firstLine="480"/>
              <w:rPr>
                <w:sz w:val="24"/>
                <w:szCs w:val="24"/>
              </w:rPr>
            </w:pPr>
            <w:r>
              <w:rPr>
                <w:rFonts w:ascii="宋体" w:hAnsi="宋体"/>
                <w:sz w:val="24"/>
                <w:szCs w:val="24"/>
              </w:rPr>
              <w:t>式中：</w:t>
            </w:r>
            <w:r>
              <w:rPr>
                <w:sz w:val="24"/>
                <w:szCs w:val="24"/>
              </w:rPr>
              <w:t>Loct</w:t>
            </w:r>
            <w:r>
              <w:rPr>
                <w:rFonts w:ascii="宋体" w:hAnsi="宋体"/>
                <w:sz w:val="24"/>
                <w:szCs w:val="24"/>
              </w:rPr>
              <w:t>，</w:t>
            </w:r>
            <w:r>
              <w:rPr>
                <w:sz w:val="24"/>
                <w:szCs w:val="24"/>
              </w:rPr>
              <w:t>t——</w:t>
            </w:r>
            <w:r>
              <w:rPr>
                <w:rFonts w:ascii="宋体" w:hAnsi="宋体"/>
                <w:sz w:val="24"/>
                <w:szCs w:val="24"/>
              </w:rPr>
              <w:t>某个室内声源在靠近围护结构处产生的倍频声压级，</w:t>
            </w:r>
            <w:r>
              <w:rPr>
                <w:sz w:val="24"/>
                <w:szCs w:val="24"/>
              </w:rPr>
              <w:t>dB</w:t>
            </w:r>
            <w:r>
              <w:rPr>
                <w:rFonts w:ascii="宋体" w:hAnsi="宋体"/>
                <w:sz w:val="24"/>
                <w:szCs w:val="24"/>
              </w:rPr>
              <w:t>；</w:t>
            </w:r>
          </w:p>
          <w:p>
            <w:pPr>
              <w:spacing w:line="360" w:lineRule="auto"/>
              <w:ind w:firstLine="480"/>
              <w:rPr>
                <w:sz w:val="24"/>
                <w:szCs w:val="24"/>
              </w:rPr>
            </w:pPr>
            <w:r>
              <w:rPr>
                <w:sz w:val="24"/>
                <w:szCs w:val="24"/>
              </w:rPr>
              <w:t>Lwoct——</w:t>
            </w:r>
            <w:r>
              <w:rPr>
                <w:rFonts w:ascii="宋体" w:hAnsi="宋体"/>
                <w:sz w:val="24"/>
                <w:szCs w:val="24"/>
              </w:rPr>
              <w:t>某个声源的倍频带声功率级，</w:t>
            </w:r>
            <w:r>
              <w:rPr>
                <w:sz w:val="24"/>
                <w:szCs w:val="24"/>
              </w:rPr>
              <w:t>dB</w:t>
            </w:r>
            <w:r>
              <w:rPr>
                <w:rFonts w:ascii="宋体" w:hAnsi="宋体"/>
                <w:sz w:val="24"/>
                <w:szCs w:val="24"/>
              </w:rPr>
              <w:t>；</w:t>
            </w:r>
          </w:p>
          <w:p>
            <w:pPr>
              <w:spacing w:line="360" w:lineRule="auto"/>
              <w:ind w:firstLine="480"/>
              <w:rPr>
                <w:sz w:val="24"/>
                <w:szCs w:val="24"/>
              </w:rPr>
            </w:pPr>
            <w:r>
              <w:rPr>
                <w:sz w:val="24"/>
                <w:szCs w:val="24"/>
              </w:rPr>
              <w:t>r1——</w:t>
            </w:r>
            <w:r>
              <w:rPr>
                <w:rFonts w:ascii="宋体" w:hAnsi="宋体"/>
                <w:sz w:val="24"/>
                <w:szCs w:val="24"/>
              </w:rPr>
              <w:t>室内某个声源与靠近围护结构处的距离，</w:t>
            </w:r>
            <w:r>
              <w:rPr>
                <w:sz w:val="24"/>
                <w:szCs w:val="24"/>
              </w:rPr>
              <w:t>m</w:t>
            </w:r>
            <w:r>
              <w:rPr>
                <w:rFonts w:ascii="宋体" w:hAnsi="宋体"/>
                <w:sz w:val="24"/>
                <w:szCs w:val="24"/>
              </w:rPr>
              <w:t>：</w:t>
            </w:r>
          </w:p>
          <w:p>
            <w:pPr>
              <w:spacing w:line="360" w:lineRule="auto"/>
              <w:ind w:firstLine="480"/>
              <w:rPr>
                <w:sz w:val="24"/>
                <w:szCs w:val="24"/>
              </w:rPr>
            </w:pPr>
            <w:r>
              <w:rPr>
                <w:sz w:val="24"/>
                <w:szCs w:val="24"/>
              </w:rPr>
              <w:t>R——</w:t>
            </w:r>
            <w:r>
              <w:rPr>
                <w:rFonts w:ascii="宋体" w:hAnsi="宋体"/>
                <w:sz w:val="24"/>
                <w:szCs w:val="24"/>
              </w:rPr>
              <w:t>房间常数，㎡；</w:t>
            </w:r>
          </w:p>
          <w:p>
            <w:pPr>
              <w:spacing w:line="360" w:lineRule="auto"/>
              <w:ind w:firstLine="480"/>
              <w:rPr>
                <w:sz w:val="24"/>
                <w:szCs w:val="24"/>
              </w:rPr>
            </w:pPr>
            <w:r>
              <w:rPr>
                <w:sz w:val="24"/>
                <w:szCs w:val="24"/>
              </w:rPr>
              <w:t>Q——</w:t>
            </w:r>
            <w:r>
              <w:rPr>
                <w:rFonts w:ascii="宋体" w:hAnsi="宋体"/>
                <w:sz w:val="24"/>
                <w:szCs w:val="24"/>
              </w:rPr>
              <w:t>方向性因子，无量纲。</w:t>
            </w:r>
          </w:p>
          <w:p>
            <w:pPr>
              <w:spacing w:line="360" w:lineRule="auto"/>
              <w:ind w:firstLine="480"/>
              <w:rPr>
                <w:sz w:val="24"/>
                <w:szCs w:val="24"/>
              </w:rPr>
            </w:pPr>
            <w:r>
              <w:rPr>
                <w:sz w:val="24"/>
                <w:szCs w:val="24"/>
              </w:rPr>
              <w:t>2</w:t>
            </w:r>
            <w:r>
              <w:rPr>
                <w:rFonts w:ascii="宋体" w:hAnsi="宋体"/>
                <w:sz w:val="24"/>
                <w:szCs w:val="24"/>
              </w:rPr>
              <w:t>、计算所有室内声源在靠近围护结构处产生的总倍频声压级</w:t>
            </w:r>
          </w:p>
          <w:p>
            <w:pPr>
              <w:spacing w:line="360" w:lineRule="auto"/>
              <w:ind w:firstLine="0" w:firstLineChars="0"/>
              <w:jc w:val="center"/>
              <w:rPr>
                <w:sz w:val="24"/>
                <w:szCs w:val="24"/>
              </w:rPr>
            </w:pPr>
            <w:r>
              <w:rPr>
                <w:sz w:val="24"/>
                <w:szCs w:val="24"/>
              </w:rPr>
              <w:drawing>
                <wp:inline distT="0" distB="0" distL="0" distR="0">
                  <wp:extent cx="1790700" cy="4286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790700" cy="428625"/>
                          </a:xfrm>
                          <a:prstGeom prst="rect">
                            <a:avLst/>
                          </a:prstGeom>
                          <a:noFill/>
                          <a:ln>
                            <a:noFill/>
                          </a:ln>
                        </pic:spPr>
                      </pic:pic>
                    </a:graphicData>
                  </a:graphic>
                </wp:inline>
              </w:drawing>
            </w:r>
          </w:p>
          <w:p>
            <w:pPr>
              <w:spacing w:line="360" w:lineRule="auto"/>
              <w:ind w:firstLine="480"/>
              <w:rPr>
                <w:sz w:val="24"/>
                <w:szCs w:val="24"/>
              </w:rPr>
            </w:pPr>
            <w:r>
              <w:rPr>
                <w:sz w:val="24"/>
                <w:szCs w:val="24"/>
              </w:rPr>
              <w:t>3</w:t>
            </w:r>
            <w:r>
              <w:rPr>
                <w:rFonts w:ascii="宋体" w:hAnsi="宋体"/>
                <w:sz w:val="24"/>
                <w:szCs w:val="24"/>
              </w:rPr>
              <w:t>、计算室外靠近围护结构处的声压级</w:t>
            </w:r>
          </w:p>
          <w:p>
            <w:pPr>
              <w:spacing w:line="360" w:lineRule="auto"/>
              <w:ind w:firstLine="0" w:firstLineChars="0"/>
              <w:jc w:val="center"/>
              <w:rPr>
                <w:sz w:val="24"/>
                <w:szCs w:val="24"/>
              </w:rPr>
            </w:pPr>
            <w:r>
              <w:rPr>
                <w:sz w:val="24"/>
                <w:szCs w:val="24"/>
              </w:rPr>
              <w:drawing>
                <wp:inline distT="0" distB="0" distL="0" distR="0">
                  <wp:extent cx="1943100" cy="2381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43100" cy="238125"/>
                          </a:xfrm>
                          <a:prstGeom prst="rect">
                            <a:avLst/>
                          </a:prstGeom>
                          <a:noFill/>
                          <a:ln>
                            <a:noFill/>
                          </a:ln>
                        </pic:spPr>
                      </pic:pic>
                    </a:graphicData>
                  </a:graphic>
                </wp:inline>
              </w:drawing>
            </w:r>
          </w:p>
          <w:p>
            <w:pPr>
              <w:spacing w:line="360" w:lineRule="auto"/>
              <w:ind w:firstLine="480"/>
              <w:rPr>
                <w:sz w:val="24"/>
                <w:szCs w:val="24"/>
              </w:rPr>
            </w:pPr>
            <w:r>
              <w:rPr>
                <w:sz w:val="24"/>
                <w:szCs w:val="24"/>
              </w:rPr>
              <w:t>4</w:t>
            </w:r>
            <w:r>
              <w:rPr>
                <w:rFonts w:ascii="宋体" w:hAnsi="宋体"/>
                <w:sz w:val="24"/>
                <w:szCs w:val="24"/>
              </w:rPr>
              <w:t>、将室外声级</w:t>
            </w:r>
            <w:r>
              <w:rPr>
                <w:sz w:val="24"/>
                <w:szCs w:val="24"/>
              </w:rPr>
              <w:t>Loct</w:t>
            </w:r>
            <w:r>
              <w:rPr>
                <w:rFonts w:ascii="宋体" w:hAnsi="宋体"/>
                <w:sz w:val="24"/>
                <w:szCs w:val="24"/>
              </w:rPr>
              <w:t>，</w:t>
            </w:r>
            <w:r>
              <w:rPr>
                <w:sz w:val="24"/>
                <w:szCs w:val="24"/>
              </w:rPr>
              <w:t>2</w:t>
            </w:r>
            <w:r>
              <w:rPr>
                <w:rFonts w:ascii="宋体" w:hAnsi="宋体"/>
                <w:sz w:val="24"/>
                <w:szCs w:val="24"/>
              </w:rPr>
              <w:t>（</w:t>
            </w:r>
            <w:r>
              <w:rPr>
                <w:sz w:val="24"/>
                <w:szCs w:val="24"/>
              </w:rPr>
              <w:t>T</w:t>
            </w:r>
            <w:r>
              <w:rPr>
                <w:rFonts w:ascii="宋体" w:hAnsi="宋体"/>
                <w:sz w:val="24"/>
                <w:szCs w:val="24"/>
              </w:rPr>
              <w:t>）和透声面积换算成等效的室外声源，计算等效声源第</w:t>
            </w:r>
            <w:r>
              <w:rPr>
                <w:sz w:val="24"/>
                <w:szCs w:val="24"/>
              </w:rPr>
              <w:t>i</w:t>
            </w:r>
            <w:r>
              <w:rPr>
                <w:rFonts w:ascii="宋体" w:hAnsi="宋体"/>
                <w:sz w:val="24"/>
                <w:szCs w:val="24"/>
              </w:rPr>
              <w:t>个倍频带的声功率级</w:t>
            </w:r>
            <w:r>
              <w:rPr>
                <w:sz w:val="24"/>
                <w:szCs w:val="24"/>
              </w:rPr>
              <w:t>Lw</w:t>
            </w:r>
            <w:r>
              <w:rPr>
                <w:rFonts w:ascii="宋体" w:hAnsi="宋体"/>
                <w:sz w:val="24"/>
                <w:szCs w:val="24"/>
              </w:rPr>
              <w:t>，</w:t>
            </w:r>
            <w:r>
              <w:rPr>
                <w:sz w:val="24"/>
                <w:szCs w:val="24"/>
              </w:rPr>
              <w:t>oc</w:t>
            </w:r>
            <w:r>
              <w:rPr>
                <w:rFonts w:ascii="宋体" w:hAnsi="宋体"/>
                <w:sz w:val="24"/>
                <w:szCs w:val="24"/>
              </w:rPr>
              <w:t>：</w:t>
            </w:r>
          </w:p>
          <w:p>
            <w:pPr>
              <w:spacing w:line="360" w:lineRule="auto"/>
              <w:ind w:firstLine="0" w:firstLineChars="0"/>
              <w:jc w:val="center"/>
              <w:rPr>
                <w:sz w:val="24"/>
                <w:szCs w:val="24"/>
              </w:rPr>
            </w:pPr>
            <w:r>
              <w:rPr>
                <w:sz w:val="24"/>
                <w:szCs w:val="24"/>
              </w:rPr>
              <w:drawing>
                <wp:inline distT="0" distB="0" distL="0" distR="0">
                  <wp:extent cx="1562100" cy="2381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562100" cy="238125"/>
                          </a:xfrm>
                          <a:prstGeom prst="rect">
                            <a:avLst/>
                          </a:prstGeom>
                          <a:noFill/>
                          <a:ln>
                            <a:noFill/>
                          </a:ln>
                        </pic:spPr>
                      </pic:pic>
                    </a:graphicData>
                  </a:graphic>
                </wp:inline>
              </w:drawing>
            </w:r>
          </w:p>
          <w:p>
            <w:pPr>
              <w:spacing w:line="360" w:lineRule="auto"/>
              <w:ind w:firstLine="480"/>
              <w:rPr>
                <w:sz w:val="24"/>
                <w:szCs w:val="24"/>
              </w:rPr>
            </w:pPr>
            <w:r>
              <w:rPr>
                <w:rFonts w:ascii="宋体" w:hAnsi="宋体"/>
                <w:sz w:val="24"/>
                <w:szCs w:val="24"/>
              </w:rPr>
              <w:t>式中：</w:t>
            </w:r>
            <w:r>
              <w:rPr>
                <w:sz w:val="24"/>
                <w:szCs w:val="24"/>
              </w:rPr>
              <w:t>S</w:t>
            </w:r>
            <w:r>
              <w:rPr>
                <w:rFonts w:ascii="宋体" w:hAnsi="宋体"/>
                <w:sz w:val="24"/>
                <w:szCs w:val="24"/>
              </w:rPr>
              <w:t>为透声面积，㎡。</w:t>
            </w:r>
          </w:p>
          <w:p>
            <w:pPr>
              <w:spacing w:line="360" w:lineRule="auto"/>
              <w:ind w:firstLine="480"/>
              <w:rPr>
                <w:sz w:val="24"/>
                <w:szCs w:val="24"/>
              </w:rPr>
            </w:pPr>
            <w:r>
              <w:rPr>
                <w:rFonts w:ascii="宋体" w:hAnsi="宋体"/>
                <w:sz w:val="24"/>
                <w:szCs w:val="24"/>
              </w:rPr>
              <w:t>之后按照室外声源预测方法计算预测点处的</w:t>
            </w:r>
            <w:r>
              <w:rPr>
                <w:sz w:val="24"/>
                <w:szCs w:val="24"/>
              </w:rPr>
              <w:t>A</w:t>
            </w:r>
            <w:r>
              <w:rPr>
                <w:rFonts w:ascii="宋体" w:hAnsi="宋体"/>
                <w:sz w:val="24"/>
                <w:szCs w:val="24"/>
              </w:rPr>
              <w:t>声级。</w:t>
            </w:r>
          </w:p>
          <w:p>
            <w:pPr>
              <w:spacing w:line="360" w:lineRule="auto"/>
              <w:ind w:firstLine="480"/>
              <w:rPr>
                <w:sz w:val="24"/>
                <w:szCs w:val="24"/>
              </w:rPr>
            </w:pPr>
            <w:r>
              <w:rPr>
                <w:sz w:val="24"/>
                <w:szCs w:val="24"/>
              </w:rPr>
              <w:t>5</w:t>
            </w:r>
            <w:r>
              <w:rPr>
                <w:rFonts w:ascii="宋体" w:hAnsi="宋体"/>
                <w:sz w:val="24"/>
                <w:szCs w:val="24"/>
              </w:rPr>
              <w:t>、噪声贡献值计算：</w:t>
            </w:r>
          </w:p>
          <w:p>
            <w:pPr>
              <w:spacing w:line="360" w:lineRule="auto"/>
              <w:ind w:firstLine="480"/>
              <w:rPr>
                <w:sz w:val="24"/>
                <w:szCs w:val="24"/>
              </w:rPr>
            </w:pPr>
            <w:r>
              <w:rPr>
                <w:sz w:val="24"/>
                <w:szCs w:val="24"/>
              </w:rPr>
              <w:t>设第i个室外声源在预测点产生的A声级为</w:t>
            </w:r>
            <w:r>
              <w:rPr>
                <w:sz w:val="24"/>
                <w:szCs w:val="24"/>
              </w:rPr>
              <w:drawing>
                <wp:inline distT="0" distB="0" distL="0" distR="0">
                  <wp:extent cx="323850" cy="2571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3850" cy="257175"/>
                          </a:xfrm>
                          <a:prstGeom prst="rect">
                            <a:avLst/>
                          </a:prstGeom>
                          <a:noFill/>
                          <a:ln>
                            <a:noFill/>
                          </a:ln>
                        </pic:spPr>
                      </pic:pic>
                    </a:graphicData>
                  </a:graphic>
                </wp:inline>
              </w:drawing>
            </w:r>
            <w:r>
              <w:rPr>
                <w:sz w:val="24"/>
                <w:szCs w:val="24"/>
              </w:rPr>
              <w:t>，在</w:t>
            </w:r>
            <w:r>
              <w:rPr>
                <w:sz w:val="24"/>
                <w:szCs w:val="24"/>
              </w:rPr>
              <w:drawing>
                <wp:inline distT="0" distB="0" distL="0" distR="0">
                  <wp:extent cx="133350" cy="1714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sz w:val="24"/>
                <w:szCs w:val="24"/>
              </w:rPr>
              <w:t>时间内该声源工作时间为</w:t>
            </w:r>
            <w:r>
              <w:rPr>
                <w:sz w:val="24"/>
                <w:szCs w:val="24"/>
              </w:rPr>
              <w:drawing>
                <wp:inline distT="0" distB="0" distL="0" distR="0">
                  <wp:extent cx="209550" cy="2571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09550" cy="257175"/>
                          </a:xfrm>
                          <a:prstGeom prst="rect">
                            <a:avLst/>
                          </a:prstGeom>
                          <a:noFill/>
                          <a:ln>
                            <a:noFill/>
                          </a:ln>
                        </pic:spPr>
                      </pic:pic>
                    </a:graphicData>
                  </a:graphic>
                </wp:inline>
              </w:drawing>
            </w:r>
            <w:r>
              <w:rPr>
                <w:sz w:val="24"/>
                <w:szCs w:val="24"/>
              </w:rPr>
              <w:t>，第j个等效室外声源在预测点产生的A声级为</w:t>
            </w:r>
            <w:r>
              <w:rPr>
                <w:sz w:val="24"/>
                <w:szCs w:val="24"/>
              </w:rPr>
              <w:drawing>
                <wp:inline distT="0" distB="0" distL="0" distR="0">
                  <wp:extent cx="409575" cy="2571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09575" cy="257175"/>
                          </a:xfrm>
                          <a:prstGeom prst="rect">
                            <a:avLst/>
                          </a:prstGeom>
                          <a:noFill/>
                          <a:ln>
                            <a:noFill/>
                          </a:ln>
                        </pic:spPr>
                      </pic:pic>
                    </a:graphicData>
                  </a:graphic>
                </wp:inline>
              </w:drawing>
            </w:r>
            <w:r>
              <w:rPr>
                <w:sz w:val="24"/>
                <w:szCs w:val="24"/>
              </w:rPr>
              <w:t>，在</w:t>
            </w:r>
            <w:r>
              <w:rPr>
                <w:sz w:val="24"/>
                <w:szCs w:val="24"/>
              </w:rPr>
              <w:drawing>
                <wp:inline distT="0" distB="0" distL="0" distR="0">
                  <wp:extent cx="133350" cy="1714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sz w:val="24"/>
                <w:szCs w:val="24"/>
              </w:rPr>
              <w:t>时间内该声源工作时间为</w:t>
            </w:r>
            <w:r>
              <w:rPr>
                <w:sz w:val="24"/>
                <w:szCs w:val="24"/>
              </w:rPr>
              <w:drawing>
                <wp:inline distT="0" distB="0" distL="0" distR="0">
                  <wp:extent cx="295275" cy="2571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95275" cy="257175"/>
                          </a:xfrm>
                          <a:prstGeom prst="rect">
                            <a:avLst/>
                          </a:prstGeom>
                          <a:noFill/>
                          <a:ln>
                            <a:noFill/>
                          </a:ln>
                        </pic:spPr>
                      </pic:pic>
                    </a:graphicData>
                  </a:graphic>
                </wp:inline>
              </w:drawing>
            </w:r>
            <w:r>
              <w:rPr>
                <w:sz w:val="24"/>
                <w:szCs w:val="24"/>
              </w:rPr>
              <w:t>，则预测点的噪声贡献值为：</w:t>
            </w:r>
          </w:p>
          <w:p>
            <w:pPr>
              <w:spacing w:line="360" w:lineRule="auto"/>
              <w:ind w:firstLine="0" w:firstLineChars="0"/>
              <w:jc w:val="center"/>
              <w:rPr>
                <w:sz w:val="24"/>
                <w:szCs w:val="24"/>
              </w:rPr>
            </w:pPr>
            <w:r>
              <w:rPr>
                <w:sz w:val="24"/>
                <w:szCs w:val="24"/>
              </w:rPr>
              <w:drawing>
                <wp:inline distT="0" distB="0" distL="0" distR="0">
                  <wp:extent cx="3276600" cy="476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76600" cy="476250"/>
                          </a:xfrm>
                          <a:prstGeom prst="rect">
                            <a:avLst/>
                          </a:prstGeom>
                          <a:noFill/>
                          <a:ln>
                            <a:noFill/>
                          </a:ln>
                        </pic:spPr>
                      </pic:pic>
                    </a:graphicData>
                  </a:graphic>
                </wp:inline>
              </w:drawing>
            </w:r>
          </w:p>
          <w:p>
            <w:pPr>
              <w:spacing w:line="360" w:lineRule="auto"/>
              <w:ind w:firstLine="480"/>
              <w:rPr>
                <w:sz w:val="24"/>
                <w:szCs w:val="24"/>
              </w:rPr>
            </w:pPr>
            <w:r>
              <w:rPr>
                <w:rFonts w:ascii="宋体" w:hAnsi="宋体"/>
                <w:sz w:val="24"/>
                <w:szCs w:val="24"/>
              </w:rPr>
              <w:t>式中：</w:t>
            </w:r>
            <w:r>
              <w:rPr>
                <w:sz w:val="24"/>
                <w:szCs w:val="24"/>
              </w:rPr>
              <w:drawing>
                <wp:inline distT="0" distB="0" distL="0" distR="0">
                  <wp:extent cx="133350" cy="1714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sz w:val="24"/>
                <w:szCs w:val="24"/>
              </w:rPr>
              <w:t>—</w:t>
            </w:r>
            <w:r>
              <w:rPr>
                <w:rFonts w:ascii="宋体" w:hAnsi="宋体"/>
                <w:sz w:val="24"/>
                <w:szCs w:val="24"/>
              </w:rPr>
              <w:t>计算等效声级的时间，</w:t>
            </w:r>
            <w:r>
              <w:rPr>
                <w:sz w:val="24"/>
                <w:szCs w:val="24"/>
              </w:rPr>
              <w:t>h</w:t>
            </w:r>
            <w:r>
              <w:rPr>
                <w:rFonts w:ascii="宋体" w:hAnsi="宋体"/>
                <w:sz w:val="24"/>
                <w:szCs w:val="24"/>
              </w:rPr>
              <w:t>；</w:t>
            </w:r>
          </w:p>
          <w:p>
            <w:pPr>
              <w:spacing w:line="360" w:lineRule="auto"/>
              <w:ind w:firstLine="480"/>
              <w:rPr>
                <w:sz w:val="24"/>
                <w:szCs w:val="24"/>
              </w:rPr>
            </w:pPr>
            <w:r>
              <w:rPr>
                <w:sz w:val="24"/>
                <w:szCs w:val="24"/>
              </w:rPr>
              <w:drawing>
                <wp:inline distT="0" distB="0" distL="0" distR="0">
                  <wp:extent cx="171450" cy="1714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rPr>
                <w:sz w:val="24"/>
                <w:szCs w:val="24"/>
              </w:rPr>
              <w:t>—</w:t>
            </w:r>
            <w:r>
              <w:rPr>
                <w:rFonts w:ascii="宋体" w:hAnsi="宋体"/>
                <w:sz w:val="24"/>
                <w:szCs w:val="24"/>
              </w:rPr>
              <w:t>室外声源个数；</w:t>
            </w:r>
          </w:p>
          <w:p>
            <w:pPr>
              <w:spacing w:line="360" w:lineRule="auto"/>
              <w:ind w:firstLine="480"/>
              <w:rPr>
                <w:sz w:val="24"/>
                <w:szCs w:val="24"/>
              </w:rPr>
            </w:pPr>
            <w:r>
              <w:rPr>
                <w:sz w:val="24"/>
                <w:szCs w:val="24"/>
              </w:rPr>
              <w:drawing>
                <wp:inline distT="0" distB="0" distL="0" distR="0">
                  <wp:extent cx="209550" cy="1714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09550" cy="171450"/>
                          </a:xfrm>
                          <a:prstGeom prst="rect">
                            <a:avLst/>
                          </a:prstGeom>
                          <a:noFill/>
                          <a:ln>
                            <a:noFill/>
                          </a:ln>
                        </pic:spPr>
                      </pic:pic>
                    </a:graphicData>
                  </a:graphic>
                </wp:inline>
              </w:drawing>
            </w:r>
            <w:r>
              <w:rPr>
                <w:sz w:val="24"/>
                <w:szCs w:val="24"/>
              </w:rPr>
              <w:t>—</w:t>
            </w:r>
            <w:r>
              <w:rPr>
                <w:rFonts w:ascii="宋体" w:hAnsi="宋体"/>
                <w:sz w:val="24"/>
                <w:szCs w:val="24"/>
              </w:rPr>
              <w:t>等效室外声源个数。</w:t>
            </w:r>
          </w:p>
          <w:p>
            <w:pPr>
              <w:spacing w:line="360" w:lineRule="auto"/>
              <w:ind w:firstLine="480"/>
              <w:rPr>
                <w:sz w:val="24"/>
                <w:szCs w:val="24"/>
              </w:rPr>
            </w:pPr>
            <w:r>
              <w:rPr>
                <w:sz w:val="24"/>
                <w:szCs w:val="24"/>
              </w:rPr>
              <w:t>7</w:t>
            </w:r>
            <w:r>
              <w:rPr>
                <w:rFonts w:ascii="宋体" w:hAnsi="宋体"/>
                <w:sz w:val="24"/>
                <w:szCs w:val="24"/>
              </w:rPr>
              <w:t>、预测值计算：</w:t>
            </w:r>
          </w:p>
          <w:p>
            <w:pPr>
              <w:spacing w:line="360" w:lineRule="auto"/>
              <w:ind w:firstLine="0" w:firstLineChars="0"/>
              <w:jc w:val="center"/>
              <w:rPr>
                <w:sz w:val="24"/>
                <w:szCs w:val="24"/>
              </w:rPr>
            </w:pPr>
            <w:r>
              <w:rPr>
                <w:sz w:val="24"/>
                <w:szCs w:val="24"/>
              </w:rPr>
              <w:t>L</w:t>
            </w:r>
            <w:r>
              <w:rPr>
                <w:sz w:val="24"/>
                <w:szCs w:val="24"/>
                <w:vertAlign w:val="subscript"/>
              </w:rPr>
              <w:t>eq</w:t>
            </w:r>
            <w:r>
              <w:rPr>
                <w:sz w:val="24"/>
                <w:szCs w:val="24"/>
              </w:rPr>
              <w:t>=10lg</w:t>
            </w:r>
            <w:r>
              <w:rPr>
                <w:rFonts w:ascii="宋体" w:hAnsi="宋体"/>
                <w:sz w:val="24"/>
                <w:szCs w:val="24"/>
              </w:rPr>
              <w:t>（</w:t>
            </w:r>
            <w:r>
              <w:rPr>
                <w:sz w:val="24"/>
                <w:szCs w:val="24"/>
              </w:rPr>
              <w:t>10</w:t>
            </w:r>
            <w:r>
              <w:rPr>
                <w:sz w:val="24"/>
                <w:szCs w:val="24"/>
                <w:vertAlign w:val="superscript"/>
              </w:rPr>
              <w:t>0.1Leqg</w:t>
            </w:r>
            <w:r>
              <w:rPr>
                <w:sz w:val="24"/>
                <w:szCs w:val="24"/>
              </w:rPr>
              <w:t>+10</w:t>
            </w:r>
            <w:r>
              <w:rPr>
                <w:sz w:val="24"/>
                <w:szCs w:val="24"/>
                <w:vertAlign w:val="superscript"/>
              </w:rPr>
              <w:t>0.1Leqb</w:t>
            </w:r>
            <w:r>
              <w:rPr>
                <w:rFonts w:ascii="宋体" w:hAnsi="宋体"/>
                <w:sz w:val="24"/>
                <w:szCs w:val="24"/>
              </w:rPr>
              <w:t>）</w:t>
            </w:r>
          </w:p>
          <w:p>
            <w:pPr>
              <w:spacing w:line="360" w:lineRule="auto"/>
              <w:ind w:firstLine="480"/>
              <w:rPr>
                <w:sz w:val="24"/>
                <w:szCs w:val="24"/>
              </w:rPr>
            </w:pPr>
            <w:r>
              <w:rPr>
                <w:rFonts w:ascii="宋体" w:hAnsi="宋体"/>
                <w:sz w:val="24"/>
                <w:szCs w:val="24"/>
              </w:rPr>
              <w:t>式中；</w:t>
            </w:r>
            <w:r>
              <w:rPr>
                <w:sz w:val="24"/>
                <w:szCs w:val="24"/>
              </w:rPr>
              <w:t>L</w:t>
            </w:r>
            <w:r>
              <w:rPr>
                <w:sz w:val="24"/>
                <w:szCs w:val="24"/>
                <w:vertAlign w:val="subscript"/>
              </w:rPr>
              <w:t>eqg</w:t>
            </w:r>
            <w:r>
              <w:rPr>
                <w:sz w:val="24"/>
                <w:szCs w:val="24"/>
              </w:rPr>
              <w:t>——</w:t>
            </w:r>
            <w:r>
              <w:rPr>
                <w:rFonts w:ascii="宋体" w:hAnsi="宋体"/>
                <w:sz w:val="24"/>
                <w:szCs w:val="24"/>
              </w:rPr>
              <w:t>建设项目声源在预测点的等效声级贡献值，</w:t>
            </w:r>
            <w:r>
              <w:rPr>
                <w:sz w:val="24"/>
                <w:szCs w:val="24"/>
              </w:rPr>
              <w:t>dB</w:t>
            </w:r>
            <w:r>
              <w:rPr>
                <w:rFonts w:ascii="宋体" w:hAnsi="宋体"/>
                <w:sz w:val="24"/>
                <w:szCs w:val="24"/>
              </w:rPr>
              <w:t>（</w:t>
            </w:r>
            <w:r>
              <w:rPr>
                <w:sz w:val="24"/>
                <w:szCs w:val="24"/>
              </w:rPr>
              <w:t>A</w:t>
            </w:r>
            <w:r>
              <w:rPr>
                <w:rFonts w:ascii="宋体" w:hAnsi="宋体"/>
                <w:sz w:val="24"/>
                <w:szCs w:val="24"/>
              </w:rPr>
              <w:t>）。</w:t>
            </w:r>
          </w:p>
          <w:p>
            <w:pPr>
              <w:spacing w:line="360" w:lineRule="auto"/>
              <w:ind w:firstLine="480"/>
              <w:rPr>
                <w:sz w:val="24"/>
                <w:szCs w:val="24"/>
              </w:rPr>
            </w:pPr>
            <w:r>
              <w:rPr>
                <w:sz w:val="24"/>
                <w:szCs w:val="24"/>
              </w:rPr>
              <w:t>L</w:t>
            </w:r>
            <w:r>
              <w:rPr>
                <w:sz w:val="24"/>
                <w:szCs w:val="24"/>
                <w:vertAlign w:val="subscript"/>
              </w:rPr>
              <w:t>eqb</w:t>
            </w:r>
            <w:r>
              <w:rPr>
                <w:sz w:val="24"/>
                <w:szCs w:val="24"/>
              </w:rPr>
              <w:t>——</w:t>
            </w:r>
            <w:r>
              <w:rPr>
                <w:rFonts w:ascii="宋体" w:hAnsi="宋体"/>
                <w:sz w:val="24"/>
                <w:szCs w:val="24"/>
              </w:rPr>
              <w:t>预测点背景值，</w:t>
            </w:r>
            <w:r>
              <w:rPr>
                <w:sz w:val="24"/>
                <w:szCs w:val="24"/>
              </w:rPr>
              <w:t>dB</w:t>
            </w:r>
            <w:r>
              <w:rPr>
                <w:rFonts w:ascii="宋体" w:hAnsi="宋体"/>
                <w:sz w:val="24"/>
                <w:szCs w:val="24"/>
              </w:rPr>
              <w:t>（</w:t>
            </w:r>
            <w:r>
              <w:rPr>
                <w:sz w:val="24"/>
                <w:szCs w:val="24"/>
              </w:rPr>
              <w:t>A</w:t>
            </w:r>
            <w:r>
              <w:rPr>
                <w:rFonts w:ascii="宋体" w:hAnsi="宋体"/>
                <w:sz w:val="24"/>
                <w:szCs w:val="24"/>
              </w:rPr>
              <w:t>）。</w:t>
            </w:r>
          </w:p>
          <w:p>
            <w:pPr>
              <w:spacing w:line="360" w:lineRule="auto"/>
              <w:ind w:firstLine="480" w:firstLineChars="200"/>
              <w:outlineLvl w:val="0"/>
              <w:rPr>
                <w:sz w:val="24"/>
                <w:szCs w:val="24"/>
                <w:lang w:bidi="ar"/>
              </w:rPr>
            </w:pPr>
            <w:r>
              <w:rPr>
                <w:rFonts w:hint="eastAsia"/>
                <w:sz w:val="24"/>
                <w:szCs w:val="24"/>
                <w:lang w:val="en-US" w:eastAsia="zh-CN" w:bidi="ar"/>
              </w:rPr>
              <w:t>3、</w:t>
            </w:r>
            <w:r>
              <w:rPr>
                <w:rFonts w:hint="eastAsia"/>
                <w:sz w:val="24"/>
                <w:szCs w:val="24"/>
                <w:lang w:bidi="ar"/>
              </w:rPr>
              <w:t>预测结果和分析</w:t>
            </w:r>
            <w:r>
              <w:rPr>
                <w:sz w:val="24"/>
                <w:szCs w:val="24"/>
                <w:lang w:bidi="ar"/>
              </w:rPr>
              <w:t>。</w:t>
            </w:r>
          </w:p>
          <w:p>
            <w:pPr>
              <w:pStyle w:val="2"/>
              <w:jc w:val="center"/>
              <w:rPr>
                <w:b/>
                <w:bCs/>
                <w:sz w:val="24"/>
                <w:szCs w:val="24"/>
              </w:rPr>
            </w:pPr>
            <w:r>
              <w:rPr>
                <w:b/>
                <w:bCs/>
                <w:sz w:val="24"/>
                <w:szCs w:val="24"/>
                <w:lang w:bidi="ar"/>
              </w:rPr>
              <w:t>表4-</w:t>
            </w:r>
            <w:r>
              <w:rPr>
                <w:rFonts w:hint="eastAsia"/>
                <w:b/>
                <w:bCs/>
                <w:sz w:val="24"/>
                <w:szCs w:val="24"/>
                <w:lang w:bidi="ar"/>
              </w:rPr>
              <w:t>12</w:t>
            </w:r>
            <w:r>
              <w:rPr>
                <w:b/>
                <w:bCs/>
                <w:sz w:val="24"/>
                <w:szCs w:val="24"/>
                <w:lang w:bidi="ar"/>
              </w:rPr>
              <w:t xml:space="preserve">  环境噪声预测结果一览表  单位dB（A）</w:t>
            </w:r>
          </w:p>
          <w:tbl>
            <w:tblPr>
              <w:tblStyle w:val="22"/>
              <w:tblW w:w="777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967"/>
              <w:gridCol w:w="1103"/>
              <w:gridCol w:w="1087"/>
              <w:gridCol w:w="113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vMerge w:val="restart"/>
                  <w:vAlign w:val="center"/>
                </w:tcPr>
                <w:p>
                  <w:pPr>
                    <w:jc w:val="center"/>
                    <w:rPr>
                      <w:szCs w:val="21"/>
                    </w:rPr>
                  </w:pPr>
                  <w:r>
                    <w:rPr>
                      <w:b/>
                      <w:bCs/>
                      <w:kern w:val="0"/>
                      <w:szCs w:val="21"/>
                      <w:lang w:bidi="ar"/>
                    </w:rPr>
                    <w:t>预测点</w:t>
                  </w:r>
                </w:p>
              </w:tc>
              <w:tc>
                <w:tcPr>
                  <w:tcW w:w="2070" w:type="dxa"/>
                  <w:gridSpan w:val="2"/>
                  <w:vAlign w:val="center"/>
                </w:tcPr>
                <w:p>
                  <w:pPr>
                    <w:jc w:val="center"/>
                    <w:rPr>
                      <w:b/>
                      <w:bCs/>
                      <w:kern w:val="0"/>
                      <w:sz w:val="21"/>
                      <w:szCs w:val="21"/>
                      <w:lang w:bidi="ar"/>
                    </w:rPr>
                  </w:pPr>
                  <w:r>
                    <w:rPr>
                      <w:b/>
                      <w:bCs/>
                      <w:kern w:val="0"/>
                      <w:sz w:val="21"/>
                      <w:szCs w:val="21"/>
                      <w:lang w:bidi="ar"/>
                    </w:rPr>
                    <w:t>贡献</w:t>
                  </w:r>
                  <w:r>
                    <w:rPr>
                      <w:rFonts w:ascii="Times New Roman" w:hAnsi="Times New Roman" w:eastAsia="宋体" w:cs="Times New Roman"/>
                      <w:b/>
                      <w:bCs/>
                      <w:kern w:val="0"/>
                      <w:sz w:val="21"/>
                      <w:szCs w:val="21"/>
                      <w:lang w:bidi="ar"/>
                    </w:rPr>
                    <w:t>值</w:t>
                  </w:r>
                </w:p>
              </w:tc>
              <w:tc>
                <w:tcPr>
                  <w:tcW w:w="2220" w:type="dxa"/>
                  <w:gridSpan w:val="2"/>
                  <w:vAlign w:val="center"/>
                </w:tcPr>
                <w:p>
                  <w:pPr>
                    <w:jc w:val="center"/>
                    <w:rPr>
                      <w:b/>
                      <w:bCs/>
                      <w:kern w:val="0"/>
                      <w:szCs w:val="21"/>
                      <w:lang w:bidi="ar"/>
                    </w:rPr>
                  </w:pPr>
                  <w:r>
                    <w:rPr>
                      <w:b/>
                      <w:bCs/>
                      <w:kern w:val="0"/>
                      <w:szCs w:val="21"/>
                      <w:lang w:bidi="ar"/>
                    </w:rPr>
                    <w:t>标准值</w:t>
                  </w:r>
                </w:p>
              </w:tc>
              <w:tc>
                <w:tcPr>
                  <w:tcW w:w="1927" w:type="dxa"/>
                  <w:vMerge w:val="restart"/>
                  <w:vAlign w:val="center"/>
                </w:tcPr>
                <w:p>
                  <w:pPr>
                    <w:jc w:val="center"/>
                    <w:rPr>
                      <w:b/>
                      <w:bCs/>
                      <w:kern w:val="0"/>
                      <w:szCs w:val="21"/>
                      <w:lang w:bidi="ar"/>
                    </w:rPr>
                  </w:pPr>
                  <w:r>
                    <w:rPr>
                      <w:b/>
                      <w:bCs/>
                      <w:kern w:val="0"/>
                      <w:szCs w:val="21"/>
                      <w:lang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vMerge w:val="continue"/>
                  <w:vAlign w:val="center"/>
                </w:tcPr>
                <w:p>
                  <w:pPr>
                    <w:jc w:val="center"/>
                    <w:rPr>
                      <w:szCs w:val="21"/>
                    </w:rPr>
                  </w:pPr>
                </w:p>
              </w:tc>
              <w:tc>
                <w:tcPr>
                  <w:tcW w:w="967" w:type="dxa"/>
                  <w:vAlign w:val="center"/>
                </w:tcPr>
                <w:p>
                  <w:pPr>
                    <w:jc w:val="center"/>
                    <w:rPr>
                      <w:szCs w:val="21"/>
                    </w:rPr>
                  </w:pPr>
                  <w:r>
                    <w:rPr>
                      <w:b/>
                      <w:bCs/>
                      <w:kern w:val="0"/>
                      <w:szCs w:val="21"/>
                      <w:lang w:bidi="ar"/>
                    </w:rPr>
                    <w:t>昼间</w:t>
                  </w:r>
                </w:p>
              </w:tc>
              <w:tc>
                <w:tcPr>
                  <w:tcW w:w="1103" w:type="dxa"/>
                  <w:vAlign w:val="center"/>
                </w:tcPr>
                <w:p>
                  <w:pPr>
                    <w:jc w:val="center"/>
                    <w:rPr>
                      <w:szCs w:val="21"/>
                    </w:rPr>
                  </w:pPr>
                  <w:r>
                    <w:rPr>
                      <w:b/>
                      <w:bCs/>
                      <w:kern w:val="0"/>
                      <w:szCs w:val="21"/>
                      <w:lang w:bidi="ar"/>
                    </w:rPr>
                    <w:t>夜间</w:t>
                  </w:r>
                </w:p>
              </w:tc>
              <w:tc>
                <w:tcPr>
                  <w:tcW w:w="1087" w:type="dxa"/>
                  <w:vAlign w:val="center"/>
                </w:tcPr>
                <w:p>
                  <w:pPr>
                    <w:jc w:val="center"/>
                    <w:rPr>
                      <w:szCs w:val="21"/>
                    </w:rPr>
                  </w:pPr>
                  <w:r>
                    <w:rPr>
                      <w:b/>
                      <w:bCs/>
                      <w:kern w:val="0"/>
                      <w:szCs w:val="21"/>
                      <w:lang w:bidi="ar"/>
                    </w:rPr>
                    <w:t>昼间</w:t>
                  </w:r>
                </w:p>
              </w:tc>
              <w:tc>
                <w:tcPr>
                  <w:tcW w:w="1133" w:type="dxa"/>
                  <w:vAlign w:val="center"/>
                </w:tcPr>
                <w:p>
                  <w:pPr>
                    <w:jc w:val="center"/>
                    <w:rPr>
                      <w:szCs w:val="21"/>
                    </w:rPr>
                  </w:pPr>
                  <w:r>
                    <w:rPr>
                      <w:b/>
                      <w:bCs/>
                      <w:kern w:val="0"/>
                      <w:szCs w:val="21"/>
                      <w:lang w:bidi="ar"/>
                    </w:rPr>
                    <w:t>夜间</w:t>
                  </w:r>
                </w:p>
              </w:tc>
              <w:tc>
                <w:tcPr>
                  <w:tcW w:w="1927"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vAlign w:val="center"/>
                </w:tcPr>
                <w:p>
                  <w:pPr>
                    <w:jc w:val="center"/>
                    <w:rPr>
                      <w:szCs w:val="21"/>
                    </w:rPr>
                  </w:pPr>
                  <w:r>
                    <w:rPr>
                      <w:kern w:val="0"/>
                      <w:szCs w:val="21"/>
                      <w:lang w:bidi="ar"/>
                    </w:rPr>
                    <w:t>东厂界</w:t>
                  </w:r>
                </w:p>
              </w:tc>
              <w:tc>
                <w:tcPr>
                  <w:tcW w:w="967"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bidi="ar"/>
                      <w14:textFill>
                        <w14:solidFill>
                          <w14:schemeClr w14:val="tx1"/>
                        </w14:solidFill>
                      </w14:textFill>
                    </w:rPr>
                    <w:t>56.5</w:t>
                  </w:r>
                </w:p>
              </w:tc>
              <w:tc>
                <w:tcPr>
                  <w:tcW w:w="1103" w:type="dxa"/>
                  <w:vAlign w:val="top"/>
                </w:tcPr>
                <w:p>
                  <w:pPr>
                    <w:jc w:val="center"/>
                    <w:rPr>
                      <w:szCs w:val="21"/>
                      <w:lang w:bidi="ar"/>
                    </w:rPr>
                  </w:pPr>
                  <w:r>
                    <w:rPr>
                      <w:kern w:val="0"/>
                      <w:szCs w:val="21"/>
                      <w:lang w:bidi="ar"/>
                    </w:rPr>
                    <w:t>/</w:t>
                  </w:r>
                </w:p>
              </w:tc>
              <w:tc>
                <w:tcPr>
                  <w:tcW w:w="1087" w:type="dxa"/>
                  <w:vAlign w:val="center"/>
                </w:tcPr>
                <w:p>
                  <w:pPr>
                    <w:jc w:val="center"/>
                    <w:rPr>
                      <w:szCs w:val="21"/>
                    </w:rPr>
                  </w:pPr>
                  <w:r>
                    <w:rPr>
                      <w:kern w:val="0"/>
                      <w:szCs w:val="21"/>
                      <w:lang w:bidi="ar"/>
                    </w:rPr>
                    <w:t>6</w:t>
                  </w:r>
                  <w:r>
                    <w:rPr>
                      <w:rFonts w:hint="eastAsia"/>
                      <w:kern w:val="0"/>
                      <w:szCs w:val="21"/>
                      <w:lang w:bidi="ar"/>
                    </w:rPr>
                    <w:t>0</w:t>
                  </w:r>
                </w:p>
              </w:tc>
              <w:tc>
                <w:tcPr>
                  <w:tcW w:w="1133" w:type="dxa"/>
                </w:tcPr>
                <w:p>
                  <w:pPr>
                    <w:jc w:val="center"/>
                    <w:rPr>
                      <w:szCs w:val="21"/>
                    </w:rPr>
                  </w:pPr>
                  <w:r>
                    <w:rPr>
                      <w:kern w:val="0"/>
                      <w:szCs w:val="21"/>
                      <w:lang w:bidi="ar"/>
                    </w:rPr>
                    <w:t>/</w:t>
                  </w:r>
                </w:p>
              </w:tc>
              <w:tc>
                <w:tcPr>
                  <w:tcW w:w="1927" w:type="dxa"/>
                  <w:vAlign w:val="center"/>
                </w:tcPr>
                <w:p>
                  <w:pPr>
                    <w:jc w:val="center"/>
                    <w:rPr>
                      <w:kern w:val="0"/>
                      <w:szCs w:val="21"/>
                      <w:lang w:bidi="ar"/>
                    </w:rPr>
                  </w:pPr>
                  <w:r>
                    <w:rPr>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vAlign w:val="center"/>
                </w:tcPr>
                <w:p>
                  <w:pPr>
                    <w:jc w:val="center"/>
                    <w:rPr>
                      <w:szCs w:val="21"/>
                    </w:rPr>
                  </w:pPr>
                  <w:r>
                    <w:rPr>
                      <w:kern w:val="0"/>
                      <w:szCs w:val="21"/>
                      <w:lang w:bidi="ar"/>
                    </w:rPr>
                    <w:t>南厂界</w:t>
                  </w:r>
                </w:p>
              </w:tc>
              <w:tc>
                <w:tcPr>
                  <w:tcW w:w="967"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57.3</w:t>
                  </w:r>
                </w:p>
              </w:tc>
              <w:tc>
                <w:tcPr>
                  <w:tcW w:w="1103" w:type="dxa"/>
                  <w:vAlign w:val="top"/>
                </w:tcPr>
                <w:p>
                  <w:pPr>
                    <w:jc w:val="center"/>
                    <w:rPr>
                      <w:kern w:val="0"/>
                      <w:szCs w:val="21"/>
                      <w:lang w:bidi="ar"/>
                    </w:rPr>
                  </w:pPr>
                  <w:r>
                    <w:rPr>
                      <w:kern w:val="0"/>
                      <w:szCs w:val="21"/>
                      <w:lang w:bidi="ar"/>
                    </w:rPr>
                    <w:t>/</w:t>
                  </w:r>
                </w:p>
              </w:tc>
              <w:tc>
                <w:tcPr>
                  <w:tcW w:w="1087" w:type="dxa"/>
                  <w:vAlign w:val="center"/>
                </w:tcPr>
                <w:p>
                  <w:pPr>
                    <w:jc w:val="center"/>
                    <w:rPr>
                      <w:szCs w:val="21"/>
                    </w:rPr>
                  </w:pPr>
                  <w:r>
                    <w:rPr>
                      <w:kern w:val="0"/>
                      <w:szCs w:val="21"/>
                      <w:lang w:bidi="ar"/>
                    </w:rPr>
                    <w:t>6</w:t>
                  </w:r>
                  <w:r>
                    <w:rPr>
                      <w:rFonts w:hint="eastAsia"/>
                      <w:kern w:val="0"/>
                      <w:szCs w:val="21"/>
                      <w:lang w:bidi="ar"/>
                    </w:rPr>
                    <w:t>0</w:t>
                  </w:r>
                </w:p>
              </w:tc>
              <w:tc>
                <w:tcPr>
                  <w:tcW w:w="1133" w:type="dxa"/>
                </w:tcPr>
                <w:p>
                  <w:pPr>
                    <w:jc w:val="center"/>
                    <w:rPr>
                      <w:szCs w:val="21"/>
                    </w:rPr>
                  </w:pPr>
                  <w:r>
                    <w:rPr>
                      <w:kern w:val="0"/>
                      <w:szCs w:val="21"/>
                      <w:lang w:bidi="ar"/>
                    </w:rPr>
                    <w:t>/</w:t>
                  </w:r>
                </w:p>
              </w:tc>
              <w:tc>
                <w:tcPr>
                  <w:tcW w:w="1927" w:type="dxa"/>
                  <w:vAlign w:val="center"/>
                </w:tcPr>
                <w:p>
                  <w:pPr>
                    <w:jc w:val="center"/>
                    <w:rPr>
                      <w:kern w:val="0"/>
                      <w:szCs w:val="21"/>
                      <w:lang w:bidi="ar"/>
                    </w:rPr>
                  </w:pPr>
                  <w:r>
                    <w:rPr>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vAlign w:val="center"/>
                </w:tcPr>
                <w:p>
                  <w:pPr>
                    <w:jc w:val="center"/>
                    <w:rPr>
                      <w:szCs w:val="21"/>
                    </w:rPr>
                  </w:pPr>
                  <w:r>
                    <w:rPr>
                      <w:kern w:val="0"/>
                      <w:szCs w:val="21"/>
                      <w:lang w:bidi="ar"/>
                    </w:rPr>
                    <w:t>西厂界</w:t>
                  </w:r>
                </w:p>
              </w:tc>
              <w:tc>
                <w:tcPr>
                  <w:tcW w:w="967"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kern w:val="0"/>
                      <w:szCs w:val="21"/>
                      <w:lang w:val="en-US" w:eastAsia="zh-CN" w:bidi="ar"/>
                      <w14:textFill>
                        <w14:solidFill>
                          <w14:schemeClr w14:val="tx1"/>
                        </w14:solidFill>
                      </w14:textFill>
                    </w:rPr>
                    <w:t>57.8</w:t>
                  </w:r>
                </w:p>
              </w:tc>
              <w:tc>
                <w:tcPr>
                  <w:tcW w:w="1103" w:type="dxa"/>
                  <w:vAlign w:val="top"/>
                </w:tcPr>
                <w:p>
                  <w:pPr>
                    <w:jc w:val="center"/>
                    <w:rPr>
                      <w:kern w:val="0"/>
                      <w:szCs w:val="21"/>
                      <w:lang w:bidi="ar"/>
                    </w:rPr>
                  </w:pPr>
                  <w:r>
                    <w:rPr>
                      <w:kern w:val="0"/>
                      <w:szCs w:val="21"/>
                      <w:lang w:bidi="ar"/>
                    </w:rPr>
                    <w:t>/</w:t>
                  </w:r>
                </w:p>
              </w:tc>
              <w:tc>
                <w:tcPr>
                  <w:tcW w:w="1087" w:type="dxa"/>
                  <w:vAlign w:val="center"/>
                </w:tcPr>
                <w:p>
                  <w:pPr>
                    <w:jc w:val="center"/>
                    <w:rPr>
                      <w:szCs w:val="21"/>
                    </w:rPr>
                  </w:pPr>
                  <w:r>
                    <w:rPr>
                      <w:kern w:val="0"/>
                      <w:szCs w:val="21"/>
                      <w:lang w:bidi="ar"/>
                    </w:rPr>
                    <w:t>6</w:t>
                  </w:r>
                  <w:r>
                    <w:rPr>
                      <w:rFonts w:hint="eastAsia"/>
                      <w:kern w:val="0"/>
                      <w:szCs w:val="21"/>
                      <w:lang w:bidi="ar"/>
                    </w:rPr>
                    <w:t>0</w:t>
                  </w:r>
                </w:p>
              </w:tc>
              <w:tc>
                <w:tcPr>
                  <w:tcW w:w="1133" w:type="dxa"/>
                </w:tcPr>
                <w:p>
                  <w:pPr>
                    <w:jc w:val="center"/>
                    <w:rPr>
                      <w:szCs w:val="21"/>
                    </w:rPr>
                  </w:pPr>
                  <w:r>
                    <w:rPr>
                      <w:kern w:val="0"/>
                      <w:szCs w:val="21"/>
                      <w:lang w:bidi="ar"/>
                    </w:rPr>
                    <w:t>/</w:t>
                  </w:r>
                </w:p>
              </w:tc>
              <w:tc>
                <w:tcPr>
                  <w:tcW w:w="1927" w:type="dxa"/>
                  <w:vAlign w:val="center"/>
                </w:tcPr>
                <w:p>
                  <w:pPr>
                    <w:jc w:val="center"/>
                    <w:rPr>
                      <w:kern w:val="0"/>
                      <w:szCs w:val="21"/>
                      <w:lang w:bidi="ar"/>
                    </w:rPr>
                  </w:pPr>
                  <w:r>
                    <w:rPr>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1" w:type="dxa"/>
                  <w:vAlign w:val="center"/>
                </w:tcPr>
                <w:p>
                  <w:pPr>
                    <w:jc w:val="center"/>
                    <w:rPr>
                      <w:szCs w:val="21"/>
                    </w:rPr>
                  </w:pPr>
                  <w:r>
                    <w:rPr>
                      <w:kern w:val="0"/>
                      <w:szCs w:val="21"/>
                      <w:lang w:bidi="ar"/>
                    </w:rPr>
                    <w:t>北厂界</w:t>
                  </w:r>
                </w:p>
              </w:tc>
              <w:tc>
                <w:tcPr>
                  <w:tcW w:w="967" w:type="dxa"/>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bidi="ar"/>
                      <w14:textFill>
                        <w14:solidFill>
                          <w14:schemeClr w14:val="tx1"/>
                        </w14:solidFill>
                      </w14:textFill>
                    </w:rPr>
                    <w:t>56.1</w:t>
                  </w:r>
                </w:p>
              </w:tc>
              <w:tc>
                <w:tcPr>
                  <w:tcW w:w="1103" w:type="dxa"/>
                  <w:vAlign w:val="top"/>
                </w:tcPr>
                <w:p>
                  <w:pPr>
                    <w:jc w:val="center"/>
                    <w:rPr>
                      <w:szCs w:val="21"/>
                      <w:lang w:bidi="ar"/>
                    </w:rPr>
                  </w:pPr>
                  <w:r>
                    <w:rPr>
                      <w:kern w:val="0"/>
                      <w:szCs w:val="21"/>
                      <w:lang w:bidi="ar"/>
                    </w:rPr>
                    <w:t>/</w:t>
                  </w:r>
                </w:p>
              </w:tc>
              <w:tc>
                <w:tcPr>
                  <w:tcW w:w="1087" w:type="dxa"/>
                  <w:vAlign w:val="center"/>
                </w:tcPr>
                <w:p>
                  <w:pPr>
                    <w:jc w:val="center"/>
                    <w:rPr>
                      <w:szCs w:val="21"/>
                    </w:rPr>
                  </w:pPr>
                  <w:r>
                    <w:rPr>
                      <w:kern w:val="0"/>
                      <w:szCs w:val="21"/>
                      <w:lang w:bidi="ar"/>
                    </w:rPr>
                    <w:t>6</w:t>
                  </w:r>
                  <w:r>
                    <w:rPr>
                      <w:rFonts w:hint="eastAsia"/>
                      <w:kern w:val="0"/>
                      <w:szCs w:val="21"/>
                      <w:lang w:bidi="ar"/>
                    </w:rPr>
                    <w:t>0</w:t>
                  </w:r>
                </w:p>
              </w:tc>
              <w:tc>
                <w:tcPr>
                  <w:tcW w:w="1133" w:type="dxa"/>
                </w:tcPr>
                <w:p>
                  <w:pPr>
                    <w:jc w:val="center"/>
                    <w:rPr>
                      <w:szCs w:val="21"/>
                    </w:rPr>
                  </w:pPr>
                  <w:r>
                    <w:rPr>
                      <w:kern w:val="0"/>
                      <w:szCs w:val="21"/>
                      <w:lang w:bidi="ar"/>
                    </w:rPr>
                    <w:t>/</w:t>
                  </w:r>
                </w:p>
              </w:tc>
              <w:tc>
                <w:tcPr>
                  <w:tcW w:w="1927" w:type="dxa"/>
                  <w:vAlign w:val="center"/>
                </w:tcPr>
                <w:p>
                  <w:pPr>
                    <w:jc w:val="center"/>
                    <w:rPr>
                      <w:kern w:val="0"/>
                      <w:szCs w:val="21"/>
                      <w:lang w:bidi="ar"/>
                    </w:rPr>
                  </w:pPr>
                  <w:r>
                    <w:rPr>
                      <w:kern w:val="0"/>
                      <w:szCs w:val="21"/>
                      <w:lang w:bidi="ar"/>
                    </w:rPr>
                    <w:t>达标</w:t>
                  </w:r>
                </w:p>
              </w:tc>
            </w:tr>
          </w:tbl>
          <w:p>
            <w:pPr>
              <w:adjustRightInd w:val="0"/>
              <w:snapToGrid w:val="0"/>
              <w:spacing w:line="360" w:lineRule="auto"/>
              <w:ind w:firstLine="480" w:firstLineChars="200"/>
              <w:rPr>
                <w:color w:val="000000"/>
                <w:kern w:val="0"/>
                <w:sz w:val="24"/>
                <w:szCs w:val="24"/>
              </w:rPr>
            </w:pPr>
            <w:r>
              <w:rPr>
                <w:rFonts w:hint="eastAsia"/>
                <w:bCs/>
                <w:snapToGrid w:val="0"/>
                <w:kern w:val="0"/>
                <w:sz w:val="24"/>
                <w:szCs w:val="24"/>
              </w:rPr>
              <w:t>3、</w:t>
            </w:r>
            <w:r>
              <w:rPr>
                <w:sz w:val="24"/>
                <w:szCs w:val="24"/>
                <w:lang w:bidi="ar"/>
              </w:rPr>
              <w:t>噪声</w:t>
            </w:r>
            <w:r>
              <w:rPr>
                <w:bCs/>
                <w:snapToGrid w:val="0"/>
                <w:kern w:val="0"/>
                <w:sz w:val="24"/>
                <w:szCs w:val="24"/>
              </w:rPr>
              <w:t>治理措施</w:t>
            </w:r>
          </w:p>
          <w:p>
            <w:pPr>
              <w:adjustRightInd w:val="0"/>
              <w:snapToGrid w:val="0"/>
              <w:spacing w:line="360" w:lineRule="auto"/>
              <w:ind w:firstLine="480" w:firstLineChars="200"/>
              <w:rPr>
                <w:color w:val="000000"/>
                <w:kern w:val="0"/>
                <w:sz w:val="24"/>
              </w:rPr>
            </w:pPr>
            <w:r>
              <w:rPr>
                <w:color w:val="000000"/>
                <w:kern w:val="0"/>
                <w:sz w:val="24"/>
              </w:rPr>
              <w:t>本项目生产设备在运行期间均会产生噪声，建设单位采取以下措施来减轻生产设备运行噪声的环境影响。</w:t>
            </w:r>
          </w:p>
          <w:p>
            <w:pPr>
              <w:adjustRightInd w:val="0"/>
              <w:snapToGrid w:val="0"/>
              <w:spacing w:line="360" w:lineRule="auto"/>
              <w:ind w:firstLine="480" w:firstLineChars="200"/>
              <w:rPr>
                <w:color w:val="000000"/>
                <w:kern w:val="0"/>
                <w:sz w:val="24"/>
              </w:rPr>
            </w:pPr>
            <w:r>
              <w:rPr>
                <w:color w:val="000000"/>
                <w:kern w:val="0"/>
                <w:sz w:val="24"/>
              </w:rPr>
              <w:t>（1）选用低噪声设备或带隔声、消声的设备，从源头减少噪声的产生。</w:t>
            </w:r>
          </w:p>
          <w:p>
            <w:pPr>
              <w:adjustRightInd w:val="0"/>
              <w:snapToGrid w:val="0"/>
              <w:spacing w:line="360" w:lineRule="auto"/>
              <w:ind w:firstLine="480" w:firstLineChars="200"/>
              <w:rPr>
                <w:color w:val="000000"/>
                <w:kern w:val="0"/>
                <w:sz w:val="24"/>
              </w:rPr>
            </w:pPr>
            <w:r>
              <w:rPr>
                <w:color w:val="000000"/>
                <w:kern w:val="0"/>
                <w:sz w:val="24"/>
              </w:rPr>
              <w:t>（2）合理布局设备位置，使高强度的噪声设备远离项目边界。</w:t>
            </w:r>
          </w:p>
          <w:p>
            <w:pPr>
              <w:adjustRightInd w:val="0"/>
              <w:snapToGrid w:val="0"/>
              <w:spacing w:line="360" w:lineRule="auto"/>
              <w:ind w:firstLine="480" w:firstLineChars="200"/>
              <w:rPr>
                <w:color w:val="000000"/>
                <w:kern w:val="0"/>
                <w:sz w:val="24"/>
              </w:rPr>
            </w:pPr>
            <w:r>
              <w:rPr>
                <w:color w:val="000000"/>
                <w:kern w:val="0"/>
                <w:sz w:val="24"/>
              </w:rPr>
              <w:t>（</w:t>
            </w:r>
            <w:r>
              <w:rPr>
                <w:rFonts w:hint="eastAsia"/>
                <w:color w:val="000000"/>
                <w:kern w:val="0"/>
                <w:sz w:val="24"/>
              </w:rPr>
              <w:t>3</w:t>
            </w:r>
            <w:r>
              <w:rPr>
                <w:color w:val="000000"/>
                <w:kern w:val="0"/>
                <w:sz w:val="24"/>
              </w:rPr>
              <w:t>）对噪声值高的设备采取减振、消声、隔声等措施降低噪声值。</w:t>
            </w:r>
          </w:p>
          <w:p>
            <w:pPr>
              <w:adjustRightInd w:val="0"/>
              <w:snapToGrid w:val="0"/>
              <w:spacing w:line="360" w:lineRule="auto"/>
              <w:ind w:firstLine="480" w:firstLineChars="200"/>
              <w:rPr>
                <w:color w:val="000000"/>
                <w:kern w:val="0"/>
                <w:sz w:val="24"/>
              </w:rPr>
            </w:pPr>
            <w:r>
              <w:rPr>
                <w:color w:val="000000"/>
                <w:kern w:val="0"/>
                <w:sz w:val="24"/>
              </w:rPr>
              <w:t>（</w:t>
            </w:r>
            <w:r>
              <w:rPr>
                <w:rFonts w:hint="eastAsia"/>
                <w:color w:val="000000"/>
                <w:kern w:val="0"/>
                <w:sz w:val="24"/>
              </w:rPr>
              <w:t>4</w:t>
            </w:r>
            <w:r>
              <w:rPr>
                <w:color w:val="000000"/>
                <w:kern w:val="0"/>
                <w:sz w:val="24"/>
              </w:rPr>
              <w:t>）定期对生产设备进行保养维修，保证生产设备维持的良好使用状态，并严格遵守生产设备的操作规范。</w:t>
            </w:r>
          </w:p>
          <w:p>
            <w:pPr>
              <w:adjustRightInd w:val="0"/>
              <w:snapToGrid w:val="0"/>
              <w:spacing w:line="360" w:lineRule="auto"/>
              <w:ind w:firstLine="480" w:firstLineChars="200"/>
              <w:rPr>
                <w:color w:val="000000"/>
                <w:kern w:val="0"/>
                <w:sz w:val="24"/>
              </w:rPr>
            </w:pPr>
            <w:r>
              <w:rPr>
                <w:rFonts w:ascii="宋体" w:hAnsi="宋体" w:cs="宋体"/>
                <w:sz w:val="24"/>
              </w:rPr>
              <w:t>通过采取以上措施后，项</w:t>
            </w:r>
            <w:r>
              <w:rPr>
                <w:sz w:val="24"/>
              </w:rPr>
              <w:t>目厂界满足《工业企业厂界环境噪声排放标准》（GB12348-2008）中的</w:t>
            </w:r>
            <w:r>
              <w:rPr>
                <w:rFonts w:hint="eastAsia"/>
                <w:sz w:val="24"/>
              </w:rPr>
              <w:t>2</w:t>
            </w:r>
            <w:r>
              <w:rPr>
                <w:sz w:val="24"/>
              </w:rPr>
              <w:t>类</w:t>
            </w:r>
            <w:r>
              <w:rPr>
                <w:color w:val="000000"/>
                <w:kern w:val="0"/>
                <w:sz w:val="24"/>
              </w:rPr>
              <w:t>标准限值要求，对周边区域声环境影响较小。</w:t>
            </w:r>
          </w:p>
          <w:p>
            <w:pPr>
              <w:adjustRightInd w:val="0"/>
              <w:snapToGrid w:val="0"/>
              <w:spacing w:line="360" w:lineRule="auto"/>
              <w:ind w:firstLine="480" w:firstLineChars="200"/>
              <w:rPr>
                <w:b w:val="0"/>
                <w:bCs/>
                <w:color w:val="000000"/>
                <w:sz w:val="24"/>
              </w:rPr>
            </w:pPr>
            <w:r>
              <w:rPr>
                <w:rFonts w:hint="eastAsia"/>
                <w:b w:val="0"/>
                <w:bCs/>
                <w:color w:val="000000"/>
                <w:sz w:val="24"/>
                <w:lang w:val="en-US" w:eastAsia="zh-CN"/>
              </w:rPr>
              <w:t>4</w:t>
            </w:r>
            <w:r>
              <w:rPr>
                <w:b w:val="0"/>
                <w:bCs/>
                <w:color w:val="000000"/>
                <w:sz w:val="24"/>
              </w:rPr>
              <w:t>、噪声监测计划</w:t>
            </w:r>
          </w:p>
          <w:p>
            <w:pPr>
              <w:spacing w:line="360" w:lineRule="auto"/>
              <w:ind w:firstLine="480" w:firstLineChars="200"/>
              <w:rPr>
                <w:b/>
                <w:bCs/>
                <w:kern w:val="0"/>
                <w:sz w:val="24"/>
                <w:lang w:bidi="ar"/>
              </w:rPr>
            </w:pPr>
            <w:r>
              <w:rPr>
                <w:bCs/>
                <w:color w:val="000000"/>
                <w:sz w:val="24"/>
              </w:rPr>
              <w:t>根据《排污单位自行监测技术指南 总则》（HJ819-2017），项目噪声监测计划如下所示。</w:t>
            </w:r>
          </w:p>
          <w:p>
            <w:pPr>
              <w:autoSpaceDE w:val="0"/>
              <w:autoSpaceDN w:val="0"/>
              <w:adjustRightInd w:val="0"/>
              <w:jc w:val="center"/>
              <w:rPr>
                <w:b/>
                <w:bCs/>
                <w:kern w:val="0"/>
                <w:sz w:val="24"/>
              </w:rPr>
            </w:pPr>
            <w:r>
              <w:rPr>
                <w:b/>
                <w:bCs/>
                <w:kern w:val="0"/>
                <w:sz w:val="24"/>
                <w:lang w:bidi="ar"/>
              </w:rPr>
              <w:t>表4-1</w:t>
            </w:r>
            <w:r>
              <w:rPr>
                <w:rFonts w:hint="eastAsia"/>
                <w:b/>
                <w:bCs/>
                <w:kern w:val="0"/>
                <w:sz w:val="24"/>
                <w:lang w:bidi="ar"/>
              </w:rPr>
              <w:t>3</w:t>
            </w:r>
            <w:r>
              <w:rPr>
                <w:b/>
                <w:bCs/>
                <w:kern w:val="0"/>
                <w:sz w:val="24"/>
                <w:lang w:bidi="ar"/>
              </w:rPr>
              <w:t xml:space="preserve">  噪声监测计划表</w:t>
            </w:r>
          </w:p>
          <w:tbl>
            <w:tblPr>
              <w:tblStyle w:val="22"/>
              <w:tblW w:w="7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598"/>
              <w:gridCol w:w="1210"/>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72" w:type="dxa"/>
                  <w:vAlign w:val="center"/>
                </w:tcPr>
                <w:p>
                  <w:pPr>
                    <w:pStyle w:val="53"/>
                    <w:spacing w:line="240" w:lineRule="auto"/>
                    <w:rPr>
                      <w:b/>
                      <w:bCs/>
                      <w:color w:val="000000"/>
                      <w:sz w:val="21"/>
                    </w:rPr>
                  </w:pPr>
                  <w:r>
                    <w:rPr>
                      <w:b/>
                      <w:bCs/>
                      <w:color w:val="000000"/>
                      <w:sz w:val="21"/>
                    </w:rPr>
                    <w:t>监测点位置</w:t>
                  </w:r>
                </w:p>
              </w:tc>
              <w:tc>
                <w:tcPr>
                  <w:tcW w:w="1598" w:type="dxa"/>
                  <w:vAlign w:val="center"/>
                </w:tcPr>
                <w:p>
                  <w:pPr>
                    <w:pStyle w:val="53"/>
                    <w:spacing w:line="240" w:lineRule="auto"/>
                    <w:rPr>
                      <w:b/>
                      <w:bCs/>
                      <w:color w:val="000000"/>
                      <w:sz w:val="21"/>
                    </w:rPr>
                  </w:pPr>
                  <w:r>
                    <w:rPr>
                      <w:b/>
                      <w:bCs/>
                      <w:color w:val="000000"/>
                      <w:sz w:val="21"/>
                    </w:rPr>
                    <w:t>监测指标</w:t>
                  </w:r>
                </w:p>
              </w:tc>
              <w:tc>
                <w:tcPr>
                  <w:tcW w:w="1210" w:type="dxa"/>
                  <w:vAlign w:val="center"/>
                </w:tcPr>
                <w:p>
                  <w:pPr>
                    <w:pStyle w:val="53"/>
                    <w:spacing w:line="240" w:lineRule="auto"/>
                    <w:rPr>
                      <w:b/>
                      <w:bCs/>
                      <w:color w:val="000000"/>
                      <w:sz w:val="21"/>
                    </w:rPr>
                  </w:pPr>
                  <w:r>
                    <w:rPr>
                      <w:b/>
                      <w:bCs/>
                      <w:color w:val="000000"/>
                      <w:sz w:val="21"/>
                    </w:rPr>
                    <w:t>监测频次</w:t>
                  </w:r>
                </w:p>
              </w:tc>
              <w:tc>
                <w:tcPr>
                  <w:tcW w:w="3756" w:type="dxa"/>
                  <w:vAlign w:val="center"/>
                </w:tcPr>
                <w:p>
                  <w:pPr>
                    <w:pStyle w:val="53"/>
                    <w:spacing w:line="240" w:lineRule="auto"/>
                    <w:rPr>
                      <w:b/>
                      <w:bCs/>
                      <w:color w:val="000000"/>
                      <w:sz w:val="21"/>
                    </w:rPr>
                  </w:pPr>
                  <w:r>
                    <w:rPr>
                      <w:b/>
                      <w:bCs/>
                      <w:color w:val="000000"/>
                      <w:sz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72" w:type="dxa"/>
                  <w:vAlign w:val="center"/>
                </w:tcPr>
                <w:p>
                  <w:pPr>
                    <w:pStyle w:val="53"/>
                    <w:spacing w:line="240" w:lineRule="auto"/>
                    <w:rPr>
                      <w:color w:val="000000"/>
                      <w:sz w:val="21"/>
                    </w:rPr>
                  </w:pPr>
                  <w:r>
                    <w:rPr>
                      <w:color w:val="000000"/>
                      <w:sz w:val="21"/>
                    </w:rPr>
                    <w:t>厂界四周各布设一个噪声监测点</w:t>
                  </w:r>
                </w:p>
              </w:tc>
              <w:tc>
                <w:tcPr>
                  <w:tcW w:w="1598" w:type="dxa"/>
                  <w:vAlign w:val="center"/>
                </w:tcPr>
                <w:p>
                  <w:pPr>
                    <w:pStyle w:val="53"/>
                    <w:spacing w:line="240" w:lineRule="auto"/>
                    <w:rPr>
                      <w:color w:val="000000"/>
                      <w:sz w:val="21"/>
                    </w:rPr>
                  </w:pPr>
                  <w:r>
                    <w:rPr>
                      <w:color w:val="000000"/>
                      <w:sz w:val="21"/>
                    </w:rPr>
                    <w:t>连续等效A声级</w:t>
                  </w:r>
                </w:p>
              </w:tc>
              <w:tc>
                <w:tcPr>
                  <w:tcW w:w="1210" w:type="dxa"/>
                  <w:vAlign w:val="center"/>
                </w:tcPr>
                <w:p>
                  <w:pPr>
                    <w:pStyle w:val="53"/>
                    <w:spacing w:line="240" w:lineRule="auto"/>
                    <w:rPr>
                      <w:color w:val="000000"/>
                      <w:sz w:val="21"/>
                    </w:rPr>
                  </w:pPr>
                  <w:r>
                    <w:rPr>
                      <w:color w:val="000000"/>
                      <w:sz w:val="21"/>
                    </w:rPr>
                    <w:t>每季一次</w:t>
                  </w:r>
                </w:p>
              </w:tc>
              <w:tc>
                <w:tcPr>
                  <w:tcW w:w="3756" w:type="dxa"/>
                  <w:vAlign w:val="center"/>
                </w:tcPr>
                <w:p>
                  <w:pPr>
                    <w:pStyle w:val="53"/>
                    <w:spacing w:line="240" w:lineRule="auto"/>
                    <w:rPr>
                      <w:color w:val="000000"/>
                      <w:sz w:val="21"/>
                    </w:rPr>
                  </w:pPr>
                  <w:r>
                    <w:rPr>
                      <w:sz w:val="21"/>
                    </w:rPr>
                    <w:t>《工业企业厂界环境噪声排放标准》（GB12348-2008）的中</w:t>
                  </w:r>
                  <w:r>
                    <w:rPr>
                      <w:rFonts w:hint="eastAsia"/>
                      <w:sz w:val="21"/>
                    </w:rPr>
                    <w:t>2</w:t>
                  </w:r>
                  <w:r>
                    <w:rPr>
                      <w:sz w:val="21"/>
                    </w:rPr>
                    <w:t>类标准</w:t>
                  </w:r>
                </w:p>
              </w:tc>
            </w:tr>
          </w:tbl>
          <w:p>
            <w:pPr>
              <w:spacing w:line="360" w:lineRule="auto"/>
              <w:ind w:firstLine="482" w:firstLineChars="200"/>
              <w:rPr>
                <w:b/>
                <w:bCs/>
                <w:color w:val="000000"/>
                <w:sz w:val="24"/>
              </w:rPr>
            </w:pPr>
            <w:r>
              <w:rPr>
                <w:b/>
                <w:bCs/>
                <w:color w:val="000000"/>
                <w:sz w:val="24"/>
              </w:rPr>
              <w:t>四、固体废物</w:t>
            </w:r>
          </w:p>
          <w:p>
            <w:pPr>
              <w:pStyle w:val="45"/>
              <w:tabs>
                <w:tab w:val="left" w:pos="8676"/>
              </w:tabs>
              <w:autoSpaceDE w:val="0"/>
              <w:spacing w:line="360" w:lineRule="auto"/>
              <w:ind w:firstLine="480"/>
            </w:pPr>
            <w:r>
              <w:rPr>
                <w:szCs w:val="24"/>
              </w:rPr>
              <w:t>本项目固废主要为</w:t>
            </w:r>
            <w:r>
              <w:rPr>
                <w:rFonts w:hint="eastAsia"/>
                <w:szCs w:val="24"/>
              </w:rPr>
              <w:t>员工</w:t>
            </w:r>
            <w:r>
              <w:rPr>
                <w:szCs w:val="24"/>
              </w:rPr>
              <w:t>生活垃圾</w:t>
            </w:r>
            <w:r>
              <w:rPr>
                <w:rFonts w:hint="eastAsia"/>
                <w:szCs w:val="24"/>
              </w:rPr>
              <w:t>、</w:t>
            </w:r>
            <w:r>
              <w:t>一般固体废物</w:t>
            </w:r>
            <w:r>
              <w:rPr>
                <w:rFonts w:hint="eastAsia"/>
              </w:rPr>
              <w:t>和</w:t>
            </w:r>
            <w:r>
              <w:t>危险废物</w:t>
            </w:r>
            <w:r>
              <w:rPr>
                <w:rFonts w:hint="eastAsia"/>
                <w:szCs w:val="24"/>
              </w:rPr>
              <w:t>。</w:t>
            </w:r>
          </w:p>
          <w:p>
            <w:pPr>
              <w:pStyle w:val="45"/>
              <w:autoSpaceDE w:val="0"/>
              <w:spacing w:line="360" w:lineRule="auto"/>
              <w:ind w:firstLine="480"/>
            </w:pPr>
            <w:r>
              <w:t>1、生活垃圾</w:t>
            </w:r>
          </w:p>
          <w:p>
            <w:pPr>
              <w:pStyle w:val="45"/>
              <w:autoSpaceDE w:val="0"/>
              <w:spacing w:line="360" w:lineRule="auto"/>
              <w:ind w:firstLine="480"/>
            </w:pPr>
            <w:r>
              <w:t>职工办公生活产生的生活垃圾，按每人每日0.5kg计（项目职工</w:t>
            </w:r>
            <w:r>
              <w:rPr>
                <w:rFonts w:hint="eastAsia"/>
                <w:lang w:val="en-US" w:eastAsia="zh-CN"/>
              </w:rPr>
              <w:t>2</w:t>
            </w:r>
            <w:r>
              <w:rPr>
                <w:rFonts w:hint="eastAsia"/>
              </w:rPr>
              <w:t>5</w:t>
            </w:r>
            <w:r>
              <w:t>人），每年生活垃圾产生量</w:t>
            </w:r>
            <w:r>
              <w:rPr>
                <w:rFonts w:hint="eastAsia"/>
                <w:lang w:val="en-US" w:eastAsia="zh-CN"/>
              </w:rPr>
              <w:t>3</w:t>
            </w:r>
            <w:r>
              <w:rPr>
                <w:rFonts w:hint="eastAsia"/>
              </w:rPr>
              <w:t>.75</w:t>
            </w:r>
            <w:r>
              <w:t>t，生活垃圾实行分类袋装化，由市政环卫部门统一处理。</w:t>
            </w:r>
          </w:p>
          <w:p>
            <w:pPr>
              <w:spacing w:line="360" w:lineRule="auto"/>
              <w:ind w:left="480"/>
              <w:rPr>
                <w:sz w:val="24"/>
              </w:rPr>
            </w:pPr>
            <w:r>
              <w:rPr>
                <w:sz w:val="24"/>
                <w:lang w:bidi="ar"/>
              </w:rPr>
              <w:t>2、一般固体废物</w:t>
            </w:r>
          </w:p>
          <w:p>
            <w:pPr>
              <w:pStyle w:val="45"/>
              <w:autoSpaceDE w:val="0"/>
              <w:spacing w:line="360" w:lineRule="auto"/>
              <w:ind w:left="420" w:leftChars="200" w:firstLine="0" w:firstLineChars="0"/>
              <w:rPr>
                <w:szCs w:val="24"/>
              </w:rPr>
            </w:pPr>
            <w:r>
              <w:rPr>
                <w:szCs w:val="24"/>
              </w:rPr>
              <w:t>（1）</w:t>
            </w:r>
            <w:r>
              <w:rPr>
                <w:rFonts w:hint="eastAsia" w:ascii="宋体" w:hAnsi="宋体" w:cs="宋体"/>
                <w:szCs w:val="24"/>
              </w:rPr>
              <w:t>废边角料</w:t>
            </w:r>
          </w:p>
          <w:p>
            <w:pPr>
              <w:pStyle w:val="45"/>
              <w:autoSpaceDE w:val="0"/>
              <w:spacing w:line="360" w:lineRule="auto"/>
              <w:ind w:firstLine="480"/>
              <w:rPr>
                <w:szCs w:val="24"/>
              </w:rPr>
            </w:pPr>
            <w:r>
              <w:rPr>
                <w:szCs w:val="24"/>
              </w:rPr>
              <w:t>项目</w:t>
            </w:r>
            <w:r>
              <w:rPr>
                <w:rFonts w:ascii="宋体" w:hAnsi="宋体" w:cs="宋体"/>
                <w:szCs w:val="24"/>
              </w:rPr>
              <w:t>加工过程中</w:t>
            </w:r>
            <w:r>
              <w:rPr>
                <w:szCs w:val="24"/>
              </w:rPr>
              <w:t>会产生一定的</w:t>
            </w:r>
            <w:r>
              <w:rPr>
                <w:rFonts w:hint="eastAsia" w:ascii="宋体" w:hAnsi="宋体" w:cs="宋体"/>
                <w:szCs w:val="24"/>
              </w:rPr>
              <w:t>废边角料</w:t>
            </w:r>
            <w:r>
              <w:rPr>
                <w:szCs w:val="24"/>
              </w:rPr>
              <w:t>，</w:t>
            </w:r>
            <w:r>
              <w:rPr>
                <w:rFonts w:ascii="宋体" w:hAnsi="宋体" w:cs="宋体"/>
              </w:rPr>
              <w:t>产生物态为固态</w:t>
            </w:r>
            <w:r>
              <w:rPr>
                <w:rFonts w:hint="eastAsia" w:ascii="宋体" w:hAnsi="宋体" w:cs="宋体"/>
                <w:lang w:eastAsia="zh-CN"/>
              </w:rPr>
              <w:t>，</w:t>
            </w:r>
            <w:r>
              <w:t>依据一般固体废物分类与代码（GB/T39198-2020），</w:t>
            </w:r>
            <w:r>
              <w:rPr>
                <w:lang w:bidi="ar"/>
              </w:rPr>
              <w:t>废边角料</w:t>
            </w:r>
            <w:r>
              <w:t>固废代码为</w:t>
            </w:r>
            <w:r>
              <w:rPr>
                <w:rFonts w:hint="eastAsia"/>
              </w:rPr>
              <w:t>211-001-99</w:t>
            </w:r>
            <w:r>
              <w:rPr>
                <w:szCs w:val="24"/>
              </w:rPr>
              <w:t>，</w:t>
            </w:r>
            <w:r>
              <w:rPr>
                <w:rFonts w:hint="eastAsia"/>
              </w:rPr>
              <w:t>根据建设单位提供的材料</w:t>
            </w:r>
            <w:r>
              <w:rPr>
                <w:szCs w:val="24"/>
              </w:rPr>
              <w:t>，产生量</w:t>
            </w:r>
            <w:r>
              <w:rPr>
                <w:rFonts w:hint="eastAsia"/>
                <w:szCs w:val="24"/>
                <w:lang w:val="en-US" w:eastAsia="zh-CN"/>
              </w:rPr>
              <w:t>约</w:t>
            </w:r>
            <w:r>
              <w:rPr>
                <w:szCs w:val="24"/>
              </w:rPr>
              <w:t>为4t/a。交由物资回收部门回收。</w:t>
            </w:r>
          </w:p>
          <w:p>
            <w:pPr>
              <w:pStyle w:val="45"/>
              <w:autoSpaceDE w:val="0"/>
              <w:spacing w:line="360" w:lineRule="auto"/>
              <w:ind w:firstLine="480"/>
              <w:rPr>
                <w:szCs w:val="24"/>
              </w:rPr>
            </w:pPr>
            <w:r>
              <w:rPr>
                <w:rFonts w:hint="default" w:ascii="Times New Roman" w:hAnsi="Times New Roman" w:cs="Times New Roman"/>
                <w:color w:val="323232"/>
                <w:sz w:val="24"/>
                <w:lang w:eastAsia="zh-CN"/>
              </w:rPr>
              <w:t>（</w:t>
            </w:r>
            <w:r>
              <w:rPr>
                <w:rFonts w:hint="default" w:ascii="Times New Roman" w:hAnsi="Times New Roman" w:cs="Times New Roman"/>
                <w:color w:val="323232"/>
                <w:sz w:val="24"/>
                <w:lang w:val="en-US" w:eastAsia="zh-CN"/>
              </w:rPr>
              <w:t>2</w:t>
            </w:r>
            <w:r>
              <w:rPr>
                <w:rFonts w:hint="default" w:ascii="Times New Roman" w:hAnsi="Times New Roman" w:cs="Times New Roman"/>
                <w:color w:val="323232"/>
                <w:sz w:val="24"/>
                <w:lang w:eastAsia="zh-CN"/>
              </w:rPr>
              <w:t>）</w:t>
            </w:r>
            <w:r>
              <w:rPr>
                <w:rFonts w:hint="default" w:ascii="Times New Roman" w:hAnsi="Times New Roman" w:cs="Times New Roman"/>
                <w:color w:val="323232"/>
                <w:sz w:val="24"/>
              </w:rPr>
              <w:t>废</w:t>
            </w:r>
            <w:r>
              <w:rPr>
                <w:rFonts w:hint="default" w:ascii="Times New Roman" w:hAnsi="Times New Roman" w:eastAsia="宋体" w:cs="Times New Roman"/>
                <w:sz w:val="24"/>
                <w:szCs w:val="24"/>
              </w:rPr>
              <w:t>钢</w:t>
            </w:r>
            <w:r>
              <w:rPr>
                <w:rFonts w:ascii="宋体" w:hAnsi="宋体" w:eastAsia="宋体" w:cs="宋体"/>
                <w:sz w:val="24"/>
                <w:szCs w:val="24"/>
              </w:rPr>
              <w:t>筋边角料</w:t>
            </w:r>
          </w:p>
          <w:p>
            <w:pPr>
              <w:pStyle w:val="45"/>
              <w:autoSpaceDE w:val="0"/>
              <w:spacing w:line="360" w:lineRule="auto"/>
              <w:ind w:firstLine="480"/>
              <w:rPr>
                <w:szCs w:val="24"/>
              </w:rPr>
            </w:pPr>
            <w:r>
              <w:rPr>
                <w:szCs w:val="24"/>
              </w:rPr>
              <w:t>项目</w:t>
            </w:r>
            <w:r>
              <w:rPr>
                <w:rFonts w:hint="eastAsia"/>
                <w:szCs w:val="24"/>
                <w:lang w:val="en-US" w:eastAsia="zh-CN"/>
              </w:rPr>
              <w:t>组装</w:t>
            </w:r>
            <w:r>
              <w:rPr>
                <w:rFonts w:ascii="宋体" w:hAnsi="宋体" w:cs="宋体"/>
                <w:szCs w:val="24"/>
              </w:rPr>
              <w:t>过程中</w:t>
            </w:r>
            <w:r>
              <w:rPr>
                <w:szCs w:val="24"/>
              </w:rPr>
              <w:t>会产生一定的</w:t>
            </w:r>
            <w:r>
              <w:rPr>
                <w:rFonts w:hint="default" w:ascii="Times New Roman" w:hAnsi="Times New Roman" w:cs="Times New Roman"/>
                <w:color w:val="323232"/>
                <w:sz w:val="24"/>
              </w:rPr>
              <w:t>废</w:t>
            </w:r>
            <w:r>
              <w:rPr>
                <w:rFonts w:hint="default" w:ascii="Times New Roman" w:hAnsi="Times New Roman" w:eastAsia="宋体" w:cs="Times New Roman"/>
                <w:sz w:val="24"/>
                <w:szCs w:val="24"/>
              </w:rPr>
              <w:t>钢</w:t>
            </w:r>
            <w:r>
              <w:rPr>
                <w:rFonts w:ascii="宋体" w:hAnsi="宋体" w:eastAsia="宋体" w:cs="宋体"/>
                <w:sz w:val="24"/>
                <w:szCs w:val="24"/>
              </w:rPr>
              <w:t>筋边角料</w:t>
            </w:r>
            <w:r>
              <w:rPr>
                <w:szCs w:val="24"/>
              </w:rPr>
              <w:t>，</w:t>
            </w:r>
            <w:r>
              <w:rPr>
                <w:rFonts w:ascii="宋体" w:hAnsi="宋体" w:cs="宋体"/>
              </w:rPr>
              <w:t>产生物态为固态</w:t>
            </w:r>
            <w:r>
              <w:rPr>
                <w:rFonts w:hint="eastAsia" w:ascii="宋体" w:hAnsi="宋体" w:cs="宋体"/>
                <w:lang w:eastAsia="zh-CN"/>
              </w:rPr>
              <w:t>，</w:t>
            </w:r>
            <w:r>
              <w:t>依据一般固体废物分类与代码（GB/T39198-2020），</w:t>
            </w:r>
            <w:r>
              <w:rPr>
                <w:lang w:bidi="ar"/>
              </w:rPr>
              <w:t>废边角料</w:t>
            </w:r>
            <w:r>
              <w:t>固废代码为</w:t>
            </w:r>
            <w:r>
              <w:rPr>
                <w:rFonts w:hint="eastAsia"/>
              </w:rPr>
              <w:t>211-00</w:t>
            </w:r>
            <w:r>
              <w:rPr>
                <w:rFonts w:hint="eastAsia"/>
                <w:lang w:val="en-US" w:eastAsia="zh-CN"/>
              </w:rPr>
              <w:t>2</w:t>
            </w:r>
            <w:r>
              <w:rPr>
                <w:rFonts w:hint="eastAsia"/>
              </w:rPr>
              <w:t>-99</w:t>
            </w:r>
            <w:r>
              <w:rPr>
                <w:szCs w:val="24"/>
              </w:rPr>
              <w:t>，</w:t>
            </w:r>
            <w:r>
              <w:rPr>
                <w:rFonts w:hint="eastAsia"/>
              </w:rPr>
              <w:t>根据建设单位提供的材料</w:t>
            </w:r>
            <w:r>
              <w:rPr>
                <w:szCs w:val="24"/>
              </w:rPr>
              <w:t>，产生量</w:t>
            </w:r>
            <w:r>
              <w:rPr>
                <w:rFonts w:hint="eastAsia"/>
                <w:szCs w:val="24"/>
                <w:lang w:val="en-US" w:eastAsia="zh-CN"/>
              </w:rPr>
              <w:t>约</w:t>
            </w:r>
            <w:r>
              <w:rPr>
                <w:szCs w:val="24"/>
              </w:rPr>
              <w:t>为</w:t>
            </w:r>
            <w:r>
              <w:rPr>
                <w:rFonts w:hint="eastAsia"/>
                <w:szCs w:val="24"/>
                <w:lang w:val="en-US" w:eastAsia="zh-CN"/>
              </w:rPr>
              <w:t>1</w:t>
            </w:r>
            <w:r>
              <w:rPr>
                <w:szCs w:val="24"/>
              </w:rPr>
              <w:t>t/a。交由物资回收部门回收。</w:t>
            </w:r>
          </w:p>
          <w:p>
            <w:pPr>
              <w:pStyle w:val="45"/>
              <w:autoSpaceDE w:val="0"/>
              <w:spacing w:line="360" w:lineRule="auto"/>
              <w:ind w:firstLine="480"/>
              <w:rPr>
                <w:szCs w:val="24"/>
              </w:rPr>
            </w:pPr>
            <w:r>
              <w:rPr>
                <w:szCs w:val="24"/>
              </w:rPr>
              <w:t>（</w:t>
            </w:r>
            <w:r>
              <w:rPr>
                <w:rFonts w:hint="eastAsia"/>
                <w:szCs w:val="24"/>
                <w:lang w:val="en-US" w:eastAsia="zh-CN"/>
              </w:rPr>
              <w:t>3</w:t>
            </w:r>
            <w:r>
              <w:rPr>
                <w:szCs w:val="24"/>
              </w:rPr>
              <w:t>）除尘器收集粉尘</w:t>
            </w:r>
          </w:p>
          <w:p>
            <w:pPr>
              <w:pStyle w:val="45"/>
              <w:autoSpaceDE w:val="0"/>
              <w:spacing w:line="360" w:lineRule="auto"/>
              <w:ind w:firstLine="480"/>
              <w:rPr>
                <w:b/>
                <w:szCs w:val="24"/>
                <w:lang w:bidi="ar"/>
              </w:rPr>
            </w:pPr>
            <w:r>
              <w:rPr>
                <w:szCs w:val="24"/>
              </w:rPr>
              <w:t>来源于项目布袋除尘装置收集的粉尘，</w:t>
            </w:r>
            <w:r>
              <w:rPr>
                <w:lang w:bidi="ar"/>
              </w:rPr>
              <w:t>根据前述分析可知，本项目布袋除尘装置收集的粉尘量</w:t>
            </w:r>
            <w:r>
              <w:rPr>
                <w:rFonts w:hint="eastAsia"/>
                <w:szCs w:val="24"/>
                <w:lang w:val="en-US" w:eastAsia="zh-CN"/>
              </w:rPr>
              <w:t>约</w:t>
            </w:r>
            <w:r>
              <w:rPr>
                <w:lang w:bidi="ar"/>
              </w:rPr>
              <w:t>为</w:t>
            </w:r>
            <w:r>
              <w:rPr>
                <w:rFonts w:hint="eastAsia"/>
                <w:lang w:val="en-US" w:eastAsia="zh-CN" w:bidi="ar"/>
              </w:rPr>
              <w:t>2.26</w:t>
            </w:r>
            <w:r>
              <w:rPr>
                <w:lang w:bidi="ar"/>
              </w:rPr>
              <w:t>t/a</w:t>
            </w:r>
            <w:r>
              <w:rPr>
                <w:rFonts w:hint="eastAsia"/>
                <w:lang w:bidi="ar"/>
              </w:rPr>
              <w:t>，</w:t>
            </w:r>
            <w:r>
              <w:rPr>
                <w:rFonts w:ascii="宋体" w:hAnsi="宋体" w:cs="宋体"/>
              </w:rPr>
              <w:t>产生物态为固态</w:t>
            </w:r>
            <w:r>
              <w:rPr>
                <w:rFonts w:hint="eastAsia" w:ascii="宋体" w:hAnsi="宋体" w:cs="宋体"/>
              </w:rPr>
              <w:t>，</w:t>
            </w:r>
            <w:r>
              <w:t>依据一般固体废物分类与代码（GB/T39198-2020），</w:t>
            </w:r>
            <w:r>
              <w:rPr>
                <w:lang w:bidi="ar"/>
              </w:rPr>
              <w:t>除尘器收集的粉尘</w:t>
            </w:r>
            <w:r>
              <w:t>固废代码为</w:t>
            </w:r>
            <w:r>
              <w:rPr>
                <w:rFonts w:hint="eastAsia"/>
              </w:rPr>
              <w:t>211-00</w:t>
            </w:r>
            <w:r>
              <w:rPr>
                <w:rFonts w:hint="eastAsia"/>
                <w:lang w:val="en-US" w:eastAsia="zh-CN"/>
              </w:rPr>
              <w:t>3</w:t>
            </w:r>
            <w:r>
              <w:rPr>
                <w:rFonts w:hint="eastAsia"/>
              </w:rPr>
              <w:t>-66</w:t>
            </w:r>
            <w:r>
              <w:rPr>
                <w:lang w:bidi="ar"/>
              </w:rPr>
              <w:t>。</w:t>
            </w:r>
            <w:r>
              <w:rPr>
                <w:szCs w:val="24"/>
              </w:rPr>
              <w:t>项目除尘装置收集的粉尘，实行分类袋装化，由市政环卫部门统一处理。</w:t>
            </w:r>
          </w:p>
          <w:p>
            <w:pPr>
              <w:numPr>
                <w:ilvl w:val="0"/>
                <w:numId w:val="7"/>
              </w:numPr>
              <w:spacing w:line="360" w:lineRule="auto"/>
              <w:ind w:firstLine="480" w:firstLineChars="200"/>
              <w:rPr>
                <w:sz w:val="24"/>
                <w:lang w:bidi="ar"/>
              </w:rPr>
            </w:pPr>
            <w:r>
              <w:rPr>
                <w:sz w:val="24"/>
                <w:lang w:bidi="ar"/>
              </w:rPr>
              <w:t>危险废物</w:t>
            </w:r>
          </w:p>
          <w:p>
            <w:pPr>
              <w:numPr>
                <w:ilvl w:val="0"/>
                <w:numId w:val="8"/>
              </w:numPr>
              <w:spacing w:line="360" w:lineRule="auto"/>
              <w:ind w:firstLine="480" w:firstLineChars="200"/>
              <w:rPr>
                <w:sz w:val="24"/>
                <w:lang w:bidi="ar"/>
              </w:rPr>
            </w:pPr>
            <w:r>
              <w:rPr>
                <w:sz w:val="24"/>
                <w:lang w:bidi="ar"/>
              </w:rPr>
              <w:t>废过滤棉</w:t>
            </w:r>
          </w:p>
          <w:p>
            <w:pPr>
              <w:spacing w:line="360" w:lineRule="auto"/>
              <w:ind w:firstLine="480" w:firstLineChars="200"/>
              <w:rPr>
                <w:kern w:val="0"/>
                <w:sz w:val="24"/>
              </w:rPr>
            </w:pPr>
            <w:r>
              <w:rPr>
                <w:rFonts w:hint="eastAsia"/>
                <w:sz w:val="24"/>
                <w:lang w:bidi="ar"/>
              </w:rPr>
              <w:t>项目在处理漆雾时采用过滤棉吸附的方式去除，</w:t>
            </w:r>
            <w:r>
              <w:rPr>
                <w:rFonts w:ascii="宋体" w:hAnsi="宋体" w:cs="宋体"/>
                <w:sz w:val="24"/>
                <w:szCs w:val="24"/>
              </w:rPr>
              <w:t>物理性状为固态</w:t>
            </w:r>
            <w:r>
              <w:rPr>
                <w:rFonts w:hint="eastAsia" w:ascii="宋体" w:hAnsi="宋体" w:cs="宋体"/>
                <w:sz w:val="24"/>
                <w:szCs w:val="24"/>
                <w:lang w:eastAsia="zh-CN"/>
              </w:rPr>
              <w:t>，</w:t>
            </w:r>
            <w:r>
              <w:rPr>
                <w:rFonts w:hint="eastAsia"/>
                <w:sz w:val="24"/>
                <w:szCs w:val="24"/>
                <w:lang w:bidi="ar"/>
              </w:rPr>
              <w:t>过滤</w:t>
            </w:r>
            <w:r>
              <w:rPr>
                <w:rFonts w:hint="eastAsia"/>
                <w:sz w:val="24"/>
                <w:lang w:bidi="ar"/>
              </w:rPr>
              <w:t>棉使用量</w:t>
            </w:r>
            <w:r>
              <w:rPr>
                <w:rFonts w:hint="eastAsia"/>
                <w:sz w:val="24"/>
                <w:lang w:val="en-US" w:eastAsia="zh-CN" w:bidi="ar"/>
              </w:rPr>
              <w:t>约</w:t>
            </w:r>
            <w:r>
              <w:rPr>
                <w:rFonts w:hint="eastAsia"/>
                <w:sz w:val="24"/>
                <w:lang w:bidi="ar"/>
              </w:rPr>
              <w:t>为0.</w:t>
            </w:r>
            <w:r>
              <w:rPr>
                <w:rFonts w:hint="eastAsia"/>
                <w:sz w:val="24"/>
                <w:lang w:val="en-US" w:eastAsia="zh-CN" w:bidi="ar"/>
              </w:rPr>
              <w:t>3</w:t>
            </w:r>
            <w:r>
              <w:rPr>
                <w:rFonts w:hint="eastAsia"/>
                <w:sz w:val="24"/>
                <w:lang w:bidi="ar"/>
              </w:rPr>
              <w:t>t/a，吸附的漆雾重量为0.</w:t>
            </w:r>
            <w:r>
              <w:rPr>
                <w:rFonts w:hint="eastAsia"/>
                <w:sz w:val="24"/>
                <w:lang w:val="en-US" w:eastAsia="zh-CN" w:bidi="ar"/>
              </w:rPr>
              <w:t>153</w:t>
            </w:r>
            <w:r>
              <w:rPr>
                <w:rFonts w:hint="eastAsia"/>
                <w:sz w:val="24"/>
                <w:lang w:bidi="ar"/>
              </w:rPr>
              <w:t>t/a，过滤棉每年更换一次，则每年废过滤棉产生</w:t>
            </w:r>
            <w:r>
              <w:rPr>
                <w:rFonts w:hint="eastAsia" w:ascii="Times New Roman" w:hAnsi="Times New Roman" w:cs="Times New Roman"/>
                <w:sz w:val="24"/>
                <w:lang w:bidi="ar"/>
              </w:rPr>
              <w:t>量</w:t>
            </w:r>
            <w:r>
              <w:rPr>
                <w:rFonts w:hint="eastAsia" w:ascii="Times New Roman" w:hAnsi="Times New Roman" w:cs="Times New Roman"/>
                <w:sz w:val="24"/>
                <w:lang w:val="en-US" w:eastAsia="zh-CN" w:bidi="ar"/>
              </w:rPr>
              <w:t>约</w:t>
            </w:r>
            <w:r>
              <w:rPr>
                <w:rFonts w:hint="eastAsia"/>
                <w:sz w:val="24"/>
                <w:lang w:bidi="ar"/>
              </w:rPr>
              <w:t>为0.</w:t>
            </w:r>
            <w:r>
              <w:rPr>
                <w:rFonts w:hint="eastAsia"/>
                <w:sz w:val="24"/>
                <w:lang w:val="en-US" w:eastAsia="zh-CN" w:bidi="ar"/>
              </w:rPr>
              <w:t>453</w:t>
            </w:r>
            <w:r>
              <w:rPr>
                <w:rFonts w:hint="eastAsia"/>
                <w:sz w:val="24"/>
                <w:lang w:bidi="ar"/>
              </w:rPr>
              <w:t>t。废过滤棉属于危险废物</w:t>
            </w:r>
            <w:r>
              <w:rPr>
                <w:bCs/>
                <w:sz w:val="24"/>
              </w:rPr>
              <w:t>（HW49-900-0</w:t>
            </w:r>
            <w:r>
              <w:rPr>
                <w:rFonts w:hint="eastAsia"/>
                <w:bCs/>
                <w:sz w:val="24"/>
              </w:rPr>
              <w:t>41</w:t>
            </w:r>
            <w:r>
              <w:rPr>
                <w:bCs/>
                <w:sz w:val="24"/>
              </w:rPr>
              <w:t>-49）</w:t>
            </w:r>
            <w:r>
              <w:rPr>
                <w:rFonts w:hint="eastAsia"/>
                <w:sz w:val="24"/>
                <w:lang w:bidi="ar"/>
              </w:rPr>
              <w:t>，</w:t>
            </w:r>
            <w:r>
              <w:rPr>
                <w:bCs/>
                <w:sz w:val="24"/>
              </w:rPr>
              <w:t>收集后暂存于危险废物暂存库内，由有资质单位进行处理</w:t>
            </w:r>
            <w:r>
              <w:rPr>
                <w:rFonts w:hint="eastAsia"/>
                <w:sz w:val="24"/>
                <w:lang w:bidi="ar"/>
              </w:rPr>
              <w:t>。</w:t>
            </w:r>
          </w:p>
          <w:p>
            <w:pPr>
              <w:pStyle w:val="45"/>
              <w:autoSpaceDE w:val="0"/>
              <w:spacing w:line="360" w:lineRule="auto"/>
              <w:ind w:firstLine="480"/>
              <w:rPr>
                <w:szCs w:val="24"/>
                <w:lang w:bidi="ar"/>
              </w:rPr>
            </w:pPr>
            <w:r>
              <w:rPr>
                <w:rFonts w:hint="eastAsia"/>
                <w:szCs w:val="24"/>
                <w:lang w:bidi="ar"/>
              </w:rPr>
              <w:t>（2）废活性炭</w:t>
            </w:r>
          </w:p>
          <w:p>
            <w:pPr>
              <w:pStyle w:val="45"/>
              <w:autoSpaceDE w:val="0"/>
              <w:spacing w:line="360" w:lineRule="auto"/>
              <w:ind w:firstLine="480"/>
              <w:rPr>
                <w:szCs w:val="24"/>
                <w:lang w:bidi="ar"/>
              </w:rPr>
            </w:pPr>
            <w:r>
              <w:rPr>
                <w:bCs/>
                <w:szCs w:val="24"/>
              </w:rPr>
              <w:t>根据工程分析，则经由活性碳处理的</w:t>
            </w:r>
            <w:r>
              <w:rPr>
                <w:rFonts w:hint="eastAsia"/>
                <w:bCs/>
                <w:szCs w:val="24"/>
              </w:rPr>
              <w:t>有机</w:t>
            </w:r>
            <w:r>
              <w:rPr>
                <w:bCs/>
                <w:szCs w:val="24"/>
              </w:rPr>
              <w:t>废气量约</w:t>
            </w:r>
            <w:r>
              <w:rPr>
                <w:rFonts w:hint="eastAsia"/>
                <w:bCs/>
                <w:szCs w:val="24"/>
              </w:rPr>
              <w:t>0.</w:t>
            </w:r>
            <w:r>
              <w:rPr>
                <w:rFonts w:hint="eastAsia"/>
                <w:bCs/>
                <w:szCs w:val="24"/>
                <w:lang w:val="en-US" w:eastAsia="zh-CN"/>
              </w:rPr>
              <w:t>647</w:t>
            </w:r>
            <w:r>
              <w:rPr>
                <w:bCs/>
                <w:szCs w:val="24"/>
              </w:rPr>
              <w:t>t/a，活性炭吸附能力约为0.</w:t>
            </w:r>
            <w:r>
              <w:rPr>
                <w:rFonts w:hint="eastAsia"/>
                <w:bCs/>
                <w:szCs w:val="24"/>
              </w:rPr>
              <w:t>3</w:t>
            </w:r>
            <w:r>
              <w:rPr>
                <w:bCs/>
                <w:szCs w:val="24"/>
              </w:rPr>
              <w:t>t（</w:t>
            </w:r>
            <w:r>
              <w:rPr>
                <w:rFonts w:hint="eastAsia"/>
                <w:bCs/>
                <w:szCs w:val="24"/>
              </w:rPr>
              <w:t>废气</w:t>
            </w:r>
            <w:r>
              <w:rPr>
                <w:bCs/>
                <w:szCs w:val="24"/>
              </w:rPr>
              <w:t>）/t（活性炭），使用的活性炭的量</w:t>
            </w:r>
            <w:r>
              <w:rPr>
                <w:rFonts w:hint="eastAsia"/>
                <w:bCs/>
                <w:szCs w:val="24"/>
                <w:lang w:val="en-US" w:eastAsia="zh-CN"/>
              </w:rPr>
              <w:t>2.16</w:t>
            </w:r>
            <w:r>
              <w:rPr>
                <w:bCs/>
                <w:szCs w:val="24"/>
              </w:rPr>
              <w:t>t/a，废活性炭的产生总量约为</w:t>
            </w:r>
            <w:r>
              <w:rPr>
                <w:rFonts w:hint="eastAsia"/>
                <w:bCs/>
                <w:szCs w:val="24"/>
                <w:lang w:val="en-US" w:eastAsia="zh-CN"/>
              </w:rPr>
              <w:t>2.81</w:t>
            </w:r>
            <w:r>
              <w:rPr>
                <w:bCs/>
                <w:szCs w:val="24"/>
              </w:rPr>
              <w:t>t/a，活性炭</w:t>
            </w:r>
            <w:r>
              <w:rPr>
                <w:rFonts w:hint="eastAsia"/>
                <w:bCs/>
                <w:szCs w:val="24"/>
              </w:rPr>
              <w:t>每半年</w:t>
            </w:r>
            <w:r>
              <w:rPr>
                <w:bCs/>
                <w:szCs w:val="24"/>
              </w:rPr>
              <w:t>更换一次，属于危险废物（HW49-900-0</w:t>
            </w:r>
            <w:r>
              <w:rPr>
                <w:rFonts w:hint="eastAsia"/>
                <w:bCs/>
                <w:szCs w:val="24"/>
              </w:rPr>
              <w:t>39</w:t>
            </w:r>
            <w:r>
              <w:rPr>
                <w:bCs/>
                <w:szCs w:val="24"/>
              </w:rPr>
              <w:t>-49），经收集后暂存于危险废物暂存库内，由有资质单位进行处理</w:t>
            </w:r>
            <w:r>
              <w:rPr>
                <w:rFonts w:hint="eastAsia"/>
                <w:szCs w:val="24"/>
                <w:lang w:bidi="ar"/>
              </w:rPr>
              <w:t>。</w:t>
            </w:r>
          </w:p>
          <w:p>
            <w:pPr>
              <w:spacing w:line="360" w:lineRule="auto"/>
              <w:ind w:firstLine="480" w:firstLineChars="200"/>
              <w:rPr>
                <w:sz w:val="24"/>
                <w:szCs w:val="24"/>
                <w:lang w:bidi="ar"/>
              </w:rPr>
            </w:pPr>
            <w:r>
              <w:rPr>
                <w:rFonts w:hint="eastAsia"/>
                <w:sz w:val="24"/>
                <w:lang w:bidi="ar"/>
              </w:rPr>
              <w:t>（3）</w:t>
            </w:r>
            <w:r>
              <w:rPr>
                <w:sz w:val="24"/>
                <w:szCs w:val="24"/>
                <w:lang w:bidi="ar"/>
              </w:rPr>
              <w:t>废包装桶</w:t>
            </w:r>
          </w:p>
          <w:p>
            <w:pPr>
              <w:autoSpaceDE w:val="0"/>
              <w:autoSpaceDN w:val="0"/>
              <w:adjustRightInd w:val="0"/>
              <w:spacing w:line="360" w:lineRule="auto"/>
              <w:ind w:firstLine="480" w:firstLineChars="200"/>
              <w:rPr>
                <w:sz w:val="24"/>
                <w:szCs w:val="24"/>
              </w:rPr>
            </w:pPr>
            <w:r>
              <w:rPr>
                <w:sz w:val="24"/>
                <w:szCs w:val="24"/>
                <w:lang w:bidi="ar"/>
              </w:rPr>
              <w:t>项目使用油漆、稀释剂</w:t>
            </w:r>
            <w:r>
              <w:rPr>
                <w:bCs/>
                <w:sz w:val="24"/>
                <w:szCs w:val="24"/>
              </w:rPr>
              <w:t>、</w:t>
            </w:r>
            <w:r>
              <w:rPr>
                <w:sz w:val="24"/>
                <w:szCs w:val="24"/>
                <w:lang w:bidi="ar"/>
              </w:rPr>
              <w:t>固化剂会产生废弃的包装桶，根据企业提供的资料，废包装桶的产生量为0.</w:t>
            </w:r>
            <w:r>
              <w:rPr>
                <w:rFonts w:hint="eastAsia"/>
                <w:sz w:val="24"/>
                <w:szCs w:val="24"/>
                <w:lang w:val="en-US" w:eastAsia="zh-CN" w:bidi="ar"/>
              </w:rPr>
              <w:t>5</w:t>
            </w:r>
            <w:r>
              <w:rPr>
                <w:sz w:val="24"/>
                <w:szCs w:val="24"/>
                <w:lang w:bidi="ar"/>
              </w:rPr>
              <w:t>t/a</w:t>
            </w:r>
            <w:r>
              <w:rPr>
                <w:rFonts w:hint="eastAsia"/>
                <w:sz w:val="24"/>
                <w:szCs w:val="24"/>
                <w:lang w:bidi="ar"/>
              </w:rPr>
              <w:t>，</w:t>
            </w:r>
            <w:r>
              <w:rPr>
                <w:rFonts w:ascii="宋体" w:hAnsi="宋体" w:cs="宋体"/>
                <w:sz w:val="24"/>
                <w:szCs w:val="24"/>
              </w:rPr>
              <w:t>物理性状为固态</w:t>
            </w:r>
            <w:r>
              <w:rPr>
                <w:sz w:val="24"/>
                <w:szCs w:val="24"/>
                <w:lang w:bidi="ar"/>
              </w:rPr>
              <w:t>。根据《国家危险废物名录》</w:t>
            </w:r>
            <w:r>
              <w:rPr>
                <w:sz w:val="24"/>
                <w:szCs w:val="24"/>
              </w:rPr>
              <w:t>（2021年版）</w:t>
            </w:r>
            <w:r>
              <w:rPr>
                <w:sz w:val="24"/>
                <w:szCs w:val="24"/>
                <w:lang w:bidi="ar"/>
              </w:rPr>
              <w:t>，废包装桶属于危险废物，废物类别为HW</w:t>
            </w:r>
            <w:r>
              <w:rPr>
                <w:rFonts w:hint="eastAsia"/>
                <w:sz w:val="24"/>
                <w:szCs w:val="24"/>
                <w:lang w:bidi="ar"/>
              </w:rPr>
              <w:t>49</w:t>
            </w:r>
            <w:r>
              <w:rPr>
                <w:sz w:val="24"/>
                <w:szCs w:val="24"/>
                <w:lang w:bidi="ar"/>
              </w:rPr>
              <w:t>，废物代码为</w:t>
            </w:r>
            <w:r>
              <w:rPr>
                <w:sz w:val="24"/>
                <w:szCs w:val="24"/>
              </w:rPr>
              <w:t>900-041-49</w:t>
            </w:r>
            <w:r>
              <w:rPr>
                <w:sz w:val="24"/>
                <w:szCs w:val="24"/>
                <w:lang w:bidi="ar"/>
              </w:rPr>
              <w:t>。为控制含有或直接沾染危险废物的包装物、容器在运输过程中可能发生的环境风险，应当按照危险废物的有关规定和要求对其贮存、运输等环节进行环境监管，经收集后密封处理，防止泄露，</w:t>
            </w:r>
            <w:r>
              <w:rPr>
                <w:sz w:val="24"/>
                <w:szCs w:val="24"/>
              </w:rPr>
              <w:t>定期交由有资质的单位进行处理。</w:t>
            </w:r>
          </w:p>
          <w:p>
            <w:pPr>
              <w:spacing w:line="360" w:lineRule="auto"/>
              <w:ind w:firstLine="480" w:firstLineChars="200"/>
              <w:rPr>
                <w:sz w:val="24"/>
                <w:lang w:bidi="ar"/>
              </w:rPr>
            </w:pPr>
            <w:r>
              <w:rPr>
                <w:rFonts w:hint="eastAsia"/>
                <w:sz w:val="24"/>
                <w:lang w:bidi="ar"/>
              </w:rPr>
              <w:t>（</w:t>
            </w:r>
            <w:r>
              <w:rPr>
                <w:rFonts w:hint="eastAsia"/>
                <w:sz w:val="24"/>
                <w:lang w:val="en-US" w:eastAsia="zh-CN" w:bidi="ar"/>
              </w:rPr>
              <w:t>4</w:t>
            </w:r>
            <w:r>
              <w:rPr>
                <w:rFonts w:hint="eastAsia"/>
                <w:sz w:val="24"/>
                <w:lang w:bidi="ar"/>
              </w:rPr>
              <w:t>）</w:t>
            </w:r>
            <w:r>
              <w:rPr>
                <w:rFonts w:ascii="宋体" w:hAnsi="宋体" w:cs="宋体"/>
                <w:sz w:val="24"/>
              </w:rPr>
              <w:t>漆渣</w:t>
            </w:r>
          </w:p>
          <w:p>
            <w:pPr>
              <w:pStyle w:val="9"/>
              <w:spacing w:line="360" w:lineRule="auto"/>
              <w:ind w:firstLine="480"/>
              <w:rPr>
                <w:sz w:val="24"/>
                <w:szCs w:val="24"/>
              </w:rPr>
            </w:pPr>
            <w:r>
              <w:rPr>
                <w:sz w:val="24"/>
                <w:szCs w:val="24"/>
              </w:rPr>
              <w:t>根据工程分析可知，漆渣产生量</w:t>
            </w:r>
            <w:r>
              <w:rPr>
                <w:rFonts w:hint="eastAsia"/>
                <w:sz w:val="24"/>
                <w:szCs w:val="24"/>
                <w:lang w:val="en-US" w:eastAsia="zh-CN"/>
              </w:rPr>
              <w:t>约</w:t>
            </w:r>
            <w:r>
              <w:rPr>
                <w:sz w:val="24"/>
                <w:szCs w:val="24"/>
              </w:rPr>
              <w:t>为0.</w:t>
            </w:r>
            <w:r>
              <w:rPr>
                <w:rFonts w:hint="eastAsia"/>
                <w:sz w:val="24"/>
                <w:szCs w:val="24"/>
                <w:lang w:val="en-US" w:eastAsia="zh-CN"/>
              </w:rPr>
              <w:t>07</w:t>
            </w:r>
            <w:r>
              <w:rPr>
                <w:sz w:val="24"/>
                <w:szCs w:val="24"/>
              </w:rPr>
              <w:t>t/a</w:t>
            </w:r>
            <w:r>
              <w:rPr>
                <w:rFonts w:hint="eastAsia"/>
                <w:sz w:val="24"/>
                <w:szCs w:val="24"/>
              </w:rPr>
              <w:t>，</w:t>
            </w:r>
            <w:r>
              <w:rPr>
                <w:rFonts w:ascii="宋体" w:hAnsi="宋体" w:cs="宋体"/>
                <w:sz w:val="24"/>
                <w:szCs w:val="24"/>
              </w:rPr>
              <w:t>物理性状为固态</w:t>
            </w:r>
            <w:r>
              <w:rPr>
                <w:rFonts w:hint="eastAsia" w:ascii="宋体" w:hAnsi="宋体" w:cs="宋体"/>
                <w:sz w:val="24"/>
                <w:szCs w:val="24"/>
              </w:rPr>
              <w:t>，</w:t>
            </w:r>
            <w:r>
              <w:rPr>
                <w:sz w:val="24"/>
                <w:szCs w:val="24"/>
                <w:lang w:bidi="ar"/>
              </w:rPr>
              <w:t>根据《国家危险废物名录》</w:t>
            </w:r>
            <w:r>
              <w:rPr>
                <w:sz w:val="24"/>
                <w:szCs w:val="24"/>
              </w:rPr>
              <w:t>（2021年版）</w:t>
            </w:r>
            <w:r>
              <w:rPr>
                <w:sz w:val="24"/>
                <w:szCs w:val="24"/>
                <w:lang w:bidi="ar"/>
              </w:rPr>
              <w:t>，</w:t>
            </w:r>
            <w:r>
              <w:rPr>
                <w:rFonts w:hint="eastAsia"/>
                <w:sz w:val="24"/>
                <w:szCs w:val="24"/>
              </w:rPr>
              <w:t>漆渣</w:t>
            </w:r>
            <w:r>
              <w:rPr>
                <w:sz w:val="24"/>
                <w:szCs w:val="24"/>
                <w:lang w:bidi="ar"/>
              </w:rPr>
              <w:t>属于危险废物</w:t>
            </w:r>
            <w:r>
              <w:rPr>
                <w:rFonts w:hint="eastAsia"/>
                <w:sz w:val="24"/>
                <w:szCs w:val="24"/>
              </w:rPr>
              <w:t>，废物类别HW12，废物代码900-299-12，经收集后放入专用的储存桶内暂存于危险废物暂存库内，由有资质单位进行处理。</w:t>
            </w:r>
          </w:p>
          <w:p>
            <w:pPr>
              <w:pStyle w:val="9"/>
              <w:spacing w:line="360" w:lineRule="auto"/>
              <w:ind w:firstLine="480"/>
            </w:pPr>
            <w:r>
              <w:rPr>
                <w:sz w:val="24"/>
              </w:rPr>
              <w:t>本项目固体废物产生及排放情况见下表：</w:t>
            </w:r>
          </w:p>
          <w:p>
            <w:pPr>
              <w:jc w:val="center"/>
              <w:rPr>
                <w:b/>
                <w:sz w:val="24"/>
              </w:rPr>
            </w:pPr>
            <w:r>
              <w:rPr>
                <w:b/>
                <w:sz w:val="24"/>
                <w:lang w:bidi="ar"/>
              </w:rPr>
              <w:t>表4-1</w:t>
            </w:r>
            <w:r>
              <w:rPr>
                <w:rFonts w:hint="eastAsia"/>
                <w:b/>
                <w:sz w:val="24"/>
                <w:lang w:bidi="ar"/>
              </w:rPr>
              <w:t>4</w:t>
            </w:r>
            <w:r>
              <w:rPr>
                <w:b/>
                <w:sz w:val="24"/>
                <w:lang w:bidi="ar"/>
              </w:rPr>
              <w:t xml:space="preserve">  固体废物产生情况一览表</w:t>
            </w:r>
          </w:p>
          <w:tbl>
            <w:tblPr>
              <w:tblStyle w:val="22"/>
              <w:tblW w:w="7937" w:type="dxa"/>
              <w:jc w:val="center"/>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57"/>
              <w:gridCol w:w="788"/>
              <w:gridCol w:w="788"/>
              <w:gridCol w:w="741"/>
              <w:gridCol w:w="810"/>
              <w:gridCol w:w="615"/>
              <w:gridCol w:w="1108"/>
              <w:gridCol w:w="923"/>
              <w:gridCol w:w="968"/>
              <w:gridCol w:w="83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357"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b/>
                      <w:szCs w:val="21"/>
                      <w:lang w:bidi="ar"/>
                    </w:rPr>
                    <w:t>序号</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b/>
                      <w:szCs w:val="21"/>
                      <w:lang w:bidi="ar"/>
                    </w:rPr>
                    <w:t>名称</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lang w:bidi="ar"/>
                    </w:rPr>
                  </w:pPr>
                  <w:r>
                    <w:rPr>
                      <w:b/>
                      <w:szCs w:val="21"/>
                      <w:lang w:bidi="ar"/>
                    </w:rPr>
                    <w:t>固废代码</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b/>
                      <w:szCs w:val="21"/>
                      <w:lang w:bidi="ar"/>
                    </w:rPr>
                    <w:t>固废类别</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b/>
                      <w:szCs w:val="21"/>
                      <w:lang w:bidi="ar"/>
                    </w:rPr>
                    <w:t>来源</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b/>
                      <w:szCs w:val="21"/>
                      <w:lang w:bidi="ar"/>
                    </w:rPr>
                    <w:t>状态</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b/>
                      <w:szCs w:val="21"/>
                      <w:lang w:bidi="ar"/>
                    </w:rPr>
                    <w:t>存放地点</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b/>
                      <w:szCs w:val="21"/>
                      <w:lang w:bidi="ar"/>
                    </w:rPr>
                    <w:t>产生量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b/>
                      <w:szCs w:val="21"/>
                      <w:lang w:bidi="ar"/>
                    </w:rPr>
                    <w:t>处置方式</w:t>
                  </w:r>
                </w:p>
              </w:tc>
              <w:tc>
                <w:tcPr>
                  <w:tcW w:w="839" w:type="dxa"/>
                  <w:tcBorders>
                    <w:top w:val="single" w:color="auto" w:sz="4" w:space="0"/>
                    <w:left w:val="nil"/>
                    <w:bottom w:val="single" w:color="auto" w:sz="4" w:space="0"/>
                    <w:right w:val="single" w:color="auto" w:sz="4" w:space="0"/>
                  </w:tcBorders>
                  <w:vAlign w:val="center"/>
                </w:tcPr>
                <w:p>
                  <w:pPr>
                    <w:jc w:val="center"/>
                    <w:outlineLvl w:val="0"/>
                    <w:rPr>
                      <w:b/>
                      <w:szCs w:val="21"/>
                    </w:rPr>
                  </w:pPr>
                  <w:r>
                    <w:rPr>
                      <w:b/>
                      <w:szCs w:val="21"/>
                      <w:lang w:bidi="ar"/>
                    </w:rPr>
                    <w:t>排放量（t/a）</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57"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lang w:bidi="ar"/>
                    </w:rPr>
                    <w:t>1</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outlineLvl w:val="0"/>
                    <w:rPr>
                      <w:kern w:val="0"/>
                      <w:szCs w:val="21"/>
                    </w:rPr>
                  </w:pPr>
                  <w:r>
                    <w:rPr>
                      <w:szCs w:val="21"/>
                      <w:lang w:bidi="ar"/>
                    </w:rPr>
                    <w:t>生活垃圾</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szCs w:val="21"/>
                      <w:lang w:bidi="ar"/>
                    </w:rPr>
                    <w:t>/</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lang w:bidi="ar"/>
                    </w:rPr>
                    <w:t>/</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lang w:bidi="ar"/>
                    </w:rPr>
                    <w:t>员工生活</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lang w:bidi="ar"/>
                    </w:rPr>
                    <w:t>固态</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lang w:bidi="ar"/>
                    </w:rPr>
                    <w:t>垃圾桶</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val="en-US" w:eastAsia="zh-CN" w:bidi="ar"/>
                    </w:rPr>
                    <w:t>3</w:t>
                  </w:r>
                  <w:r>
                    <w:rPr>
                      <w:rFonts w:hint="eastAsia"/>
                      <w:szCs w:val="21"/>
                      <w:lang w:bidi="ar"/>
                    </w:rPr>
                    <w:t>.75</w:t>
                  </w:r>
                  <w:r>
                    <w:rPr>
                      <w:szCs w:val="21"/>
                      <w:lang w:bidi="ar"/>
                    </w:rPr>
                    <w:t>t/a</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lang w:bidi="ar"/>
                    </w:rPr>
                    <w:t>环卫部门清运</w:t>
                  </w:r>
                </w:p>
              </w:tc>
              <w:tc>
                <w:tcPr>
                  <w:tcW w:w="839" w:type="dxa"/>
                  <w:tcBorders>
                    <w:top w:val="single" w:color="auto" w:sz="4" w:space="0"/>
                    <w:left w:val="nil"/>
                    <w:bottom w:val="single" w:color="auto" w:sz="4" w:space="0"/>
                    <w:right w:val="single" w:color="auto" w:sz="4" w:space="0"/>
                  </w:tcBorders>
                  <w:vAlign w:val="center"/>
                </w:tcPr>
                <w:p>
                  <w:pPr>
                    <w:jc w:val="center"/>
                    <w:outlineLvl w:val="0"/>
                    <w:rPr>
                      <w:szCs w:val="21"/>
                    </w:rPr>
                  </w:pPr>
                  <w:r>
                    <w:rPr>
                      <w:szCs w:val="21"/>
                      <w:lang w:bidi="ar"/>
                    </w:rPr>
                    <w:t>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357"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2</w:t>
                  </w:r>
                </w:p>
              </w:tc>
              <w:tc>
                <w:tcPr>
                  <w:tcW w:w="788"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rFonts w:hint="eastAsia" w:ascii="宋体" w:hAnsi="宋体" w:cs="宋体"/>
                      <w:szCs w:val="21"/>
                    </w:rPr>
                    <w:t>废</w:t>
                  </w:r>
                  <w:r>
                    <w:rPr>
                      <w:rFonts w:ascii="宋体" w:hAnsi="宋体" w:cs="宋体"/>
                      <w:szCs w:val="21"/>
                    </w:rPr>
                    <w:t>边角料</w:t>
                  </w:r>
                </w:p>
              </w:tc>
              <w:tc>
                <w:tcPr>
                  <w:tcW w:w="788"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宋体" w:hAnsi="宋体" w:eastAsia="宋体" w:cs="宋体"/>
                      <w:sz w:val="21"/>
                      <w:szCs w:val="21"/>
                      <w:lang w:val="en-US" w:eastAsia="zh-CN"/>
                    </w:rPr>
                  </w:pPr>
                  <w:r>
                    <w:rPr>
                      <w:rFonts w:hint="eastAsia"/>
                      <w:sz w:val="21"/>
                      <w:szCs w:val="21"/>
                      <w:lang w:val="en-US" w:eastAsia="zh-CN" w:bidi="ar"/>
                    </w:rPr>
                    <w:t>211</w:t>
                  </w:r>
                  <w:r>
                    <w:rPr>
                      <w:rFonts w:hint="eastAsia"/>
                      <w:sz w:val="21"/>
                      <w:szCs w:val="21"/>
                      <w:lang w:bidi="ar"/>
                    </w:rPr>
                    <w:t>-001-</w:t>
                  </w:r>
                  <w:r>
                    <w:rPr>
                      <w:rFonts w:hint="eastAsia"/>
                      <w:sz w:val="21"/>
                      <w:szCs w:val="21"/>
                      <w:lang w:val="en-US" w:eastAsia="zh-CN" w:bidi="ar"/>
                    </w:rPr>
                    <w:t>99</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pPr>
                  <w:r>
                    <w:t>一般固废</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生产</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固态</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一般固废暂存点</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rFonts w:hint="eastAsia"/>
                      <w:szCs w:val="21"/>
                      <w:lang w:bidi="ar"/>
                    </w:rPr>
                    <w:t>4</w:t>
                  </w:r>
                  <w:r>
                    <w:rPr>
                      <w:szCs w:val="21"/>
                      <w:lang w:bidi="ar"/>
                    </w:rPr>
                    <w:t>t/a</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szCs w:val="21"/>
                      <w:lang w:bidi="ar"/>
                    </w:rPr>
                    <w:t>外售物资回收部门</w:t>
                  </w:r>
                </w:p>
              </w:tc>
              <w:tc>
                <w:tcPr>
                  <w:tcW w:w="839" w:type="dxa"/>
                  <w:tcBorders>
                    <w:top w:val="single" w:color="auto" w:sz="4" w:space="0"/>
                    <w:left w:val="nil"/>
                    <w:bottom w:val="single" w:color="auto" w:sz="4" w:space="0"/>
                    <w:right w:val="single" w:color="auto" w:sz="4" w:space="0"/>
                  </w:tcBorders>
                  <w:vAlign w:val="center"/>
                </w:tcPr>
                <w:p>
                  <w:pPr>
                    <w:jc w:val="center"/>
                    <w:outlineLvl w:val="0"/>
                    <w:rPr>
                      <w:szCs w:val="21"/>
                      <w:lang w:bidi="ar"/>
                    </w:rPr>
                  </w:pPr>
                  <w:r>
                    <w:rPr>
                      <w:szCs w:val="21"/>
                      <w:lang w:bidi="ar"/>
                    </w:rPr>
                    <w:t>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57"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eastAsia="宋体"/>
                      <w:szCs w:val="21"/>
                      <w:lang w:val="en-US" w:eastAsia="zh-CN" w:bidi="ar"/>
                    </w:rPr>
                  </w:pPr>
                  <w:r>
                    <w:rPr>
                      <w:rFonts w:hint="eastAsia"/>
                      <w:szCs w:val="21"/>
                      <w:lang w:val="en-US" w:eastAsia="zh-CN" w:bidi="ar"/>
                    </w:rPr>
                    <w:t>3</w:t>
                  </w:r>
                </w:p>
              </w:tc>
              <w:tc>
                <w:tcPr>
                  <w:tcW w:w="788" w:type="dxa"/>
                  <w:tcBorders>
                    <w:top w:val="single" w:color="auto" w:sz="4" w:space="0"/>
                    <w:left w:val="single" w:color="auto" w:sz="4" w:space="0"/>
                    <w:bottom w:val="single" w:color="auto" w:sz="4" w:space="0"/>
                    <w:right w:val="single" w:color="auto" w:sz="4" w:space="0"/>
                  </w:tcBorders>
                  <w:vAlign w:val="center"/>
                </w:tcPr>
                <w:p>
                  <w:pPr>
                    <w:pStyle w:val="45"/>
                    <w:autoSpaceDE w:val="0"/>
                    <w:spacing w:line="24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color w:val="323232"/>
                      <w:sz w:val="21"/>
                      <w:szCs w:val="21"/>
                    </w:rPr>
                    <w:t>废</w:t>
                  </w:r>
                  <w:r>
                    <w:rPr>
                      <w:rFonts w:hint="default" w:ascii="Times New Roman" w:hAnsi="Times New Roman" w:eastAsia="宋体" w:cs="Times New Roman"/>
                      <w:sz w:val="21"/>
                      <w:szCs w:val="21"/>
                    </w:rPr>
                    <w:t>钢筋边角料</w:t>
                  </w:r>
                </w:p>
              </w:tc>
              <w:tc>
                <w:tcPr>
                  <w:tcW w:w="788"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center"/>
                    <w:rPr>
                      <w:rFonts w:hint="default" w:ascii="Times New Roman" w:hAnsi="Times New Roman" w:cs="Times New Roman"/>
                      <w:sz w:val="21"/>
                      <w:szCs w:val="21"/>
                      <w:lang w:bidi="ar"/>
                    </w:rPr>
                  </w:pPr>
                  <w:r>
                    <w:rPr>
                      <w:rFonts w:hint="default" w:ascii="Times New Roman" w:hAnsi="Times New Roman" w:cs="Times New Roman"/>
                      <w:sz w:val="21"/>
                      <w:szCs w:val="21"/>
                    </w:rPr>
                    <w:t>211-00</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-99</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pPr>
                  <w:r>
                    <w:t>一般固废</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生产</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固态</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一般固废暂存点</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lang w:bidi="ar"/>
                    </w:rPr>
                  </w:pPr>
                  <w:r>
                    <w:rPr>
                      <w:rFonts w:hint="eastAsia"/>
                      <w:szCs w:val="21"/>
                      <w:lang w:val="en-US" w:eastAsia="zh-CN" w:bidi="ar"/>
                    </w:rPr>
                    <w:t>1</w:t>
                  </w:r>
                  <w:r>
                    <w:rPr>
                      <w:szCs w:val="21"/>
                      <w:lang w:bidi="ar"/>
                    </w:rPr>
                    <w:t>t/a</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szCs w:val="21"/>
                      <w:lang w:bidi="ar"/>
                    </w:rPr>
                    <w:t>外售物资回收部门</w:t>
                  </w:r>
                </w:p>
              </w:tc>
              <w:tc>
                <w:tcPr>
                  <w:tcW w:w="839" w:type="dxa"/>
                  <w:tcBorders>
                    <w:top w:val="single" w:color="auto" w:sz="4" w:space="0"/>
                    <w:left w:val="nil"/>
                    <w:bottom w:val="single" w:color="auto" w:sz="4" w:space="0"/>
                    <w:right w:val="single" w:color="auto" w:sz="4" w:space="0"/>
                  </w:tcBorders>
                  <w:vAlign w:val="center"/>
                </w:tcPr>
                <w:p>
                  <w:pPr>
                    <w:jc w:val="center"/>
                    <w:outlineLvl w:val="0"/>
                    <w:rPr>
                      <w:szCs w:val="21"/>
                      <w:lang w:bidi="ar"/>
                    </w:rPr>
                  </w:pPr>
                  <w:r>
                    <w:rPr>
                      <w:szCs w:val="21"/>
                      <w:lang w:bidi="ar"/>
                    </w:rPr>
                    <w:t>0</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57"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eastAsia="宋体"/>
                      <w:szCs w:val="21"/>
                      <w:lang w:eastAsia="zh-CN" w:bidi="ar"/>
                    </w:rPr>
                  </w:pPr>
                  <w:r>
                    <w:rPr>
                      <w:rFonts w:hint="eastAsia"/>
                      <w:szCs w:val="21"/>
                      <w:lang w:val="en-US" w:eastAsia="zh-CN" w:bidi="ar"/>
                    </w:rPr>
                    <w:t>4</w:t>
                  </w:r>
                </w:p>
              </w:tc>
              <w:tc>
                <w:tcPr>
                  <w:tcW w:w="788" w:type="dxa"/>
                  <w:tcBorders>
                    <w:top w:val="single" w:color="auto" w:sz="4" w:space="0"/>
                    <w:left w:val="single" w:color="auto" w:sz="4" w:space="0"/>
                    <w:bottom w:val="single" w:color="auto" w:sz="4" w:space="0"/>
                    <w:right w:val="single" w:color="auto" w:sz="4" w:space="0"/>
                  </w:tcBorders>
                  <w:vAlign w:val="center"/>
                </w:tcPr>
                <w:p>
                  <w:pPr>
                    <w:pStyle w:val="45"/>
                    <w:autoSpaceDE w:val="0"/>
                    <w:spacing w:line="240" w:lineRule="auto"/>
                    <w:ind w:firstLine="0" w:firstLineChars="0"/>
                    <w:jc w:val="center"/>
                    <w:rPr>
                      <w:sz w:val="21"/>
                      <w:szCs w:val="21"/>
                      <w:lang w:bidi="ar"/>
                    </w:rPr>
                  </w:pPr>
                  <w:r>
                    <w:rPr>
                      <w:sz w:val="21"/>
                      <w:szCs w:val="21"/>
                    </w:rPr>
                    <w:t>除尘器收集粉</w:t>
                  </w:r>
                  <w:r>
                    <w:rPr>
                      <w:rFonts w:ascii="宋体" w:hAnsi="宋体" w:cs="宋体"/>
                      <w:sz w:val="21"/>
                      <w:szCs w:val="21"/>
                    </w:rPr>
                    <w:t>尘</w:t>
                  </w:r>
                </w:p>
              </w:tc>
              <w:tc>
                <w:tcPr>
                  <w:tcW w:w="788" w:type="dxa"/>
                  <w:tcBorders>
                    <w:top w:val="single" w:color="auto" w:sz="4" w:space="0"/>
                    <w:left w:val="single" w:color="auto" w:sz="4" w:space="0"/>
                    <w:bottom w:val="single" w:color="auto" w:sz="4" w:space="0"/>
                    <w:right w:val="single" w:color="auto" w:sz="4" w:space="0"/>
                  </w:tcBorders>
                  <w:vAlign w:val="center"/>
                </w:tcPr>
                <w:p>
                  <w:pPr>
                    <w:pStyle w:val="2"/>
                    <w:jc w:val="center"/>
                    <w:rPr>
                      <w:sz w:val="21"/>
                      <w:szCs w:val="21"/>
                    </w:rPr>
                  </w:pPr>
                  <w:r>
                    <w:rPr>
                      <w:rFonts w:hint="eastAsia"/>
                      <w:sz w:val="21"/>
                      <w:szCs w:val="21"/>
                      <w:lang w:val="en-US" w:eastAsia="zh-CN" w:bidi="ar"/>
                    </w:rPr>
                    <w:t>211</w:t>
                  </w:r>
                  <w:r>
                    <w:rPr>
                      <w:rFonts w:hint="eastAsia"/>
                      <w:sz w:val="21"/>
                      <w:szCs w:val="21"/>
                      <w:lang w:bidi="ar"/>
                    </w:rPr>
                    <w:t>-00</w:t>
                  </w:r>
                  <w:r>
                    <w:rPr>
                      <w:rFonts w:hint="eastAsia"/>
                      <w:sz w:val="21"/>
                      <w:szCs w:val="21"/>
                      <w:lang w:val="en-US" w:eastAsia="zh-CN" w:bidi="ar"/>
                    </w:rPr>
                    <w:t>3</w:t>
                  </w:r>
                  <w:r>
                    <w:rPr>
                      <w:rFonts w:hint="eastAsia"/>
                      <w:sz w:val="21"/>
                      <w:szCs w:val="21"/>
                      <w:lang w:bidi="ar"/>
                    </w:rPr>
                    <w:t>-66</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一般固废</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生产</w:t>
                  </w:r>
                </w:p>
              </w:tc>
              <w:tc>
                <w:tcPr>
                  <w:tcW w:w="615"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固态</w:t>
                  </w:r>
                </w:p>
              </w:tc>
              <w:tc>
                <w:tcPr>
                  <w:tcW w:w="1108"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一般固废暂存点</w:t>
                  </w:r>
                </w:p>
              </w:tc>
              <w:tc>
                <w:tcPr>
                  <w:tcW w:w="923"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rFonts w:hint="eastAsia"/>
                      <w:szCs w:val="21"/>
                      <w:lang w:val="en-US" w:eastAsia="zh-CN"/>
                    </w:rPr>
                    <w:t>2.26</w:t>
                  </w:r>
                  <w:r>
                    <w:rPr>
                      <w:szCs w:val="21"/>
                    </w:rPr>
                    <w:t>t/a</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szCs w:val="21"/>
                      <w:lang w:bidi="ar"/>
                    </w:rPr>
                    <w:t>环卫部门清运</w:t>
                  </w:r>
                </w:p>
              </w:tc>
              <w:tc>
                <w:tcPr>
                  <w:tcW w:w="839" w:type="dxa"/>
                  <w:tcBorders>
                    <w:top w:val="single" w:color="auto" w:sz="4" w:space="0"/>
                    <w:left w:val="nil"/>
                    <w:bottom w:val="single" w:color="auto" w:sz="4" w:space="0"/>
                    <w:right w:val="single" w:color="auto" w:sz="4" w:space="0"/>
                  </w:tcBorders>
                  <w:vAlign w:val="center"/>
                </w:tcPr>
                <w:p>
                  <w:pPr>
                    <w:jc w:val="center"/>
                    <w:outlineLvl w:val="0"/>
                    <w:rPr>
                      <w:szCs w:val="21"/>
                      <w:lang w:bidi="ar"/>
                    </w:rPr>
                  </w:pPr>
                  <w:r>
                    <w:rPr>
                      <w:szCs w:val="21"/>
                      <w:lang w:bidi="ar"/>
                    </w:rPr>
                    <w:t>0</w:t>
                  </w:r>
                </w:p>
              </w:tc>
            </w:tr>
          </w:tbl>
          <w:p>
            <w:pPr>
              <w:autoSpaceDE w:val="0"/>
              <w:autoSpaceDN w:val="0"/>
              <w:adjustRightInd w:val="0"/>
              <w:jc w:val="center"/>
              <w:rPr>
                <w:b/>
                <w:sz w:val="24"/>
              </w:rPr>
            </w:pPr>
            <w:r>
              <w:rPr>
                <w:rFonts w:hint="eastAsia"/>
                <w:b/>
                <w:sz w:val="24"/>
                <w:lang w:bidi="ar"/>
              </w:rPr>
              <w:t>表4-15  项目危险废物</w:t>
            </w:r>
            <w:r>
              <w:rPr>
                <w:b/>
                <w:sz w:val="24"/>
                <w:lang w:bidi="ar"/>
              </w:rPr>
              <w:t>产</w:t>
            </w:r>
            <w:r>
              <w:rPr>
                <w:rFonts w:hint="eastAsia" w:ascii="宋体" w:hAnsi="宋体" w:cs="宋体"/>
                <w:b/>
                <w:sz w:val="24"/>
                <w:lang w:bidi="ar"/>
              </w:rPr>
              <w:t>生情况一览表</w:t>
            </w:r>
          </w:p>
          <w:tbl>
            <w:tblPr>
              <w:tblStyle w:val="22"/>
              <w:tblW w:w="7936" w:type="dxa"/>
              <w:jc w:val="center"/>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908"/>
              <w:gridCol w:w="1087"/>
              <w:gridCol w:w="760"/>
              <w:gridCol w:w="959"/>
              <w:gridCol w:w="601"/>
              <w:gridCol w:w="739"/>
              <w:gridCol w:w="623"/>
              <w:gridCol w:w="1088"/>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危险废物</w:t>
                  </w:r>
                  <w:r>
                    <w:rPr>
                      <w:b/>
                      <w:szCs w:val="21"/>
                      <w:lang w:bidi="ar"/>
                    </w:rPr>
                    <w:t>名称</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危险废物</w:t>
                  </w:r>
                  <w:r>
                    <w:rPr>
                      <w:b/>
                      <w:szCs w:val="21"/>
                      <w:lang w:bidi="ar"/>
                    </w:rPr>
                    <w:t>类别</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危险废物代码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产生量</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产生工序及装置</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rPr>
                    <w:t>形态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outlineLvl w:val="0"/>
                    <w:rPr>
                      <w:b/>
                      <w:szCs w:val="21"/>
                    </w:rPr>
                  </w:pPr>
                  <w:r>
                    <w:rPr>
                      <w:rFonts w:hint="eastAsia"/>
                      <w:b/>
                      <w:szCs w:val="21"/>
                      <w:lang w:bidi="ar"/>
                    </w:rPr>
                    <w:t>产废周期</w:t>
                  </w:r>
                </w:p>
              </w:tc>
              <w:tc>
                <w:tcPr>
                  <w:tcW w:w="623" w:type="dxa"/>
                  <w:tcBorders>
                    <w:top w:val="single" w:color="auto" w:sz="4" w:space="0"/>
                    <w:left w:val="nil"/>
                    <w:bottom w:val="single" w:color="auto" w:sz="4" w:space="0"/>
                    <w:right w:val="single" w:color="auto" w:sz="4" w:space="0"/>
                  </w:tcBorders>
                  <w:vAlign w:val="center"/>
                </w:tcPr>
                <w:p>
                  <w:pPr>
                    <w:jc w:val="center"/>
                    <w:outlineLvl w:val="0"/>
                    <w:rPr>
                      <w:b/>
                      <w:szCs w:val="21"/>
                    </w:rPr>
                  </w:pPr>
                  <w:r>
                    <w:rPr>
                      <w:rFonts w:hint="eastAsia"/>
                      <w:b/>
                      <w:szCs w:val="21"/>
                    </w:rPr>
                    <w:t>危险特性</w:t>
                  </w:r>
                </w:p>
              </w:tc>
              <w:tc>
                <w:tcPr>
                  <w:tcW w:w="1088" w:type="dxa"/>
                  <w:tcBorders>
                    <w:top w:val="single" w:color="auto" w:sz="4" w:space="0"/>
                    <w:left w:val="nil"/>
                    <w:bottom w:val="single" w:color="auto" w:sz="4" w:space="0"/>
                    <w:right w:val="single" w:color="auto" w:sz="4" w:space="0"/>
                  </w:tcBorders>
                  <w:vAlign w:val="center"/>
                </w:tcPr>
                <w:p>
                  <w:pPr>
                    <w:jc w:val="center"/>
                    <w:outlineLvl w:val="0"/>
                    <w:rPr>
                      <w:b/>
                      <w:szCs w:val="21"/>
                      <w:lang w:bidi="ar"/>
                    </w:rPr>
                  </w:pPr>
                  <w:r>
                    <w:rPr>
                      <w:rFonts w:hint="eastAsia"/>
                      <w:b/>
                      <w:szCs w:val="21"/>
                      <w:lang w:bidi="ar"/>
                    </w:rPr>
                    <w:t>污染防治措施</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废过滤棉</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lang w:bidi="ar"/>
                    </w:rPr>
                    <w:t>HW49</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900-041-49</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rFonts w:hint="eastAsia"/>
                      <w:szCs w:val="21"/>
                      <w:lang w:bidi="ar"/>
                    </w:rPr>
                    <w:t>0.</w:t>
                  </w:r>
                  <w:r>
                    <w:rPr>
                      <w:rFonts w:hint="eastAsia"/>
                      <w:szCs w:val="21"/>
                      <w:lang w:val="en-US" w:eastAsia="zh-CN" w:bidi="ar"/>
                    </w:rPr>
                    <w:t>453</w:t>
                  </w:r>
                  <w:r>
                    <w:rPr>
                      <w:rFonts w:hint="eastAsia"/>
                      <w:szCs w:val="21"/>
                      <w:lang w:bidi="ar"/>
                    </w:rPr>
                    <w:t>t</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废气处理</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固态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bidi="ar"/>
                    </w:rPr>
                    <w:t>每年</w:t>
                  </w:r>
                </w:p>
              </w:tc>
              <w:tc>
                <w:tcPr>
                  <w:tcW w:w="623" w:type="dxa"/>
                  <w:tcBorders>
                    <w:top w:val="single" w:color="auto" w:sz="4" w:space="0"/>
                    <w:left w:val="nil"/>
                    <w:bottom w:val="single" w:color="auto" w:sz="4" w:space="0"/>
                    <w:right w:val="single" w:color="auto" w:sz="4" w:space="0"/>
                  </w:tcBorders>
                  <w:vAlign w:val="center"/>
                </w:tcPr>
                <w:p>
                  <w:pPr>
                    <w:jc w:val="center"/>
                    <w:outlineLvl w:val="0"/>
                    <w:rPr>
                      <w:szCs w:val="21"/>
                    </w:rPr>
                  </w:pPr>
                  <w:r>
                    <w:rPr>
                      <w:rFonts w:hint="eastAsia"/>
                      <w:szCs w:val="21"/>
                      <w:lang w:bidi="ar"/>
                    </w:rPr>
                    <w:t>T/In</w:t>
                  </w:r>
                </w:p>
              </w:tc>
              <w:tc>
                <w:tcPr>
                  <w:tcW w:w="1088" w:type="dxa"/>
                  <w:vMerge w:val="restart"/>
                  <w:tcBorders>
                    <w:top w:val="single" w:color="auto" w:sz="4" w:space="0"/>
                    <w:left w:val="nil"/>
                    <w:right w:val="single" w:color="auto" w:sz="4" w:space="0"/>
                  </w:tcBorders>
                  <w:vAlign w:val="center"/>
                </w:tcPr>
                <w:p>
                  <w:pPr>
                    <w:jc w:val="center"/>
                    <w:outlineLvl w:val="0"/>
                    <w:rPr>
                      <w:szCs w:val="21"/>
                      <w:lang w:bidi="ar"/>
                    </w:rPr>
                  </w:pPr>
                  <w:r>
                    <w:rPr>
                      <w:rFonts w:hint="eastAsia"/>
                      <w:sz w:val="21"/>
                      <w:szCs w:val="21"/>
                    </w:rPr>
                    <w:t>暂存在危废暂存间，委托资质单位处理</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废活性炭</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szCs w:val="21"/>
                      <w:lang w:bidi="ar"/>
                    </w:rPr>
                    <w:t>HW49</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Cs w:val="21"/>
                      <w:lang w:bidi="ar"/>
                    </w:rPr>
                    <w:t>900-0</w:t>
                  </w:r>
                  <w:r>
                    <w:rPr>
                      <w:rFonts w:hint="eastAsia"/>
                      <w:szCs w:val="21"/>
                      <w:lang w:bidi="ar"/>
                    </w:rPr>
                    <w:t>39</w:t>
                  </w:r>
                  <w:r>
                    <w:rPr>
                      <w:szCs w:val="21"/>
                      <w:lang w:bidi="ar"/>
                    </w:rPr>
                    <w:t>-49</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rFonts w:hint="eastAsia"/>
                      <w:bCs/>
                      <w:szCs w:val="21"/>
                      <w:lang w:val="en-US" w:eastAsia="zh-CN"/>
                    </w:rPr>
                    <w:t>2.81</w:t>
                  </w:r>
                  <w:r>
                    <w:rPr>
                      <w:bCs/>
                      <w:szCs w:val="21"/>
                    </w:rPr>
                    <w:t>t/a</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废气处理</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固态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rFonts w:hint="eastAsia"/>
                      <w:szCs w:val="21"/>
                      <w:lang w:bidi="ar"/>
                    </w:rPr>
                    <w:t>6个月/次</w:t>
                  </w:r>
                </w:p>
              </w:tc>
              <w:tc>
                <w:tcPr>
                  <w:tcW w:w="623" w:type="dxa"/>
                  <w:tcBorders>
                    <w:top w:val="single" w:color="auto" w:sz="4" w:space="0"/>
                    <w:left w:val="nil"/>
                    <w:bottom w:val="single" w:color="auto" w:sz="4" w:space="0"/>
                    <w:right w:val="single" w:color="auto" w:sz="4" w:space="0"/>
                  </w:tcBorders>
                  <w:vAlign w:val="center"/>
                </w:tcPr>
                <w:p>
                  <w:pPr>
                    <w:jc w:val="center"/>
                    <w:outlineLvl w:val="0"/>
                    <w:rPr>
                      <w:szCs w:val="21"/>
                      <w:lang w:bidi="ar"/>
                    </w:rPr>
                  </w:pPr>
                  <w:r>
                    <w:rPr>
                      <w:rFonts w:hint="eastAsia"/>
                      <w:szCs w:val="21"/>
                      <w:lang w:bidi="ar"/>
                    </w:rPr>
                    <w:t>T/In</w:t>
                  </w:r>
                </w:p>
              </w:tc>
              <w:tc>
                <w:tcPr>
                  <w:tcW w:w="1088" w:type="dxa"/>
                  <w:vMerge w:val="continue"/>
                  <w:tcBorders>
                    <w:left w:val="nil"/>
                    <w:right w:val="single" w:color="auto" w:sz="4" w:space="0"/>
                  </w:tcBorders>
                  <w:vAlign w:val="center"/>
                </w:tcPr>
                <w:p>
                  <w:pPr>
                    <w:jc w:val="center"/>
                    <w:rPr>
                      <w:szCs w:val="21"/>
                      <w:lang w:bidi="ar"/>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废包装桶</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sz w:val="21"/>
                      <w:szCs w:val="21"/>
                      <w:lang w:bidi="ar"/>
                    </w:rPr>
                    <w:t>HW49</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 w:val="21"/>
                      <w:szCs w:val="21"/>
                      <w:lang w:bidi="ar"/>
                    </w:rPr>
                    <w:t>900-041-49</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lang w:bidi="ar"/>
                    </w:rPr>
                  </w:pPr>
                  <w:r>
                    <w:rPr>
                      <w:sz w:val="21"/>
                      <w:szCs w:val="21"/>
                    </w:rPr>
                    <w:t>0.5</w:t>
                  </w:r>
                  <w:r>
                    <w:rPr>
                      <w:bCs/>
                      <w:szCs w:val="21"/>
                    </w:rPr>
                    <w:t>t/a</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ascii="宋体" w:hAnsi="宋体" w:cs="宋体"/>
                      <w:sz w:val="21"/>
                      <w:szCs w:val="21"/>
                    </w:rPr>
                    <w:t>日常生产</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 w:val="21"/>
                      <w:szCs w:val="21"/>
                    </w:rPr>
                    <w:t>固态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sz w:val="21"/>
                      <w:szCs w:val="21"/>
                      <w:lang w:bidi="ar"/>
                    </w:rPr>
                    <w:t>按工况</w:t>
                  </w:r>
                </w:p>
              </w:tc>
              <w:tc>
                <w:tcPr>
                  <w:tcW w:w="623" w:type="dxa"/>
                  <w:tcBorders>
                    <w:top w:val="single" w:color="auto" w:sz="4" w:space="0"/>
                    <w:left w:val="nil"/>
                    <w:bottom w:val="single" w:color="auto" w:sz="4" w:space="0"/>
                    <w:right w:val="single" w:color="auto" w:sz="4" w:space="0"/>
                  </w:tcBorders>
                  <w:vAlign w:val="center"/>
                </w:tcPr>
                <w:p>
                  <w:pPr>
                    <w:jc w:val="center"/>
                    <w:outlineLvl w:val="0"/>
                    <w:rPr>
                      <w:szCs w:val="21"/>
                      <w:lang w:bidi="ar"/>
                    </w:rPr>
                  </w:pPr>
                  <w:r>
                    <w:rPr>
                      <w:rFonts w:hint="eastAsia"/>
                      <w:bCs/>
                      <w:sz w:val="21"/>
                      <w:szCs w:val="21"/>
                    </w:rPr>
                    <w:t>T/</w:t>
                  </w:r>
                  <w:r>
                    <w:rPr>
                      <w:sz w:val="21"/>
                      <w:szCs w:val="21"/>
                      <w:lang w:bidi="ar"/>
                    </w:rPr>
                    <w:t>In</w:t>
                  </w:r>
                </w:p>
              </w:tc>
              <w:tc>
                <w:tcPr>
                  <w:tcW w:w="1088" w:type="dxa"/>
                  <w:vMerge w:val="continue"/>
                  <w:tcBorders>
                    <w:left w:val="nil"/>
                    <w:right w:val="single" w:color="auto" w:sz="4" w:space="0"/>
                  </w:tcBorders>
                  <w:vAlign w:val="center"/>
                </w:tcPr>
                <w:p>
                  <w:pPr>
                    <w:jc w:val="center"/>
                    <w:rPr>
                      <w:szCs w:val="21"/>
                      <w:lang w:bidi="ar"/>
                    </w:rPr>
                  </w:pP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171" w:type="dxa"/>
                  <w:tcBorders>
                    <w:top w:val="single" w:color="auto" w:sz="4" w:space="0"/>
                    <w:left w:val="single" w:color="auto" w:sz="4" w:space="0"/>
                    <w:bottom w:val="single" w:color="auto" w:sz="4" w:space="0"/>
                    <w:right w:val="single" w:color="auto" w:sz="4" w:space="0"/>
                  </w:tcBorders>
                  <w:vAlign w:val="center"/>
                </w:tcPr>
                <w:p>
                  <w:pPr>
                    <w:jc w:val="center"/>
                    <w:outlineLvl w:val="0"/>
                    <w:rPr>
                      <w:bCs/>
                    </w:rPr>
                  </w:pPr>
                  <w:r>
                    <w:rPr>
                      <w:bCs/>
                    </w:rPr>
                    <w:t>漆渣</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outlineLvl w:val="0"/>
                    <w:rPr>
                      <w:bCs/>
                    </w:rPr>
                  </w:pPr>
                  <w:r>
                    <w:rPr>
                      <w:bCs/>
                    </w:rPr>
                    <w:t>HW</w:t>
                  </w:r>
                  <w:r>
                    <w:rPr>
                      <w:rFonts w:hint="eastAsia"/>
                      <w:bCs/>
                    </w:rPr>
                    <w:t>12</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outlineLvl w:val="0"/>
                    <w:rPr>
                      <w:bCs/>
                    </w:rPr>
                  </w:pPr>
                  <w:r>
                    <w:rPr>
                      <w:rFonts w:hint="eastAsia"/>
                      <w:bCs/>
                    </w:rPr>
                    <w:t>900-252-12</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outlineLvl w:val="0"/>
                    <w:rPr>
                      <w:bCs/>
                    </w:rPr>
                  </w:pPr>
                  <w:r>
                    <w:rPr>
                      <w:rFonts w:hint="eastAsia"/>
                      <w:bCs/>
                    </w:rPr>
                    <w:t>0.07t/a</w:t>
                  </w:r>
                </w:p>
              </w:tc>
              <w:tc>
                <w:tcPr>
                  <w:tcW w:w="95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喷漆</w:t>
                  </w:r>
                </w:p>
              </w:tc>
              <w:tc>
                <w:tcPr>
                  <w:tcW w:w="60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rFonts w:hint="eastAsia"/>
                      <w:szCs w:val="21"/>
                    </w:rPr>
                    <w:t>固态</w:t>
                  </w:r>
                </w:p>
              </w:tc>
              <w:tc>
                <w:tcPr>
                  <w:tcW w:w="739" w:type="dxa"/>
                  <w:tcBorders>
                    <w:top w:val="single" w:color="auto" w:sz="4" w:space="0"/>
                    <w:left w:val="single" w:color="auto" w:sz="4" w:space="0"/>
                    <w:bottom w:val="single" w:color="auto" w:sz="4" w:space="0"/>
                    <w:right w:val="single" w:color="auto" w:sz="4" w:space="0"/>
                  </w:tcBorders>
                  <w:vAlign w:val="center"/>
                </w:tcPr>
                <w:p>
                  <w:pPr>
                    <w:jc w:val="center"/>
                    <w:rPr>
                      <w:szCs w:val="21"/>
                      <w:lang w:bidi="ar"/>
                    </w:rPr>
                  </w:pPr>
                  <w:r>
                    <w:rPr>
                      <w:rFonts w:hint="eastAsia"/>
                      <w:szCs w:val="21"/>
                      <w:lang w:bidi="ar"/>
                    </w:rPr>
                    <w:t>每年</w:t>
                  </w:r>
                </w:p>
              </w:tc>
              <w:tc>
                <w:tcPr>
                  <w:tcW w:w="623" w:type="dxa"/>
                  <w:tcBorders>
                    <w:top w:val="single" w:color="auto" w:sz="4" w:space="0"/>
                    <w:left w:val="nil"/>
                    <w:bottom w:val="single" w:color="auto" w:sz="4" w:space="0"/>
                    <w:right w:val="single" w:color="auto" w:sz="4" w:space="0"/>
                  </w:tcBorders>
                  <w:vAlign w:val="center"/>
                </w:tcPr>
                <w:p>
                  <w:pPr>
                    <w:jc w:val="center"/>
                    <w:outlineLvl w:val="0"/>
                    <w:rPr>
                      <w:szCs w:val="21"/>
                      <w:lang w:bidi="ar"/>
                    </w:rPr>
                  </w:pPr>
                  <w:r>
                    <w:rPr>
                      <w:rFonts w:hint="eastAsia"/>
                      <w:szCs w:val="21"/>
                      <w:lang w:bidi="ar"/>
                    </w:rPr>
                    <w:t>T/In</w:t>
                  </w:r>
                </w:p>
              </w:tc>
              <w:tc>
                <w:tcPr>
                  <w:tcW w:w="1088" w:type="dxa"/>
                  <w:vMerge w:val="continue"/>
                  <w:tcBorders>
                    <w:left w:val="nil"/>
                    <w:right w:val="single" w:color="auto" w:sz="4" w:space="0"/>
                  </w:tcBorders>
                  <w:vAlign w:val="center"/>
                </w:tcPr>
                <w:p>
                  <w:pPr>
                    <w:jc w:val="center"/>
                    <w:rPr>
                      <w:szCs w:val="21"/>
                      <w:lang w:bidi="ar"/>
                    </w:rPr>
                  </w:pPr>
                </w:p>
              </w:tc>
            </w:tr>
          </w:tbl>
          <w:p>
            <w:pPr>
              <w:widowControl/>
              <w:wordWrap w:val="0"/>
              <w:spacing w:line="360" w:lineRule="auto"/>
              <w:ind w:firstLine="480" w:firstLineChars="200"/>
              <w:rPr>
                <w:kern w:val="0"/>
                <w:sz w:val="24"/>
                <w:lang w:bidi="ar"/>
              </w:rPr>
            </w:pPr>
            <w:r>
              <w:rPr>
                <w:kern w:val="0"/>
                <w:sz w:val="24"/>
                <w:lang w:bidi="ar"/>
              </w:rPr>
              <w:t>环境管理要求：</w:t>
            </w:r>
          </w:p>
          <w:p>
            <w:pPr>
              <w:widowControl/>
              <w:wordWrap w:val="0"/>
              <w:spacing w:line="360" w:lineRule="auto"/>
              <w:ind w:firstLine="480" w:firstLineChars="200"/>
              <w:rPr>
                <w:kern w:val="0"/>
                <w:sz w:val="24"/>
                <w:lang w:bidi="ar"/>
              </w:rPr>
            </w:pPr>
            <w:r>
              <w:rPr>
                <w:kern w:val="0"/>
                <w:sz w:val="24"/>
                <w:lang w:bidi="ar"/>
              </w:rPr>
              <w:t>项目一般固体废物存放一般固废暂存间，暂存场地的设置应符合《一般工业固体废物贮存、处置场污染控制标准》（GB18599--2020）中的规定。一般固废暂存间设置要求做到以下几点：</w:t>
            </w:r>
          </w:p>
          <w:p>
            <w:pPr>
              <w:widowControl/>
              <w:wordWrap w:val="0"/>
              <w:spacing w:line="360" w:lineRule="auto"/>
              <w:ind w:firstLine="480" w:firstLineChars="200"/>
              <w:rPr>
                <w:kern w:val="0"/>
                <w:sz w:val="24"/>
                <w:lang w:bidi="ar"/>
              </w:rPr>
            </w:pPr>
            <w:r>
              <w:rPr>
                <w:kern w:val="0"/>
                <w:sz w:val="24"/>
                <w:lang w:bidi="ar"/>
              </w:rPr>
              <w:t>（1）应选在满足承载力要求的地基上，以避免地基下沉的影响，特别是不均匀或局部下沉的影响。</w:t>
            </w:r>
          </w:p>
          <w:p>
            <w:pPr>
              <w:widowControl/>
              <w:wordWrap w:val="0"/>
              <w:spacing w:line="360" w:lineRule="auto"/>
              <w:ind w:firstLine="480" w:firstLineChars="200"/>
              <w:rPr>
                <w:kern w:val="0"/>
                <w:sz w:val="24"/>
                <w:lang w:bidi="ar"/>
              </w:rPr>
            </w:pPr>
            <w:r>
              <w:rPr>
                <w:kern w:val="0"/>
                <w:sz w:val="24"/>
                <w:lang w:bidi="ar"/>
              </w:rPr>
              <w:t>（2）为防止雨水径流进入贮存、处</w:t>
            </w:r>
            <w:r>
              <w:rPr>
                <w:rFonts w:hint="eastAsia"/>
                <w:kern w:val="0"/>
                <w:sz w:val="24"/>
                <w:lang w:bidi="ar"/>
              </w:rPr>
              <w:t>置</w:t>
            </w:r>
            <w:r>
              <w:rPr>
                <w:kern w:val="0"/>
                <w:sz w:val="24"/>
                <w:lang w:bidi="ar"/>
              </w:rPr>
              <w:t>场内，避免渗滤液量增加和滑坡，贮存、处</w:t>
            </w:r>
            <w:r>
              <w:rPr>
                <w:rFonts w:hint="eastAsia"/>
                <w:kern w:val="0"/>
                <w:sz w:val="24"/>
                <w:lang w:bidi="ar"/>
              </w:rPr>
              <w:t>置</w:t>
            </w:r>
            <w:r>
              <w:rPr>
                <w:kern w:val="0"/>
                <w:sz w:val="24"/>
                <w:lang w:bidi="ar"/>
              </w:rPr>
              <w:t>场周边应设</w:t>
            </w:r>
            <w:r>
              <w:rPr>
                <w:rFonts w:hint="eastAsia"/>
                <w:kern w:val="0"/>
                <w:sz w:val="24"/>
                <w:lang w:bidi="ar"/>
              </w:rPr>
              <w:t>置</w:t>
            </w:r>
            <w:r>
              <w:rPr>
                <w:kern w:val="0"/>
                <w:sz w:val="24"/>
                <w:lang w:bidi="ar"/>
              </w:rPr>
              <w:t>导流渠。</w:t>
            </w:r>
          </w:p>
          <w:p>
            <w:pPr>
              <w:widowControl/>
              <w:wordWrap w:val="0"/>
              <w:spacing w:line="360" w:lineRule="auto"/>
              <w:ind w:firstLine="480" w:firstLineChars="200"/>
              <w:rPr>
                <w:kern w:val="0"/>
                <w:sz w:val="24"/>
                <w:lang w:bidi="ar"/>
              </w:rPr>
            </w:pPr>
            <w:r>
              <w:rPr>
                <w:kern w:val="0"/>
                <w:sz w:val="24"/>
                <w:lang w:bidi="ar"/>
              </w:rPr>
              <w:t>（3）一般工业固体废物贮存、处</w:t>
            </w:r>
            <w:r>
              <w:rPr>
                <w:rFonts w:hint="eastAsia"/>
                <w:kern w:val="0"/>
                <w:sz w:val="24"/>
                <w:lang w:bidi="ar"/>
              </w:rPr>
              <w:t>置</w:t>
            </w:r>
            <w:r>
              <w:rPr>
                <w:kern w:val="0"/>
                <w:sz w:val="24"/>
                <w:lang w:bidi="ar"/>
              </w:rPr>
              <w:t>场，禁止危险废物和生活垃圾混入。</w:t>
            </w:r>
          </w:p>
          <w:p>
            <w:pPr>
              <w:widowControl/>
              <w:wordWrap w:val="0"/>
              <w:spacing w:line="360" w:lineRule="auto"/>
              <w:ind w:firstLine="480" w:firstLineChars="200"/>
              <w:rPr>
                <w:kern w:val="0"/>
                <w:sz w:val="24"/>
                <w:szCs w:val="24"/>
                <w:lang w:bidi="ar"/>
              </w:rPr>
            </w:pPr>
            <w:r>
              <w:rPr>
                <w:kern w:val="0"/>
                <w:sz w:val="24"/>
                <w:lang w:bidi="ar"/>
              </w:rPr>
              <w:t>（4）贮存、处</w:t>
            </w:r>
            <w:r>
              <w:rPr>
                <w:rFonts w:hint="eastAsia"/>
                <w:kern w:val="0"/>
                <w:sz w:val="24"/>
                <w:lang w:bidi="ar"/>
              </w:rPr>
              <w:t>置</w:t>
            </w:r>
            <w:r>
              <w:rPr>
                <w:kern w:val="0"/>
                <w:sz w:val="24"/>
                <w:lang w:bidi="ar"/>
              </w:rPr>
              <w:t>场的环境保护图形标志，应按GB15562.2规定进行检查</w:t>
            </w:r>
            <w:r>
              <w:rPr>
                <w:kern w:val="0"/>
                <w:sz w:val="24"/>
                <w:szCs w:val="24"/>
                <w:lang w:bidi="ar"/>
              </w:rPr>
              <w:t>和维护。</w:t>
            </w:r>
          </w:p>
          <w:p>
            <w:pPr>
              <w:widowControl/>
              <w:wordWrap w:val="0"/>
              <w:spacing w:line="360" w:lineRule="auto"/>
              <w:ind w:firstLine="480" w:firstLineChars="200"/>
              <w:rPr>
                <w:kern w:val="0"/>
                <w:sz w:val="24"/>
                <w:szCs w:val="24"/>
                <w:lang w:bidi="ar"/>
              </w:rPr>
            </w:pPr>
            <w:r>
              <w:rPr>
                <w:kern w:val="0"/>
                <w:sz w:val="24"/>
                <w:szCs w:val="24"/>
                <w:lang w:bidi="ar"/>
              </w:rPr>
              <w:t>（</w:t>
            </w:r>
            <w:r>
              <w:rPr>
                <w:rFonts w:hint="eastAsia"/>
                <w:kern w:val="0"/>
                <w:sz w:val="24"/>
                <w:szCs w:val="24"/>
                <w:lang w:bidi="ar"/>
              </w:rPr>
              <w:t>5</w:t>
            </w:r>
            <w:r>
              <w:rPr>
                <w:kern w:val="0"/>
                <w:sz w:val="24"/>
                <w:szCs w:val="24"/>
                <w:lang w:bidi="ar"/>
              </w:rPr>
              <w:t>）</w:t>
            </w:r>
            <w:r>
              <w:rPr>
                <w:sz w:val="24"/>
                <w:szCs w:val="24"/>
              </w:rPr>
              <w:t>规范</w:t>
            </w:r>
            <w:r>
              <w:rPr>
                <w:kern w:val="0"/>
                <w:sz w:val="24"/>
                <w:szCs w:val="24"/>
                <w:lang w:bidi="ar"/>
              </w:rPr>
              <w:t>一般工业固体废物</w:t>
            </w:r>
            <w:r>
              <w:rPr>
                <w:sz w:val="24"/>
                <w:szCs w:val="24"/>
              </w:rPr>
              <w:t>台账记录、建立</w:t>
            </w:r>
            <w:r>
              <w:rPr>
                <w:kern w:val="0"/>
                <w:sz w:val="24"/>
                <w:szCs w:val="24"/>
                <w:lang w:bidi="ar"/>
              </w:rPr>
              <w:t>一般工业固体废物</w:t>
            </w:r>
            <w:r>
              <w:rPr>
                <w:sz w:val="24"/>
                <w:szCs w:val="24"/>
              </w:rPr>
              <w:t>收集及储运有关档案，作好</w:t>
            </w:r>
            <w:r>
              <w:rPr>
                <w:kern w:val="0"/>
                <w:sz w:val="24"/>
                <w:szCs w:val="24"/>
                <w:lang w:bidi="ar"/>
              </w:rPr>
              <w:t>一般工业固体废物</w:t>
            </w:r>
            <w:r>
              <w:rPr>
                <w:sz w:val="24"/>
                <w:szCs w:val="24"/>
              </w:rPr>
              <w:t>台账的记录，并即时存档以备查阅。</w:t>
            </w:r>
          </w:p>
          <w:p>
            <w:pPr>
              <w:widowControl/>
              <w:wordWrap w:val="0"/>
              <w:spacing w:line="360" w:lineRule="auto"/>
              <w:ind w:firstLine="480" w:firstLineChars="200"/>
              <w:rPr>
                <w:kern w:val="0"/>
                <w:sz w:val="24"/>
                <w:lang w:bidi="ar"/>
              </w:rPr>
            </w:pPr>
            <w:r>
              <w:rPr>
                <w:kern w:val="0"/>
                <w:sz w:val="24"/>
                <w:lang w:bidi="ar"/>
              </w:rPr>
              <w:t>项目危险废物短暂存放，暂存场地的设置应符合</w:t>
            </w:r>
            <w:r>
              <w:rPr>
                <w:sz w:val="24"/>
              </w:rPr>
              <w:t>《危险废物贮存污染控制标准》（GB18597-2001）及其2013修改清单</w:t>
            </w:r>
            <w:r>
              <w:rPr>
                <w:kern w:val="0"/>
                <w:sz w:val="24"/>
                <w:lang w:bidi="ar"/>
              </w:rPr>
              <w:t>中的规定。危废暂存场地设置要求做到以下几点：</w:t>
            </w:r>
          </w:p>
          <w:p>
            <w:pPr>
              <w:widowControl/>
              <w:wordWrap w:val="0"/>
              <w:spacing w:line="360" w:lineRule="auto"/>
              <w:ind w:firstLine="480" w:firstLineChars="200"/>
              <w:rPr>
                <w:sz w:val="24"/>
              </w:rPr>
            </w:pPr>
            <w:r>
              <w:rPr>
                <w:kern w:val="0"/>
                <w:sz w:val="24"/>
                <w:lang w:bidi="ar"/>
              </w:rPr>
              <w:t>（1）危险废物贮存设施必须按《环境保护图形标志(GB15562.2)》的规定设置警示标志；</w:t>
            </w:r>
          </w:p>
          <w:p>
            <w:pPr>
              <w:spacing w:line="520" w:lineRule="exact"/>
              <w:ind w:firstLine="480" w:firstLineChars="200"/>
              <w:rPr>
                <w:sz w:val="24"/>
              </w:rPr>
            </w:pPr>
            <w:r>
              <w:rPr>
                <w:sz w:val="24"/>
              </w:rPr>
              <w:t>（2）企业须健全危险废物相关管理制度，并严格落实。</w:t>
            </w:r>
          </w:p>
          <w:p>
            <w:pPr>
              <w:spacing w:line="520" w:lineRule="exact"/>
              <w:ind w:firstLine="480" w:firstLineChars="200"/>
              <w:rPr>
                <w:sz w:val="24"/>
              </w:rPr>
            </w:pPr>
            <w:r>
              <w:rPr>
                <w:sz w:val="24"/>
              </w:rPr>
              <w:t>①企业须对危险废物储运场所张贴警示标识，危险废物包装物张贴警示标签；</w:t>
            </w:r>
          </w:p>
          <w:p>
            <w:pPr>
              <w:spacing w:line="360" w:lineRule="auto"/>
              <w:ind w:firstLine="480" w:firstLineChars="200"/>
              <w:rPr>
                <w:sz w:val="24"/>
              </w:rPr>
            </w:pPr>
            <w:r>
              <w:rPr>
                <w:sz w:val="24"/>
              </w:rPr>
              <w:t>②规范危险废物台账记录、建立危险废物收集及储运有关档案，认真填写《危险废物项目区内转运记录表》，作好危险废物台账的记录，记录上须注明危险废物的名称、来源、数量、特性和包装容器的类别、入库日期、存放库位、废物出库日期及接收单位名称等，并即时存档以备查阅。</w:t>
            </w:r>
          </w:p>
          <w:p>
            <w:pPr>
              <w:spacing w:line="360" w:lineRule="auto"/>
              <w:ind w:firstLine="480" w:firstLineChars="200"/>
              <w:rPr>
                <w:sz w:val="24"/>
              </w:rPr>
            </w:pPr>
            <w:r>
              <w:rPr>
                <w:sz w:val="24"/>
              </w:rPr>
              <w:t>（3）危险废物存储和管理的相关要求。</w:t>
            </w:r>
          </w:p>
          <w:p>
            <w:pPr>
              <w:spacing w:line="360" w:lineRule="auto"/>
              <w:ind w:firstLine="480" w:firstLineChars="200"/>
              <w:rPr>
                <w:sz w:val="24"/>
              </w:rPr>
            </w:pPr>
            <w:r>
              <w:rPr>
                <w:sz w:val="24"/>
              </w:rPr>
              <w:t>①必须将危险废物装入容器内密封装运，盛装危险废物的容器应当符合标准，材质要满足相应的强度要求且必须完好无损，容器材质和衬里要与危险废物相容（不相互反应）；</w:t>
            </w:r>
          </w:p>
          <w:p>
            <w:pPr>
              <w:spacing w:line="360" w:lineRule="auto"/>
              <w:ind w:firstLine="480" w:firstLineChars="200"/>
              <w:rPr>
                <w:sz w:val="24"/>
              </w:rPr>
            </w:pPr>
            <w:r>
              <w:rPr>
                <w:sz w:val="24"/>
              </w:rPr>
              <w:t>②危险废物转移过程严格落实《危险废物转移联单管理办法》的相关规定，规范危险废物转移，做好每次外运处置废物的运输登记。</w:t>
            </w:r>
          </w:p>
          <w:p>
            <w:pPr>
              <w:pStyle w:val="9"/>
              <w:spacing w:line="360" w:lineRule="auto"/>
              <w:ind w:firstLine="480"/>
              <w:rPr>
                <w:b/>
                <w:spacing w:val="-10"/>
                <w:sz w:val="24"/>
              </w:rPr>
            </w:pPr>
            <w:r>
              <w:rPr>
                <w:kern w:val="0"/>
                <w:sz w:val="24"/>
                <w:lang w:bidi="ar"/>
              </w:rPr>
              <w:t>项目固体废物处置符合《</w:t>
            </w:r>
            <w:r>
              <w:rPr>
                <w:sz w:val="24"/>
              </w:rPr>
              <w:t>一般工业固体废物贮存和填埋污染控制标准</w:t>
            </w:r>
            <w:r>
              <w:rPr>
                <w:kern w:val="0"/>
                <w:sz w:val="24"/>
                <w:lang w:bidi="ar"/>
              </w:rPr>
              <w:t>》（GB18599--2020）、</w:t>
            </w:r>
            <w:r>
              <w:rPr>
                <w:sz w:val="24"/>
                <w:szCs w:val="24"/>
              </w:rPr>
              <w:t>《排污许可证申请与核发技术规范 工业固体废物（试行）》（</w:t>
            </w:r>
            <w:r>
              <w:rPr>
                <w:rFonts w:hint="eastAsia"/>
                <w:sz w:val="24"/>
                <w:szCs w:val="24"/>
              </w:rPr>
              <w:t>HJ</w:t>
            </w:r>
            <w:r>
              <w:rPr>
                <w:sz w:val="24"/>
                <w:szCs w:val="24"/>
              </w:rPr>
              <w:t>1</w:t>
            </w:r>
            <w:r>
              <w:rPr>
                <w:rFonts w:hint="eastAsia"/>
                <w:sz w:val="24"/>
                <w:szCs w:val="24"/>
              </w:rPr>
              <w:t>200</w:t>
            </w:r>
            <w:r>
              <w:rPr>
                <w:sz w:val="24"/>
                <w:szCs w:val="24"/>
              </w:rPr>
              <w:t>-202</w:t>
            </w:r>
            <w:r>
              <w:rPr>
                <w:rFonts w:hint="eastAsia"/>
                <w:sz w:val="24"/>
                <w:szCs w:val="24"/>
              </w:rPr>
              <w:t>1</w:t>
            </w:r>
            <w:r>
              <w:rPr>
                <w:sz w:val="24"/>
                <w:szCs w:val="24"/>
              </w:rPr>
              <w:t>）</w:t>
            </w:r>
            <w:r>
              <w:rPr>
                <w:rFonts w:hint="eastAsia"/>
                <w:sz w:val="24"/>
                <w:szCs w:val="24"/>
                <w:lang w:eastAsia="zh-CN"/>
              </w:rPr>
              <w:t>、</w:t>
            </w:r>
            <w:r>
              <w:rPr>
                <w:sz w:val="24"/>
              </w:rPr>
              <w:t>《危险废物贮存污染控制标准》（GB18597-2001）及其2013修改清单相关要求</w:t>
            </w:r>
            <w:r>
              <w:rPr>
                <w:kern w:val="0"/>
                <w:sz w:val="24"/>
                <w:lang w:bidi="ar"/>
              </w:rPr>
              <w:t>，</w:t>
            </w:r>
            <w:r>
              <w:rPr>
                <w:kern w:val="0"/>
                <w:sz w:val="24"/>
              </w:rPr>
              <w:t>各固体废物均能得到妥善解决，对周围环境影响较小。</w:t>
            </w:r>
          </w:p>
          <w:p>
            <w:pPr>
              <w:adjustRightInd w:val="0"/>
              <w:snapToGrid w:val="0"/>
              <w:spacing w:line="360" w:lineRule="auto"/>
              <w:ind w:firstLine="442" w:firstLineChars="200"/>
              <w:rPr>
                <w:bCs/>
                <w:spacing w:val="-10"/>
                <w:sz w:val="24"/>
              </w:rPr>
            </w:pPr>
            <w:r>
              <w:rPr>
                <w:rFonts w:hint="eastAsia"/>
                <w:b/>
                <w:spacing w:val="-10"/>
                <w:sz w:val="24"/>
              </w:rPr>
              <w:t>五</w:t>
            </w:r>
            <w:r>
              <w:rPr>
                <w:b/>
                <w:spacing w:val="-10"/>
                <w:sz w:val="24"/>
              </w:rPr>
              <w:t>、地下水</w:t>
            </w:r>
            <w:r>
              <w:rPr>
                <w:rFonts w:hint="eastAsia"/>
                <w:b/>
                <w:sz w:val="24"/>
                <w:lang w:eastAsia="zh-CN"/>
              </w:rPr>
              <w:t>、</w:t>
            </w:r>
            <w:r>
              <w:rPr>
                <w:rFonts w:hint="eastAsia"/>
                <w:b/>
                <w:bCs/>
                <w:sz w:val="24"/>
              </w:rPr>
              <w:t>土壤</w:t>
            </w:r>
          </w:p>
          <w:p>
            <w:pPr>
              <w:adjustRightInd w:val="0"/>
              <w:snapToGrid w:val="0"/>
              <w:spacing w:line="360" w:lineRule="auto"/>
              <w:ind w:firstLine="480" w:firstLineChars="200"/>
              <w:rPr>
                <w:rFonts w:hint="eastAsia" w:ascii="宋体" w:hAnsi="宋体" w:cs="宋体"/>
                <w:sz w:val="24"/>
                <w:szCs w:val="24"/>
              </w:rPr>
            </w:pPr>
            <w:r>
              <w:rPr>
                <w:rFonts w:hint="eastAsia"/>
                <w:bCs/>
                <w:sz w:val="24"/>
              </w:rPr>
              <w:t>1、污染源及污染途径</w:t>
            </w:r>
          </w:p>
          <w:p>
            <w:pPr>
              <w:adjustRightInd w:val="0"/>
              <w:snapToGrid w:val="0"/>
              <w:spacing w:line="360" w:lineRule="auto"/>
              <w:ind w:firstLine="480" w:firstLineChars="200"/>
              <w:rPr>
                <w:rFonts w:hint="eastAsia"/>
                <w:bCs/>
                <w:sz w:val="24"/>
                <w:szCs w:val="24"/>
              </w:rPr>
            </w:pPr>
            <w:r>
              <w:rPr>
                <w:rFonts w:hint="eastAsia" w:ascii="宋体" w:hAnsi="宋体" w:cs="宋体"/>
                <w:sz w:val="24"/>
                <w:szCs w:val="24"/>
              </w:rPr>
              <w:t>本项目</w:t>
            </w:r>
            <w:r>
              <w:rPr>
                <w:sz w:val="24"/>
                <w:szCs w:val="24"/>
              </w:rPr>
              <w:t>厂界外500米范围内无地下水集中式饮用</w:t>
            </w:r>
            <w:r>
              <w:rPr>
                <w:rFonts w:hint="eastAsia" w:ascii="宋体" w:hAnsi="宋体" w:cs="宋体"/>
                <w:sz w:val="24"/>
                <w:szCs w:val="24"/>
              </w:rPr>
              <w:t>水水源和热水、矿泉水、温泉等特殊地下水资源，</w:t>
            </w:r>
            <w:r>
              <w:rPr>
                <w:rFonts w:ascii="宋体" w:hAnsi="宋体" w:cs="宋体"/>
                <w:sz w:val="24"/>
                <w:szCs w:val="24"/>
              </w:rPr>
              <w:t>并且本项目严格按照导则要求对厂区进行分区防控</w:t>
            </w:r>
            <w:r>
              <w:rPr>
                <w:rFonts w:hint="eastAsia" w:ascii="宋体" w:hAnsi="宋体" w:cs="宋体"/>
                <w:sz w:val="24"/>
                <w:szCs w:val="24"/>
              </w:rPr>
              <w:t>，</w:t>
            </w:r>
            <w:r>
              <w:rPr>
                <w:rFonts w:ascii="宋体" w:hAnsi="宋体" w:cs="宋体"/>
                <w:sz w:val="24"/>
                <w:szCs w:val="24"/>
              </w:rPr>
              <w:t>因此无需开展</w:t>
            </w:r>
            <w:r>
              <w:rPr>
                <w:rFonts w:hint="eastAsia" w:ascii="宋体" w:hAnsi="宋体" w:cs="宋体"/>
                <w:sz w:val="24"/>
                <w:szCs w:val="24"/>
              </w:rPr>
              <w:t>地下水、土壤</w:t>
            </w:r>
            <w:r>
              <w:rPr>
                <w:rFonts w:ascii="宋体" w:hAnsi="宋体" w:cs="宋体"/>
                <w:sz w:val="24"/>
                <w:szCs w:val="24"/>
              </w:rPr>
              <w:t>环境质量现状调查。</w:t>
            </w:r>
          </w:p>
          <w:p>
            <w:pPr>
              <w:adjustRightInd w:val="0"/>
              <w:snapToGrid w:val="0"/>
              <w:spacing w:line="360" w:lineRule="auto"/>
              <w:ind w:firstLine="480" w:firstLineChars="200"/>
              <w:rPr>
                <w:bCs/>
                <w:sz w:val="24"/>
              </w:rPr>
            </w:pPr>
            <w:r>
              <w:rPr>
                <w:rFonts w:hint="eastAsia"/>
                <w:bCs/>
                <w:sz w:val="24"/>
              </w:rPr>
              <w:t>2、</w:t>
            </w:r>
            <w:r>
              <w:rPr>
                <w:rFonts w:ascii="宋体" w:hAnsi="宋体" w:cs="宋体"/>
                <w:sz w:val="24"/>
                <w:szCs w:val="24"/>
              </w:rPr>
              <w:t>分区防控</w:t>
            </w:r>
          </w:p>
          <w:p>
            <w:pPr>
              <w:adjustRightInd w:val="0"/>
              <w:snapToGrid w:val="0"/>
              <w:spacing w:line="360" w:lineRule="auto"/>
              <w:ind w:firstLine="480" w:firstLineChars="200"/>
              <w:rPr>
                <w:snapToGrid w:val="0"/>
                <w:sz w:val="24"/>
                <w:szCs w:val="24"/>
              </w:rPr>
            </w:pPr>
            <w:r>
              <w:rPr>
                <w:rFonts w:hint="eastAsia" w:ascii="宋体" w:hAnsi="宋体" w:cs="宋体"/>
                <w:sz w:val="24"/>
                <w:szCs w:val="24"/>
              </w:rPr>
              <w:t>危险废物暂存间</w:t>
            </w:r>
            <w:r>
              <w:rPr>
                <w:rFonts w:ascii="宋体" w:hAnsi="宋体" w:cs="宋体"/>
                <w:sz w:val="24"/>
                <w:szCs w:val="24"/>
              </w:rPr>
              <w:t>、喷漆房</w:t>
            </w:r>
            <w:r>
              <w:rPr>
                <w:rFonts w:hint="eastAsia" w:ascii="宋体" w:hAnsi="宋体" w:cs="宋体"/>
                <w:sz w:val="24"/>
                <w:szCs w:val="24"/>
              </w:rPr>
              <w:t>、</w:t>
            </w:r>
            <w:r>
              <w:rPr>
                <w:rFonts w:ascii="宋体" w:hAnsi="宋体" w:cs="宋体"/>
                <w:sz w:val="24"/>
                <w:szCs w:val="24"/>
              </w:rPr>
              <w:t>油漆仓库</w:t>
            </w:r>
            <w:r>
              <w:rPr>
                <w:rFonts w:hint="eastAsia"/>
                <w:bCs/>
                <w:sz w:val="24"/>
                <w:szCs w:val="24"/>
              </w:rPr>
              <w:t>等</w:t>
            </w:r>
            <w:r>
              <w:rPr>
                <w:bCs/>
                <w:sz w:val="24"/>
                <w:szCs w:val="24"/>
              </w:rPr>
              <w:t>如防渗措施不到位，将有可能污染土壤。</w:t>
            </w:r>
          </w:p>
          <w:p>
            <w:pPr>
              <w:adjustRightInd w:val="0"/>
              <w:snapToGrid w:val="0"/>
              <w:spacing w:line="360" w:lineRule="auto"/>
              <w:ind w:firstLine="480" w:firstLineChars="200"/>
              <w:rPr>
                <w:sz w:val="24"/>
                <w:szCs w:val="24"/>
              </w:rPr>
            </w:pPr>
            <w:r>
              <w:rPr>
                <w:snapToGrid w:val="0"/>
                <w:sz w:val="24"/>
                <w:szCs w:val="24"/>
              </w:rPr>
              <w:t>项目在建设过程中，将</w:t>
            </w:r>
            <w:r>
              <w:rPr>
                <w:rFonts w:hint="eastAsia" w:ascii="宋体" w:hAnsi="宋体" w:cs="宋体"/>
                <w:sz w:val="24"/>
                <w:szCs w:val="24"/>
              </w:rPr>
              <w:t>危险废物暂存间</w:t>
            </w:r>
            <w:r>
              <w:rPr>
                <w:rFonts w:ascii="宋体" w:hAnsi="宋体" w:cs="宋体"/>
                <w:sz w:val="24"/>
                <w:szCs w:val="24"/>
              </w:rPr>
              <w:t>、喷漆房</w:t>
            </w:r>
            <w:r>
              <w:rPr>
                <w:rFonts w:hint="eastAsia" w:ascii="宋体" w:hAnsi="宋体" w:cs="宋体"/>
                <w:sz w:val="24"/>
                <w:szCs w:val="24"/>
              </w:rPr>
              <w:t>、</w:t>
            </w:r>
            <w:r>
              <w:rPr>
                <w:rFonts w:ascii="宋体" w:hAnsi="宋体" w:cs="宋体"/>
                <w:sz w:val="24"/>
                <w:szCs w:val="24"/>
              </w:rPr>
              <w:t>油漆仓库</w:t>
            </w:r>
            <w:r>
              <w:rPr>
                <w:rFonts w:hint="eastAsia"/>
                <w:bCs/>
                <w:sz w:val="24"/>
                <w:szCs w:val="24"/>
              </w:rPr>
              <w:t>等</w:t>
            </w:r>
            <w:r>
              <w:rPr>
                <w:snapToGrid w:val="0"/>
                <w:sz w:val="24"/>
                <w:szCs w:val="24"/>
              </w:rPr>
              <w:t>区域划分为重点防渗区。</w:t>
            </w:r>
            <w:r>
              <w:rPr>
                <w:sz w:val="24"/>
                <w:szCs w:val="24"/>
              </w:rPr>
              <w:t>防渗层需满足等效黏土防水层Mb≥1.0m，K≤1.0×10</w:t>
            </w:r>
            <w:r>
              <w:rPr>
                <w:sz w:val="24"/>
                <w:szCs w:val="24"/>
                <w:vertAlign w:val="superscript"/>
              </w:rPr>
              <w:t>-7</w:t>
            </w:r>
            <w:r>
              <w:rPr>
                <w:sz w:val="24"/>
                <w:szCs w:val="24"/>
              </w:rPr>
              <w:t>cm/s；或参照《危险废物填埋场污染控制标准》（GB18598-2020）中对防渗层的要求为</w:t>
            </w:r>
            <w:r>
              <w:rPr>
                <w:rFonts w:hint="eastAsia"/>
                <w:sz w:val="24"/>
                <w:szCs w:val="24"/>
              </w:rPr>
              <w:t>“</w:t>
            </w:r>
            <w:r>
              <w:rPr>
                <w:sz w:val="24"/>
                <w:szCs w:val="24"/>
              </w:rPr>
              <w:t>人工合成材料衬层可以采用高密度聚乙烯（HDPE），其渗透系数不大于10</w:t>
            </w:r>
            <w:r>
              <w:rPr>
                <w:sz w:val="24"/>
                <w:szCs w:val="24"/>
                <w:vertAlign w:val="superscript"/>
              </w:rPr>
              <w:t>-10</w:t>
            </w:r>
            <w:r>
              <w:rPr>
                <w:sz w:val="24"/>
                <w:szCs w:val="24"/>
              </w:rPr>
              <w:t>cm/s，厚度不小于1.5mm。</w:t>
            </w:r>
            <w:r>
              <w:rPr>
                <w:rFonts w:hint="eastAsia"/>
                <w:sz w:val="24"/>
                <w:szCs w:val="24"/>
              </w:rPr>
              <w:t>”</w:t>
            </w:r>
            <w:r>
              <w:rPr>
                <w:sz w:val="24"/>
                <w:szCs w:val="24"/>
              </w:rPr>
              <w:t>建议防渗层的设置必须达到</w:t>
            </w:r>
            <w:r>
              <w:rPr>
                <w:rFonts w:hint="eastAsia"/>
                <w:sz w:val="24"/>
                <w:szCs w:val="24"/>
              </w:rPr>
              <w:t>“</w:t>
            </w:r>
            <w:r>
              <w:rPr>
                <w:sz w:val="24"/>
                <w:szCs w:val="24"/>
              </w:rPr>
              <w:t>双人工衬层，且人工衬层的材料渗透系数不大于10</w:t>
            </w:r>
            <w:r>
              <w:rPr>
                <w:sz w:val="24"/>
                <w:szCs w:val="24"/>
                <w:vertAlign w:val="superscript"/>
              </w:rPr>
              <w:t>-10</w:t>
            </w:r>
            <w:r>
              <w:rPr>
                <w:sz w:val="24"/>
                <w:szCs w:val="24"/>
              </w:rPr>
              <w:t>cm/s</w:t>
            </w:r>
            <w:r>
              <w:rPr>
                <w:rFonts w:hint="eastAsia"/>
                <w:sz w:val="24"/>
                <w:szCs w:val="24"/>
              </w:rPr>
              <w:t>”</w:t>
            </w:r>
            <w:r>
              <w:rPr>
                <w:sz w:val="24"/>
                <w:szCs w:val="24"/>
              </w:rPr>
              <w:t>的要求。</w:t>
            </w:r>
          </w:p>
          <w:p>
            <w:pPr>
              <w:adjustRightInd w:val="0"/>
              <w:snapToGrid w:val="0"/>
              <w:spacing w:line="360" w:lineRule="auto"/>
              <w:ind w:firstLine="480" w:firstLineChars="200"/>
              <w:rPr>
                <w:snapToGrid w:val="0"/>
                <w:sz w:val="24"/>
                <w:szCs w:val="24"/>
              </w:rPr>
            </w:pPr>
            <w:r>
              <w:rPr>
                <w:snapToGrid w:val="0"/>
                <w:sz w:val="24"/>
                <w:szCs w:val="24"/>
              </w:rPr>
              <w:t>生产车间划分为一般防渗区，防渗层需满足等效黏土防水层Mb≥0.75m，K≤1.0×10</w:t>
            </w:r>
            <w:r>
              <w:rPr>
                <w:snapToGrid w:val="0"/>
                <w:sz w:val="24"/>
                <w:szCs w:val="24"/>
                <w:vertAlign w:val="superscript"/>
              </w:rPr>
              <w:t>-7</w:t>
            </w:r>
            <w:r>
              <w:rPr>
                <w:snapToGrid w:val="0"/>
                <w:sz w:val="24"/>
                <w:szCs w:val="24"/>
              </w:rPr>
              <w:t>cm/s；或参照《一般工业固体废物贮存和填埋污染控制标准》（GB18599-2020）中Ⅱ类场的要求：</w:t>
            </w:r>
            <w:r>
              <w:rPr>
                <w:rFonts w:hint="eastAsia"/>
                <w:snapToGrid w:val="0"/>
                <w:sz w:val="24"/>
                <w:szCs w:val="24"/>
              </w:rPr>
              <w:t>“</w:t>
            </w:r>
            <w:r>
              <w:rPr>
                <w:snapToGrid w:val="0"/>
                <w:sz w:val="24"/>
                <w:szCs w:val="24"/>
              </w:rPr>
              <w:t>当天然基础层的渗透系统大于1.0×10</w:t>
            </w:r>
            <w:r>
              <w:rPr>
                <w:snapToGrid w:val="0"/>
                <w:sz w:val="24"/>
                <w:szCs w:val="24"/>
                <w:vertAlign w:val="superscript"/>
              </w:rPr>
              <w:t>-7</w:t>
            </w:r>
            <w:r>
              <w:rPr>
                <w:snapToGrid w:val="0"/>
                <w:sz w:val="24"/>
                <w:szCs w:val="24"/>
              </w:rPr>
              <w:t>cm/s时，应采用天然或人工材料构筑防渗层，防渗层的厚度应相当于渗透系数1.0×10</w:t>
            </w:r>
            <w:r>
              <w:rPr>
                <w:snapToGrid w:val="0"/>
                <w:sz w:val="24"/>
                <w:szCs w:val="24"/>
                <w:vertAlign w:val="superscript"/>
              </w:rPr>
              <w:t>-7</w:t>
            </w:r>
            <w:r>
              <w:rPr>
                <w:snapToGrid w:val="0"/>
                <w:sz w:val="24"/>
                <w:szCs w:val="24"/>
              </w:rPr>
              <w:t>cm/s和厚度0.75m的粘土层的防渗性能</w:t>
            </w:r>
            <w:r>
              <w:rPr>
                <w:rFonts w:hint="eastAsia"/>
                <w:snapToGrid w:val="0"/>
                <w:sz w:val="24"/>
                <w:szCs w:val="24"/>
              </w:rPr>
              <w:t>”</w:t>
            </w:r>
            <w:r>
              <w:rPr>
                <w:snapToGrid w:val="0"/>
                <w:sz w:val="24"/>
                <w:szCs w:val="24"/>
              </w:rPr>
              <w:t>。</w:t>
            </w:r>
          </w:p>
          <w:p>
            <w:pPr>
              <w:pStyle w:val="10"/>
              <w:ind w:firstLine="480" w:firstLineChars="200"/>
              <w:jc w:val="both"/>
            </w:pPr>
            <w:r>
              <w:rPr>
                <w:rFonts w:ascii="Times New Roman" w:hAnsi="Times New Roman" w:eastAsia="宋体" w:cs="Times New Roman"/>
                <w:snapToGrid w:val="0"/>
                <w:kern w:val="2"/>
                <w:sz w:val="24"/>
                <w:szCs w:val="24"/>
                <w:lang w:val="en-US" w:eastAsia="zh-CN" w:bidi="ar-SA"/>
              </w:rPr>
              <w:t>根据以上分区情况，对本项目场区防渗分区见下表。</w:t>
            </w:r>
          </w:p>
          <w:p>
            <w:pPr>
              <w:pStyle w:val="47"/>
              <w:spacing w:line="240" w:lineRule="auto"/>
              <w:ind w:firstLine="0" w:firstLineChars="0"/>
              <w:jc w:val="center"/>
              <w:rPr>
                <w:b/>
                <w:bCs/>
              </w:rPr>
            </w:pPr>
            <w:r>
              <w:rPr>
                <w:b/>
                <w:bCs/>
              </w:rPr>
              <w:t>表</w:t>
            </w:r>
            <w:r>
              <w:rPr>
                <w:rFonts w:hint="eastAsia"/>
                <w:b/>
                <w:bCs/>
              </w:rPr>
              <w:t>4-1</w:t>
            </w:r>
            <w:r>
              <w:rPr>
                <w:rFonts w:hint="eastAsia"/>
                <w:b/>
                <w:bCs/>
                <w:lang w:val="en-US" w:eastAsia="zh-CN"/>
              </w:rPr>
              <w:t>6</w:t>
            </w:r>
            <w:r>
              <w:rPr>
                <w:rFonts w:hint="eastAsia"/>
                <w:b/>
                <w:bCs/>
              </w:rPr>
              <w:t xml:space="preserve"> </w:t>
            </w:r>
            <w:r>
              <w:rPr>
                <w:b/>
                <w:bCs/>
              </w:rPr>
              <w:t xml:space="preserve"> </w:t>
            </w:r>
            <w:r>
              <w:rPr>
                <w:rFonts w:hint="eastAsia"/>
                <w:b/>
                <w:bCs/>
              </w:rPr>
              <w:t>厂区各工作区防渗要求</w:t>
            </w:r>
          </w:p>
          <w:tbl>
            <w:tblPr>
              <w:tblStyle w:val="22"/>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325"/>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pStyle w:val="47"/>
                    <w:spacing w:line="240" w:lineRule="auto"/>
                    <w:ind w:firstLine="0" w:firstLineChars="0"/>
                    <w:jc w:val="center"/>
                    <w:rPr>
                      <w:b/>
                      <w:bCs/>
                      <w:sz w:val="21"/>
                      <w:szCs w:val="21"/>
                    </w:rPr>
                  </w:pPr>
                  <w:r>
                    <w:rPr>
                      <w:b/>
                      <w:bCs/>
                      <w:sz w:val="21"/>
                      <w:szCs w:val="21"/>
                    </w:rPr>
                    <w:t>场区内</w:t>
                  </w:r>
                </w:p>
                <w:p>
                  <w:pPr>
                    <w:pStyle w:val="47"/>
                    <w:spacing w:line="240" w:lineRule="auto"/>
                    <w:ind w:firstLine="0" w:firstLineChars="0"/>
                    <w:jc w:val="center"/>
                    <w:rPr>
                      <w:b/>
                      <w:bCs/>
                      <w:sz w:val="21"/>
                      <w:szCs w:val="21"/>
                    </w:rPr>
                  </w:pPr>
                  <w:r>
                    <w:rPr>
                      <w:b/>
                      <w:bCs/>
                      <w:sz w:val="21"/>
                      <w:szCs w:val="21"/>
                    </w:rPr>
                    <w:t>建构筑物</w:t>
                  </w:r>
                </w:p>
              </w:tc>
              <w:tc>
                <w:tcPr>
                  <w:tcW w:w="1324" w:type="dxa"/>
                  <w:vAlign w:val="center"/>
                </w:tcPr>
                <w:p>
                  <w:pPr>
                    <w:pStyle w:val="47"/>
                    <w:spacing w:line="240" w:lineRule="auto"/>
                    <w:ind w:firstLine="0" w:firstLineChars="0"/>
                    <w:jc w:val="center"/>
                    <w:rPr>
                      <w:b/>
                      <w:bCs/>
                      <w:sz w:val="21"/>
                      <w:szCs w:val="21"/>
                    </w:rPr>
                  </w:pPr>
                  <w:r>
                    <w:rPr>
                      <w:b/>
                      <w:bCs/>
                      <w:sz w:val="21"/>
                      <w:szCs w:val="21"/>
                    </w:rPr>
                    <w:t>污染控制难易程度</w:t>
                  </w:r>
                </w:p>
              </w:tc>
              <w:tc>
                <w:tcPr>
                  <w:tcW w:w="1324" w:type="dxa"/>
                  <w:vAlign w:val="center"/>
                </w:tcPr>
                <w:p>
                  <w:pPr>
                    <w:pStyle w:val="47"/>
                    <w:spacing w:line="240" w:lineRule="auto"/>
                    <w:ind w:firstLine="0" w:firstLineChars="0"/>
                    <w:jc w:val="center"/>
                    <w:rPr>
                      <w:b/>
                      <w:bCs/>
                      <w:sz w:val="21"/>
                      <w:szCs w:val="21"/>
                    </w:rPr>
                  </w:pPr>
                  <w:r>
                    <w:rPr>
                      <w:b/>
                      <w:bCs/>
                      <w:sz w:val="21"/>
                      <w:szCs w:val="21"/>
                    </w:rPr>
                    <w:t>污染物</w:t>
                  </w:r>
                </w:p>
                <w:p>
                  <w:pPr>
                    <w:pStyle w:val="47"/>
                    <w:spacing w:line="240" w:lineRule="auto"/>
                    <w:ind w:firstLine="0" w:firstLineChars="0"/>
                    <w:jc w:val="center"/>
                    <w:rPr>
                      <w:b/>
                      <w:bCs/>
                      <w:sz w:val="21"/>
                      <w:szCs w:val="21"/>
                    </w:rPr>
                  </w:pPr>
                  <w:r>
                    <w:rPr>
                      <w:b/>
                      <w:bCs/>
                      <w:sz w:val="21"/>
                      <w:szCs w:val="21"/>
                    </w:rPr>
                    <w:t>类型</w:t>
                  </w:r>
                </w:p>
              </w:tc>
              <w:tc>
                <w:tcPr>
                  <w:tcW w:w="1325" w:type="dxa"/>
                  <w:vAlign w:val="center"/>
                </w:tcPr>
                <w:p>
                  <w:pPr>
                    <w:pStyle w:val="47"/>
                    <w:spacing w:line="240" w:lineRule="auto"/>
                    <w:ind w:firstLine="0" w:firstLineChars="0"/>
                    <w:jc w:val="center"/>
                    <w:rPr>
                      <w:b/>
                      <w:bCs/>
                      <w:sz w:val="21"/>
                      <w:szCs w:val="21"/>
                    </w:rPr>
                  </w:pPr>
                  <w:r>
                    <w:rPr>
                      <w:rFonts w:hint="eastAsia"/>
                      <w:b/>
                      <w:bCs/>
                      <w:sz w:val="21"/>
                      <w:szCs w:val="21"/>
                    </w:rPr>
                    <w:t>防渗级别</w:t>
                  </w:r>
                </w:p>
              </w:tc>
              <w:tc>
                <w:tcPr>
                  <w:tcW w:w="2649" w:type="dxa"/>
                  <w:vAlign w:val="center"/>
                </w:tcPr>
                <w:p>
                  <w:pPr>
                    <w:pStyle w:val="47"/>
                    <w:spacing w:line="240" w:lineRule="auto"/>
                    <w:ind w:firstLine="0" w:firstLineChars="0"/>
                    <w:jc w:val="center"/>
                    <w:rPr>
                      <w:b/>
                      <w:bCs/>
                      <w:sz w:val="21"/>
                      <w:szCs w:val="21"/>
                    </w:rPr>
                  </w:pPr>
                  <w:r>
                    <w:rPr>
                      <w:rFonts w:hint="eastAsia"/>
                      <w:b/>
                      <w:bCs/>
                      <w:sz w:val="21"/>
                      <w:szCs w:val="21"/>
                    </w:rPr>
                    <w:t>防渗要求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pStyle w:val="47"/>
                    <w:spacing w:line="240" w:lineRule="auto"/>
                    <w:ind w:firstLine="0" w:firstLineChars="0"/>
                    <w:jc w:val="center"/>
                    <w:rPr>
                      <w:sz w:val="21"/>
                      <w:szCs w:val="21"/>
                    </w:rPr>
                  </w:pPr>
                  <w:r>
                    <w:rPr>
                      <w:rFonts w:hint="eastAsia"/>
                      <w:sz w:val="21"/>
                      <w:szCs w:val="21"/>
                    </w:rPr>
                    <w:t>危险废物暂存间</w:t>
                  </w:r>
                  <w:r>
                    <w:rPr>
                      <w:sz w:val="21"/>
                      <w:szCs w:val="21"/>
                    </w:rPr>
                    <w:t>、喷漆房</w:t>
                  </w:r>
                  <w:r>
                    <w:rPr>
                      <w:rFonts w:hint="eastAsia"/>
                      <w:sz w:val="21"/>
                      <w:szCs w:val="21"/>
                    </w:rPr>
                    <w:t>、</w:t>
                  </w:r>
                  <w:r>
                    <w:rPr>
                      <w:sz w:val="21"/>
                      <w:szCs w:val="21"/>
                    </w:rPr>
                    <w:t>油漆仓库</w:t>
                  </w:r>
                  <w:r>
                    <w:rPr>
                      <w:rFonts w:hint="eastAsia"/>
                      <w:sz w:val="21"/>
                      <w:szCs w:val="21"/>
                    </w:rPr>
                    <w:t>等</w:t>
                  </w:r>
                </w:p>
              </w:tc>
              <w:tc>
                <w:tcPr>
                  <w:tcW w:w="1324" w:type="dxa"/>
                  <w:vAlign w:val="center"/>
                </w:tcPr>
                <w:p>
                  <w:pPr>
                    <w:pStyle w:val="47"/>
                    <w:spacing w:line="240" w:lineRule="auto"/>
                    <w:ind w:firstLine="0" w:firstLineChars="0"/>
                    <w:jc w:val="center"/>
                    <w:rPr>
                      <w:sz w:val="21"/>
                      <w:szCs w:val="21"/>
                    </w:rPr>
                  </w:pPr>
                  <w:r>
                    <w:rPr>
                      <w:sz w:val="21"/>
                      <w:szCs w:val="21"/>
                    </w:rPr>
                    <w:t>难</w:t>
                  </w:r>
                </w:p>
              </w:tc>
              <w:tc>
                <w:tcPr>
                  <w:tcW w:w="1324" w:type="dxa"/>
                  <w:vAlign w:val="center"/>
                </w:tcPr>
                <w:p>
                  <w:pPr>
                    <w:jc w:val="center"/>
                    <w:rPr>
                      <w:sz w:val="21"/>
                      <w:szCs w:val="21"/>
                    </w:rPr>
                  </w:pPr>
                  <w:r>
                    <w:rPr>
                      <w:sz w:val="21"/>
                      <w:szCs w:val="21"/>
                    </w:rPr>
                    <w:t>其他类型</w:t>
                  </w:r>
                </w:p>
              </w:tc>
              <w:tc>
                <w:tcPr>
                  <w:tcW w:w="1325" w:type="dxa"/>
                  <w:vAlign w:val="center"/>
                </w:tcPr>
                <w:p>
                  <w:pPr>
                    <w:pStyle w:val="47"/>
                    <w:spacing w:line="240" w:lineRule="auto"/>
                    <w:ind w:firstLine="0" w:firstLineChars="0"/>
                    <w:jc w:val="center"/>
                    <w:rPr>
                      <w:sz w:val="21"/>
                      <w:szCs w:val="21"/>
                    </w:rPr>
                  </w:pPr>
                  <w:r>
                    <w:rPr>
                      <w:rFonts w:hint="eastAsia"/>
                      <w:sz w:val="21"/>
                      <w:szCs w:val="21"/>
                    </w:rPr>
                    <w:t>重点防渗</w:t>
                  </w:r>
                </w:p>
              </w:tc>
              <w:tc>
                <w:tcPr>
                  <w:tcW w:w="2649" w:type="dxa"/>
                  <w:vAlign w:val="center"/>
                </w:tcPr>
                <w:p>
                  <w:pPr>
                    <w:pStyle w:val="47"/>
                    <w:spacing w:line="240" w:lineRule="auto"/>
                    <w:ind w:firstLine="0" w:firstLineChars="0"/>
                    <w:jc w:val="center"/>
                    <w:rPr>
                      <w:sz w:val="21"/>
                      <w:szCs w:val="21"/>
                    </w:rPr>
                  </w:pPr>
                  <w:r>
                    <w:rPr>
                      <w:sz w:val="21"/>
                      <w:szCs w:val="21"/>
                    </w:rPr>
                    <w:t>防渗层需满足等效黏土防水层Mb≥1.0m，K≤1.0×10</w:t>
                  </w:r>
                  <w:r>
                    <w:rPr>
                      <w:sz w:val="21"/>
                      <w:szCs w:val="21"/>
                      <w:vertAlign w:val="superscript"/>
                    </w:rPr>
                    <w:t>-7</w:t>
                  </w:r>
                  <w:r>
                    <w:rPr>
                      <w:sz w:val="21"/>
                      <w:szCs w:val="21"/>
                    </w:rPr>
                    <w:t>cm/s</w:t>
                  </w:r>
                  <w:r>
                    <w:rPr>
                      <w:color w:val="000000"/>
                      <w:sz w:val="21"/>
                      <w:szCs w:val="21"/>
                    </w:rPr>
                    <w:t>，或</w:t>
                  </w:r>
                  <w:r>
                    <w:rPr>
                      <w:sz w:val="21"/>
                      <w:szCs w:val="21"/>
                    </w:rPr>
                    <w:t>为</w:t>
                  </w:r>
                  <w:r>
                    <w:rPr>
                      <w:rFonts w:hint="eastAsia"/>
                      <w:sz w:val="21"/>
                      <w:szCs w:val="21"/>
                    </w:rPr>
                    <w:t>“</w:t>
                  </w:r>
                  <w:r>
                    <w:rPr>
                      <w:sz w:val="21"/>
                      <w:szCs w:val="21"/>
                    </w:rPr>
                    <w:t>人工合成材料衬层可以采用高密度聚乙烯（HDPE），其渗透系数不大于10</w:t>
                  </w:r>
                  <w:r>
                    <w:rPr>
                      <w:sz w:val="21"/>
                      <w:szCs w:val="21"/>
                      <w:vertAlign w:val="superscript"/>
                    </w:rPr>
                    <w:t>-10</w:t>
                  </w:r>
                  <w:r>
                    <w:rPr>
                      <w:sz w:val="21"/>
                      <w:szCs w:val="21"/>
                    </w:rPr>
                    <w:t>cm/s，厚度不小于1.5mm。</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4" w:type="dxa"/>
                  <w:vAlign w:val="center"/>
                </w:tcPr>
                <w:p>
                  <w:pPr>
                    <w:pStyle w:val="47"/>
                    <w:spacing w:line="240" w:lineRule="auto"/>
                    <w:ind w:firstLine="0" w:firstLineChars="0"/>
                    <w:jc w:val="center"/>
                    <w:rPr>
                      <w:sz w:val="21"/>
                      <w:szCs w:val="21"/>
                    </w:rPr>
                  </w:pPr>
                  <w:r>
                    <w:rPr>
                      <w:sz w:val="21"/>
                      <w:szCs w:val="21"/>
                    </w:rPr>
                    <w:t>生产车间</w:t>
                  </w:r>
                  <w:r>
                    <w:rPr>
                      <w:rFonts w:hint="eastAsia"/>
                      <w:sz w:val="21"/>
                      <w:szCs w:val="21"/>
                    </w:rPr>
                    <w:t>等</w:t>
                  </w:r>
                </w:p>
              </w:tc>
              <w:tc>
                <w:tcPr>
                  <w:tcW w:w="1324" w:type="dxa"/>
                  <w:vAlign w:val="center"/>
                </w:tcPr>
                <w:p>
                  <w:pPr>
                    <w:pStyle w:val="47"/>
                    <w:spacing w:line="240" w:lineRule="auto"/>
                    <w:ind w:firstLine="0" w:firstLineChars="0"/>
                    <w:jc w:val="center"/>
                    <w:rPr>
                      <w:sz w:val="21"/>
                      <w:szCs w:val="21"/>
                    </w:rPr>
                  </w:pPr>
                  <w:r>
                    <w:rPr>
                      <w:sz w:val="21"/>
                      <w:szCs w:val="21"/>
                    </w:rPr>
                    <w:t>难</w:t>
                  </w:r>
                </w:p>
              </w:tc>
              <w:tc>
                <w:tcPr>
                  <w:tcW w:w="1324" w:type="dxa"/>
                  <w:vAlign w:val="center"/>
                </w:tcPr>
                <w:p>
                  <w:pPr>
                    <w:jc w:val="center"/>
                    <w:rPr>
                      <w:sz w:val="21"/>
                      <w:szCs w:val="21"/>
                    </w:rPr>
                  </w:pPr>
                  <w:r>
                    <w:rPr>
                      <w:sz w:val="21"/>
                      <w:szCs w:val="21"/>
                    </w:rPr>
                    <w:t>其他类型</w:t>
                  </w:r>
                </w:p>
              </w:tc>
              <w:tc>
                <w:tcPr>
                  <w:tcW w:w="1325" w:type="dxa"/>
                  <w:vAlign w:val="center"/>
                </w:tcPr>
                <w:p>
                  <w:pPr>
                    <w:pStyle w:val="47"/>
                    <w:spacing w:line="240" w:lineRule="auto"/>
                    <w:ind w:firstLine="0" w:firstLineChars="0"/>
                    <w:jc w:val="center"/>
                    <w:rPr>
                      <w:sz w:val="21"/>
                      <w:szCs w:val="21"/>
                    </w:rPr>
                  </w:pPr>
                  <w:r>
                    <w:rPr>
                      <w:rFonts w:hint="eastAsia"/>
                      <w:sz w:val="21"/>
                      <w:szCs w:val="21"/>
                    </w:rPr>
                    <w:t>一般防渗</w:t>
                  </w:r>
                </w:p>
              </w:tc>
              <w:tc>
                <w:tcPr>
                  <w:tcW w:w="2649" w:type="dxa"/>
                  <w:vAlign w:val="center"/>
                </w:tcPr>
                <w:p>
                  <w:pPr>
                    <w:pStyle w:val="47"/>
                    <w:spacing w:line="240" w:lineRule="auto"/>
                    <w:ind w:firstLine="0" w:firstLineChars="0"/>
                    <w:jc w:val="center"/>
                    <w:rPr>
                      <w:sz w:val="21"/>
                      <w:szCs w:val="21"/>
                    </w:rPr>
                  </w:pPr>
                  <w:r>
                    <w:rPr>
                      <w:color w:val="000000"/>
                      <w:sz w:val="21"/>
                      <w:szCs w:val="21"/>
                    </w:rPr>
                    <w:t>应采用天然或人工材料构筑防渗层，防渗层的厚度应相当于渗透系数1.0×10</w:t>
                  </w:r>
                  <w:r>
                    <w:rPr>
                      <w:color w:val="000000"/>
                      <w:sz w:val="21"/>
                      <w:szCs w:val="21"/>
                      <w:vertAlign w:val="superscript"/>
                    </w:rPr>
                    <w:t>-7</w:t>
                  </w:r>
                  <w:r>
                    <w:rPr>
                      <w:color w:val="000000"/>
                      <w:sz w:val="21"/>
                      <w:szCs w:val="21"/>
                    </w:rPr>
                    <w:t>cm/s和厚度0.75m的粘土层的防渗性能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24" w:type="dxa"/>
                  <w:vAlign w:val="center"/>
                </w:tcPr>
                <w:p>
                  <w:pPr>
                    <w:pStyle w:val="47"/>
                    <w:spacing w:line="240" w:lineRule="auto"/>
                    <w:ind w:firstLine="0" w:firstLineChars="0"/>
                    <w:jc w:val="center"/>
                    <w:rPr>
                      <w:sz w:val="21"/>
                      <w:szCs w:val="21"/>
                    </w:rPr>
                  </w:pPr>
                  <w:r>
                    <w:rPr>
                      <w:sz w:val="21"/>
                      <w:szCs w:val="21"/>
                    </w:rPr>
                    <w:t>办公区域</w:t>
                  </w:r>
                </w:p>
              </w:tc>
              <w:tc>
                <w:tcPr>
                  <w:tcW w:w="1324" w:type="dxa"/>
                  <w:vAlign w:val="center"/>
                </w:tcPr>
                <w:p>
                  <w:pPr>
                    <w:pStyle w:val="47"/>
                    <w:spacing w:line="240" w:lineRule="auto"/>
                    <w:ind w:firstLine="0" w:firstLineChars="0"/>
                    <w:jc w:val="center"/>
                    <w:rPr>
                      <w:sz w:val="21"/>
                      <w:szCs w:val="21"/>
                    </w:rPr>
                  </w:pPr>
                  <w:r>
                    <w:rPr>
                      <w:sz w:val="21"/>
                      <w:szCs w:val="21"/>
                    </w:rPr>
                    <w:t>易</w:t>
                  </w:r>
                </w:p>
              </w:tc>
              <w:tc>
                <w:tcPr>
                  <w:tcW w:w="1324" w:type="dxa"/>
                  <w:vAlign w:val="center"/>
                </w:tcPr>
                <w:p>
                  <w:pPr>
                    <w:pStyle w:val="47"/>
                    <w:spacing w:line="240" w:lineRule="auto"/>
                    <w:ind w:firstLine="0" w:firstLineChars="0"/>
                    <w:jc w:val="center"/>
                    <w:rPr>
                      <w:sz w:val="21"/>
                      <w:szCs w:val="21"/>
                    </w:rPr>
                  </w:pPr>
                  <w:r>
                    <w:rPr>
                      <w:sz w:val="21"/>
                      <w:szCs w:val="21"/>
                    </w:rPr>
                    <w:t>其他类型</w:t>
                  </w:r>
                </w:p>
              </w:tc>
              <w:tc>
                <w:tcPr>
                  <w:tcW w:w="1325" w:type="dxa"/>
                  <w:vAlign w:val="center"/>
                </w:tcPr>
                <w:p>
                  <w:pPr>
                    <w:pStyle w:val="47"/>
                    <w:spacing w:line="240" w:lineRule="auto"/>
                    <w:ind w:firstLine="0" w:firstLineChars="0"/>
                    <w:jc w:val="center"/>
                    <w:rPr>
                      <w:sz w:val="21"/>
                      <w:szCs w:val="21"/>
                    </w:rPr>
                  </w:pPr>
                  <w:r>
                    <w:rPr>
                      <w:sz w:val="21"/>
                      <w:szCs w:val="21"/>
                    </w:rPr>
                    <w:t>简单防渗区</w:t>
                  </w:r>
                </w:p>
              </w:tc>
              <w:tc>
                <w:tcPr>
                  <w:tcW w:w="2649" w:type="dxa"/>
                  <w:vAlign w:val="center"/>
                </w:tcPr>
                <w:p>
                  <w:pPr>
                    <w:pStyle w:val="47"/>
                    <w:spacing w:line="240" w:lineRule="auto"/>
                    <w:ind w:firstLine="0" w:firstLineChars="0"/>
                    <w:jc w:val="center"/>
                    <w:rPr>
                      <w:color w:val="000000"/>
                      <w:sz w:val="21"/>
                      <w:szCs w:val="21"/>
                    </w:rPr>
                  </w:pPr>
                  <w:r>
                    <w:rPr>
                      <w:sz w:val="21"/>
                      <w:szCs w:val="21"/>
                    </w:rPr>
                    <w:t>一般地面硬化</w:t>
                  </w:r>
                </w:p>
              </w:tc>
            </w:tr>
          </w:tbl>
          <w:p>
            <w:pPr>
              <w:adjustRightInd w:val="0"/>
              <w:snapToGrid w:val="0"/>
              <w:spacing w:line="360" w:lineRule="auto"/>
              <w:ind w:firstLine="422" w:firstLineChars="200"/>
              <w:rPr>
                <w:b/>
                <w:bCs/>
                <w:spacing w:val="-10"/>
                <w:sz w:val="24"/>
              </w:rPr>
            </w:pPr>
            <w:r>
              <w:rPr>
                <w:rFonts w:hint="eastAsia"/>
                <w:b/>
                <w:bCs/>
              </w:rPr>
              <w:t>六</w:t>
            </w:r>
            <w:r>
              <w:rPr>
                <w:b/>
                <w:bCs/>
                <w:spacing w:val="-10"/>
                <w:sz w:val="24"/>
              </w:rPr>
              <w:t>、生态</w:t>
            </w:r>
          </w:p>
          <w:p>
            <w:pPr>
              <w:adjustRightInd w:val="0"/>
              <w:snapToGrid w:val="0"/>
              <w:spacing w:line="360" w:lineRule="auto"/>
              <w:ind w:firstLine="440" w:firstLineChars="200"/>
              <w:rPr>
                <w:bCs/>
                <w:spacing w:val="-10"/>
                <w:szCs w:val="21"/>
              </w:rPr>
            </w:pPr>
            <w:r>
              <w:rPr>
                <w:bCs/>
                <w:spacing w:val="-10"/>
                <w:sz w:val="24"/>
              </w:rPr>
              <w:t>项目位于</w:t>
            </w:r>
            <w:r>
              <w:rPr>
                <w:sz w:val="24"/>
              </w:rPr>
              <w:t>宿州市泗县刘圩镇工业园区金光大道</w:t>
            </w:r>
            <w:r>
              <w:rPr>
                <w:rFonts w:ascii="宋体" w:hAnsi="宋体" w:eastAsia="宋体" w:cs="宋体"/>
                <w:sz w:val="24"/>
                <w:szCs w:val="24"/>
              </w:rPr>
              <w:t>西</w:t>
            </w:r>
            <w:r>
              <w:rPr>
                <w:rFonts w:hint="default" w:ascii="Times New Roman" w:hAnsi="Times New Roman" w:eastAsia="宋体" w:cs="Times New Roman"/>
                <w:sz w:val="24"/>
                <w:szCs w:val="24"/>
              </w:rPr>
              <w:t>侧变电所南50米</w:t>
            </w:r>
            <w:r>
              <w:rPr>
                <w:bCs/>
                <w:spacing w:val="-10"/>
                <w:sz w:val="24"/>
              </w:rPr>
              <w:t>，用地范围内不含生态环境保护目标，故不对生态环境进行影响分析</w:t>
            </w:r>
            <w:r>
              <w:rPr>
                <w:bCs/>
                <w:spacing w:val="-10"/>
                <w:szCs w:val="21"/>
              </w:rPr>
              <w:t>。</w:t>
            </w:r>
          </w:p>
          <w:p>
            <w:pPr>
              <w:adjustRightInd w:val="0"/>
              <w:snapToGrid w:val="0"/>
              <w:spacing w:line="360" w:lineRule="auto"/>
              <w:ind w:firstLine="422" w:firstLineChars="200"/>
              <w:rPr>
                <w:b/>
                <w:bCs/>
                <w:spacing w:val="-10"/>
                <w:sz w:val="24"/>
              </w:rPr>
            </w:pPr>
            <w:r>
              <w:rPr>
                <w:rFonts w:hint="eastAsia"/>
                <w:b/>
                <w:bCs/>
              </w:rPr>
              <w:t>七</w:t>
            </w:r>
            <w:r>
              <w:rPr>
                <w:b/>
                <w:bCs/>
                <w:spacing w:val="-10"/>
                <w:sz w:val="24"/>
              </w:rPr>
              <w:t>、环境风险</w:t>
            </w:r>
          </w:p>
          <w:p>
            <w:pPr>
              <w:adjustRightInd w:val="0"/>
              <w:snapToGrid w:val="0"/>
              <w:spacing w:line="360" w:lineRule="auto"/>
              <w:ind w:firstLine="480" w:firstLineChars="200"/>
              <w:rPr>
                <w:bCs/>
                <w:sz w:val="24"/>
                <w:szCs w:val="24"/>
              </w:rPr>
            </w:pPr>
            <w:r>
              <w:rPr>
                <w:bCs/>
                <w:sz w:val="24"/>
                <w:szCs w:val="24"/>
              </w:rPr>
              <w:t>1、风险识别</w:t>
            </w:r>
          </w:p>
          <w:p>
            <w:pPr>
              <w:spacing w:line="360" w:lineRule="auto"/>
              <w:ind w:firstLine="480" w:firstLineChars="200"/>
              <w:rPr>
                <w:color w:val="000000"/>
                <w:sz w:val="24"/>
                <w:szCs w:val="24"/>
              </w:rPr>
            </w:pPr>
            <w:r>
              <w:rPr>
                <w:color w:val="000000"/>
                <w:sz w:val="24"/>
                <w:szCs w:val="24"/>
              </w:rPr>
              <w:t>按</w:t>
            </w:r>
            <w:r>
              <w:rPr>
                <w:color w:val="000000" w:themeColor="text1"/>
                <w:sz w:val="24"/>
                <w:szCs w:val="24"/>
                <w14:textFill>
                  <w14:solidFill>
                    <w14:schemeClr w14:val="tx1"/>
                  </w14:solidFill>
                </w14:textFill>
              </w:rPr>
              <w:t>《建设项目环境风险评价技术导则》（HJ169-2018）</w:t>
            </w:r>
            <w:r>
              <w:rPr>
                <w:rFonts w:hint="eastAsia"/>
                <w:bCs/>
                <w:color w:val="000000" w:themeColor="text1"/>
                <w:sz w:val="24"/>
                <w:szCs w:val="24"/>
                <w14:textFill>
                  <w14:solidFill>
                    <w14:schemeClr w14:val="tx1"/>
                  </w14:solidFill>
                </w14:textFill>
              </w:rPr>
              <w:t>附录B.1</w:t>
            </w:r>
            <w:r>
              <w:rPr>
                <w:color w:val="000000" w:themeColor="text1"/>
                <w:sz w:val="24"/>
                <w:szCs w:val="24"/>
                <w14:textFill>
                  <w14:solidFill>
                    <w14:schemeClr w14:val="tx1"/>
                  </w14:solidFill>
                </w14:textFill>
              </w:rPr>
              <w:t>中“物质危险性标准”，对拟建项目涉及的物质进行危险性识别</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本</w:t>
            </w:r>
            <w:r>
              <w:rPr>
                <w:rFonts w:ascii="宋体" w:hAnsi="宋体" w:cs="宋体"/>
                <w:color w:val="000000" w:themeColor="text1"/>
                <w:sz w:val="24"/>
                <w:szCs w:val="24"/>
                <w14:textFill>
                  <w14:solidFill>
                    <w14:schemeClr w14:val="tx1"/>
                  </w14:solidFill>
                </w14:textFill>
              </w:rPr>
              <w:t>项目涉及</w:t>
            </w:r>
            <w:r>
              <w:rPr>
                <w:rFonts w:hint="eastAsia" w:ascii="宋体" w:hAnsi="宋体" w:cs="宋体"/>
                <w:color w:val="000000" w:themeColor="text1"/>
                <w:sz w:val="24"/>
                <w:szCs w:val="24"/>
                <w14:textFill>
                  <w14:solidFill>
                    <w14:schemeClr w14:val="tx1"/>
                  </w14:solidFill>
                </w14:textFill>
              </w:rPr>
              <w:t>到</w:t>
            </w:r>
            <w:r>
              <w:rPr>
                <w:rFonts w:ascii="宋体" w:hAnsi="宋体" w:cs="宋体"/>
                <w:color w:val="000000" w:themeColor="text1"/>
                <w:sz w:val="24"/>
                <w:szCs w:val="24"/>
                <w14:textFill>
                  <w14:solidFill>
                    <w14:schemeClr w14:val="tx1"/>
                  </w14:solidFill>
                </w14:textFill>
              </w:rPr>
              <w:t>其中</w:t>
            </w:r>
            <w:r>
              <w:rPr>
                <w:color w:val="000000" w:themeColor="text1"/>
                <w:sz w:val="24"/>
                <w:szCs w:val="24"/>
                <w14:textFill>
                  <w14:solidFill>
                    <w14:schemeClr w14:val="tx1"/>
                  </w14:solidFill>
                </w14:textFill>
              </w:rPr>
              <w:t>危险物料</w:t>
            </w:r>
            <w:r>
              <w:rPr>
                <w:rFonts w:hint="eastAsia"/>
                <w:color w:val="000000" w:themeColor="text1"/>
                <w:sz w:val="24"/>
                <w:szCs w:val="24"/>
                <w14:textFill>
                  <w14:solidFill>
                    <w14:schemeClr w14:val="tx1"/>
                  </w14:solidFill>
                </w14:textFill>
              </w:rPr>
              <w:t>的为底漆、面漆、稀释剂、固化剂</w:t>
            </w:r>
            <w:r>
              <w:rPr>
                <w:rFonts w:ascii="宋体" w:hAnsi="宋体" w:cs="宋体"/>
                <w:sz w:val="24"/>
                <w:szCs w:val="24"/>
              </w:rPr>
              <w:t>中含有的二甲苯</w:t>
            </w:r>
            <w:r>
              <w:rPr>
                <w:rFonts w:hint="eastAsia" w:ascii="宋体" w:hAnsi="宋体" w:cs="宋体"/>
                <w:sz w:val="24"/>
                <w:szCs w:val="24"/>
              </w:rPr>
              <w:t>。</w:t>
            </w:r>
          </w:p>
          <w:p>
            <w:pPr>
              <w:pStyle w:val="44"/>
              <w:spacing w:before="2" w:line="360" w:lineRule="auto"/>
              <w:ind w:firstLine="452" w:firstLineChars="200"/>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2、环境风险评价的依据</w:t>
            </w:r>
          </w:p>
          <w:p>
            <w:pPr>
              <w:adjustRightInd w:val="0"/>
              <w:snapToGrid w:val="0"/>
              <w:spacing w:line="360" w:lineRule="auto"/>
              <w:ind w:firstLine="480" w:firstLineChars="200"/>
              <w:rPr>
                <w:sz w:val="24"/>
                <w:szCs w:val="24"/>
              </w:rPr>
            </w:pPr>
            <w:r>
              <w:rPr>
                <w:rFonts w:hint="eastAsia"/>
                <w:bCs/>
                <w:sz w:val="24"/>
                <w:szCs w:val="24"/>
              </w:rPr>
              <w:t>对照《建设项目环境风险评价技术导则》（HJ169-2018）附录B</w:t>
            </w:r>
            <w:r>
              <w:rPr>
                <w:sz w:val="24"/>
                <w:szCs w:val="24"/>
              </w:rPr>
              <w:t>计算所涉及的每种危险物质在厂界内的最大存在总量与其在《建设项目环境风险评价技术导则》（HJ169-2018）附录B中对应临界量的比值Q。在不同厂区的同一种物质，按其在厂界内的最大存在总量计算。</w:t>
            </w:r>
          </w:p>
          <w:p>
            <w:pPr>
              <w:spacing w:line="360" w:lineRule="auto"/>
              <w:ind w:firstLine="452" w:firstLineChars="200"/>
              <w:rPr>
                <w:color w:val="000000"/>
                <w:spacing w:val="-7"/>
                <w:kern w:val="0"/>
                <w:sz w:val="24"/>
                <w:szCs w:val="24"/>
              </w:rPr>
            </w:pPr>
            <w:r>
              <w:rPr>
                <w:color w:val="000000"/>
                <w:spacing w:val="-7"/>
                <w:kern w:val="0"/>
                <w:sz w:val="24"/>
                <w:szCs w:val="24"/>
              </w:rPr>
              <w:t>当只涉及一种危险物质时，计算该物质的总量与其临界量比值，即为 Q；</w:t>
            </w:r>
          </w:p>
          <w:p>
            <w:pPr>
              <w:spacing w:line="360" w:lineRule="auto"/>
              <w:ind w:firstLine="482"/>
              <w:rPr>
                <w:color w:val="000000"/>
                <w:sz w:val="24"/>
                <w:szCs w:val="24"/>
              </w:rPr>
            </w:pPr>
            <w:r>
              <w:rPr>
                <w:color w:val="000000"/>
                <w:spacing w:val="-7"/>
                <w:kern w:val="0"/>
                <w:sz w:val="24"/>
                <w:szCs w:val="24"/>
              </w:rPr>
              <w:t>当存在多种危险物质时，则按下式计算物质总量与其临界量比值（Q）：</w:t>
            </w:r>
          </w:p>
          <w:p>
            <w:pPr>
              <w:jc w:val="center"/>
              <w:rPr>
                <w:color w:val="000000"/>
                <w:sz w:val="24"/>
                <w:szCs w:val="24"/>
              </w:rPr>
            </w:pPr>
            <w:r>
              <w:rPr>
                <w:color w:val="000000"/>
                <w:sz w:val="24"/>
                <w:szCs w:val="24"/>
              </w:rPr>
              <w:drawing>
                <wp:inline distT="0" distB="0" distL="114300" distR="114300">
                  <wp:extent cx="2133600" cy="542925"/>
                  <wp:effectExtent l="0" t="0" r="0" b="0"/>
                  <wp:docPr id="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pic:cNvPicPr>
                            <a:picLocks noChangeAspect="1"/>
                          </pic:cNvPicPr>
                        </pic:nvPicPr>
                        <pic:blipFill>
                          <a:blip r:embed="rId26"/>
                          <a:stretch>
                            <a:fillRect/>
                          </a:stretch>
                        </pic:blipFill>
                        <pic:spPr>
                          <a:xfrm>
                            <a:off x="0" y="0"/>
                            <a:ext cx="2133600" cy="542925"/>
                          </a:xfrm>
                          <a:prstGeom prst="rect">
                            <a:avLst/>
                          </a:prstGeom>
                          <a:noFill/>
                          <a:ln>
                            <a:noFill/>
                          </a:ln>
                        </pic:spPr>
                      </pic:pic>
                    </a:graphicData>
                  </a:graphic>
                </wp:inline>
              </w:drawing>
            </w:r>
          </w:p>
          <w:p>
            <w:pPr>
              <w:spacing w:line="360" w:lineRule="auto"/>
              <w:ind w:firstLine="480"/>
              <w:rPr>
                <w:color w:val="000000"/>
                <w:spacing w:val="-7"/>
                <w:kern w:val="0"/>
                <w:sz w:val="24"/>
                <w:szCs w:val="24"/>
              </w:rPr>
            </w:pPr>
            <w:r>
              <w:rPr>
                <w:color w:val="000000"/>
                <w:spacing w:val="-7"/>
                <w:kern w:val="0"/>
                <w:sz w:val="24"/>
                <w:szCs w:val="24"/>
              </w:rPr>
              <w:t>式中：</w:t>
            </w:r>
            <w:r>
              <w:rPr>
                <w:i/>
                <w:iCs/>
                <w:color w:val="000000"/>
                <w:spacing w:val="-7"/>
                <w:kern w:val="0"/>
                <w:sz w:val="24"/>
                <w:szCs w:val="24"/>
              </w:rPr>
              <w:t>q</w:t>
            </w:r>
            <w:r>
              <w:rPr>
                <w:i/>
                <w:iCs/>
                <w:color w:val="000000"/>
                <w:spacing w:val="-7"/>
                <w:kern w:val="0"/>
                <w:sz w:val="24"/>
                <w:szCs w:val="24"/>
                <w:vertAlign w:val="subscript"/>
              </w:rPr>
              <w:t>1</w:t>
            </w:r>
            <w:r>
              <w:rPr>
                <w:i/>
                <w:iCs/>
                <w:color w:val="000000"/>
                <w:spacing w:val="-7"/>
                <w:kern w:val="0"/>
                <w:sz w:val="24"/>
                <w:szCs w:val="24"/>
              </w:rPr>
              <w:t>，q</w:t>
            </w:r>
            <w:r>
              <w:rPr>
                <w:i/>
                <w:iCs/>
                <w:color w:val="000000"/>
                <w:spacing w:val="-7"/>
                <w:kern w:val="0"/>
                <w:sz w:val="24"/>
                <w:szCs w:val="24"/>
                <w:vertAlign w:val="subscript"/>
              </w:rPr>
              <w:t>2</w:t>
            </w:r>
            <w:r>
              <w:rPr>
                <w:i/>
                <w:iCs/>
                <w:color w:val="000000"/>
                <w:spacing w:val="-7"/>
                <w:kern w:val="0"/>
                <w:sz w:val="24"/>
                <w:szCs w:val="24"/>
              </w:rPr>
              <w:t>，...，q</w:t>
            </w:r>
            <w:r>
              <w:rPr>
                <w:i/>
                <w:iCs/>
                <w:color w:val="000000"/>
                <w:spacing w:val="-7"/>
                <w:kern w:val="0"/>
                <w:sz w:val="24"/>
                <w:szCs w:val="24"/>
                <w:vertAlign w:val="subscript"/>
              </w:rPr>
              <w:t>n</w:t>
            </w:r>
            <w:r>
              <w:rPr>
                <w:color w:val="000000"/>
                <w:spacing w:val="-7"/>
                <w:kern w:val="0"/>
                <w:sz w:val="24"/>
                <w:szCs w:val="24"/>
              </w:rPr>
              <w:t>——每种危险物质的最大存在总量，t；</w:t>
            </w:r>
          </w:p>
          <w:p>
            <w:pPr>
              <w:spacing w:line="360" w:lineRule="auto"/>
              <w:ind w:firstLine="480"/>
              <w:rPr>
                <w:color w:val="000000"/>
                <w:spacing w:val="-7"/>
                <w:kern w:val="0"/>
                <w:sz w:val="24"/>
                <w:szCs w:val="24"/>
              </w:rPr>
            </w:pPr>
            <w:r>
              <w:rPr>
                <w:i/>
                <w:iCs/>
                <w:color w:val="000000"/>
                <w:spacing w:val="-7"/>
                <w:kern w:val="0"/>
                <w:sz w:val="24"/>
                <w:szCs w:val="24"/>
              </w:rPr>
              <w:t>Q</w:t>
            </w:r>
            <w:r>
              <w:rPr>
                <w:i/>
                <w:iCs/>
                <w:color w:val="000000"/>
                <w:spacing w:val="-7"/>
                <w:kern w:val="0"/>
                <w:sz w:val="24"/>
                <w:szCs w:val="24"/>
                <w:vertAlign w:val="subscript"/>
              </w:rPr>
              <w:t>1</w:t>
            </w:r>
            <w:r>
              <w:rPr>
                <w:i/>
                <w:iCs/>
                <w:color w:val="000000"/>
                <w:spacing w:val="-7"/>
                <w:kern w:val="0"/>
                <w:sz w:val="24"/>
                <w:szCs w:val="24"/>
              </w:rPr>
              <w:t>, Q</w:t>
            </w:r>
            <w:r>
              <w:rPr>
                <w:i/>
                <w:iCs/>
                <w:color w:val="000000"/>
                <w:spacing w:val="-7"/>
                <w:kern w:val="0"/>
                <w:sz w:val="24"/>
                <w:szCs w:val="24"/>
                <w:vertAlign w:val="subscript"/>
              </w:rPr>
              <w:t>2</w:t>
            </w:r>
            <w:r>
              <w:rPr>
                <w:i/>
                <w:iCs/>
                <w:color w:val="000000"/>
                <w:spacing w:val="-7"/>
                <w:kern w:val="0"/>
                <w:sz w:val="24"/>
                <w:szCs w:val="24"/>
              </w:rPr>
              <w:t>, ..., Q</w:t>
            </w:r>
            <w:r>
              <w:rPr>
                <w:i/>
                <w:iCs/>
                <w:color w:val="000000"/>
                <w:spacing w:val="-7"/>
                <w:kern w:val="0"/>
                <w:sz w:val="24"/>
                <w:szCs w:val="24"/>
                <w:vertAlign w:val="subscript"/>
              </w:rPr>
              <w:t>n</w:t>
            </w:r>
            <w:r>
              <w:rPr>
                <w:color w:val="000000"/>
                <w:spacing w:val="-7"/>
                <w:kern w:val="0"/>
                <w:sz w:val="24"/>
                <w:szCs w:val="24"/>
              </w:rPr>
              <w:t>——每种危险物质的临界量，t。</w:t>
            </w:r>
          </w:p>
          <w:p>
            <w:pPr>
              <w:tabs>
                <w:tab w:val="left" w:pos="2160"/>
              </w:tabs>
              <w:spacing w:line="360" w:lineRule="auto"/>
              <w:jc w:val="center"/>
              <w:rPr>
                <w:color w:val="000000"/>
                <w:sz w:val="24"/>
                <w:szCs w:val="24"/>
              </w:rPr>
            </w:pPr>
            <w:r>
              <w:rPr>
                <w:b/>
                <w:color w:val="000000"/>
                <w:sz w:val="24"/>
                <w:szCs w:val="24"/>
              </w:rPr>
              <w:t>表4</w:t>
            </w:r>
            <w:r>
              <w:rPr>
                <w:rFonts w:hint="eastAsia"/>
                <w:b/>
                <w:color w:val="000000"/>
                <w:sz w:val="24"/>
                <w:szCs w:val="24"/>
              </w:rPr>
              <w:t>-</w:t>
            </w:r>
            <w:r>
              <w:rPr>
                <w:b/>
                <w:color w:val="000000"/>
                <w:sz w:val="24"/>
                <w:szCs w:val="24"/>
              </w:rPr>
              <w:t>1</w:t>
            </w:r>
            <w:r>
              <w:rPr>
                <w:rFonts w:hint="eastAsia"/>
                <w:b/>
                <w:color w:val="000000"/>
                <w:sz w:val="24"/>
                <w:szCs w:val="24"/>
              </w:rPr>
              <w:t>9</w:t>
            </w:r>
            <w:r>
              <w:rPr>
                <w:b/>
                <w:color w:val="000000"/>
                <w:sz w:val="24"/>
                <w:szCs w:val="24"/>
              </w:rPr>
              <w:t xml:space="preserve">  </w:t>
            </w:r>
            <w:r>
              <w:rPr>
                <w:b/>
                <w:bCs/>
                <w:color w:val="000000"/>
                <w:sz w:val="24"/>
                <w:szCs w:val="24"/>
              </w:rPr>
              <w:t>项目危险物质数量与临界量分析</w:t>
            </w:r>
          </w:p>
          <w:tbl>
            <w:tblPr>
              <w:tblStyle w:val="22"/>
              <w:tblW w:w="7938"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4"/>
              <w:gridCol w:w="1354"/>
              <w:gridCol w:w="1341"/>
              <w:gridCol w:w="1530"/>
              <w:gridCol w:w="2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5" w:hRule="atLeast"/>
                <w:jc w:val="center"/>
              </w:trPr>
              <w:tc>
                <w:tcPr>
                  <w:tcW w:w="1474" w:type="dxa"/>
                  <w:tcBorders>
                    <w:bottom w:val="single" w:color="000000" w:sz="6" w:space="0"/>
                    <w:right w:val="single" w:color="000000" w:sz="6" w:space="0"/>
                  </w:tcBorders>
                  <w:vAlign w:val="center"/>
                </w:tcPr>
                <w:p>
                  <w:pPr>
                    <w:pStyle w:val="44"/>
                    <w:rPr>
                      <w:b/>
                      <w:bCs/>
                      <w:color w:val="000000"/>
                    </w:rPr>
                  </w:pPr>
                  <w:r>
                    <w:rPr>
                      <w:b/>
                      <w:bCs/>
                      <w:color w:val="000000"/>
                    </w:rPr>
                    <w:t>所属单元</w:t>
                  </w:r>
                </w:p>
              </w:tc>
              <w:tc>
                <w:tcPr>
                  <w:tcW w:w="1354" w:type="dxa"/>
                  <w:tcBorders>
                    <w:left w:val="single" w:color="000000" w:sz="6" w:space="0"/>
                    <w:bottom w:val="single" w:color="000000" w:sz="6" w:space="0"/>
                    <w:right w:val="single" w:color="000000" w:sz="6" w:space="0"/>
                  </w:tcBorders>
                  <w:vAlign w:val="center"/>
                </w:tcPr>
                <w:p>
                  <w:pPr>
                    <w:pStyle w:val="44"/>
                    <w:rPr>
                      <w:b/>
                      <w:bCs/>
                      <w:color w:val="000000"/>
                    </w:rPr>
                  </w:pPr>
                  <w:r>
                    <w:rPr>
                      <w:b/>
                      <w:bCs/>
                      <w:color w:val="000000"/>
                    </w:rPr>
                    <w:t>物质名称</w:t>
                  </w:r>
                </w:p>
              </w:tc>
              <w:tc>
                <w:tcPr>
                  <w:tcW w:w="1341" w:type="dxa"/>
                  <w:tcBorders>
                    <w:left w:val="single" w:color="000000" w:sz="6" w:space="0"/>
                    <w:bottom w:val="single" w:color="000000" w:sz="6" w:space="0"/>
                    <w:right w:val="single" w:color="000000" w:sz="6" w:space="0"/>
                  </w:tcBorders>
                  <w:vAlign w:val="center"/>
                </w:tcPr>
                <w:p>
                  <w:pPr>
                    <w:pStyle w:val="44"/>
                    <w:rPr>
                      <w:b/>
                      <w:bCs/>
                      <w:color w:val="000000"/>
                    </w:rPr>
                  </w:pPr>
                  <w:r>
                    <w:rPr>
                      <w:b/>
                      <w:bCs/>
                      <w:color w:val="000000"/>
                    </w:rPr>
                    <w:t>标准临界量</w:t>
                  </w:r>
                </w:p>
              </w:tc>
              <w:tc>
                <w:tcPr>
                  <w:tcW w:w="1530" w:type="dxa"/>
                  <w:tcBorders>
                    <w:left w:val="single" w:color="000000" w:sz="6" w:space="0"/>
                    <w:bottom w:val="single" w:color="000000" w:sz="6" w:space="0"/>
                    <w:right w:val="single" w:color="000000" w:sz="6" w:space="0"/>
                  </w:tcBorders>
                  <w:vAlign w:val="center"/>
                </w:tcPr>
                <w:p>
                  <w:pPr>
                    <w:pStyle w:val="44"/>
                    <w:rPr>
                      <w:b/>
                      <w:bCs/>
                      <w:color w:val="000000"/>
                    </w:rPr>
                  </w:pPr>
                  <w:r>
                    <w:rPr>
                      <w:b/>
                      <w:bCs/>
                      <w:color w:val="000000"/>
                    </w:rPr>
                    <w:t>最大储存量</w:t>
                  </w:r>
                </w:p>
              </w:tc>
              <w:tc>
                <w:tcPr>
                  <w:tcW w:w="2239" w:type="dxa"/>
                  <w:tcBorders>
                    <w:left w:val="single" w:color="000000" w:sz="6" w:space="0"/>
                    <w:bottom w:val="single" w:color="000000" w:sz="6" w:space="0"/>
                    <w:right w:val="single" w:color="000000" w:sz="6" w:space="0"/>
                  </w:tcBorders>
                  <w:vAlign w:val="center"/>
                </w:tcPr>
                <w:p>
                  <w:pPr>
                    <w:pStyle w:val="44"/>
                    <w:rPr>
                      <w:b/>
                      <w:bCs/>
                      <w:color w:val="000000"/>
                    </w:rPr>
                  </w:pPr>
                  <w:r>
                    <w:rPr>
                      <w:b/>
                      <w:bCs/>
                      <w:color w:val="000000"/>
                      <w:position w:val="2"/>
                    </w:rPr>
                    <w:t>q</w:t>
                  </w:r>
                  <w:r>
                    <w:rPr>
                      <w:b/>
                      <w:bCs/>
                      <w:color w:val="000000"/>
                      <w:position w:val="2"/>
                      <w:vertAlign w:val="subscript"/>
                    </w:rPr>
                    <w:t>n</w:t>
                  </w:r>
                  <w:r>
                    <w:rPr>
                      <w:b/>
                      <w:bCs/>
                      <w:color w:val="000000"/>
                      <w:position w:val="2"/>
                    </w:rPr>
                    <w:t>/Q</w:t>
                  </w:r>
                  <w:r>
                    <w:rPr>
                      <w:b/>
                      <w:bCs/>
                      <w:color w:val="000000"/>
                      <w:position w:val="2"/>
                      <w:vertAlign w:val="subscript"/>
                    </w:rPr>
                    <w:t>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jc w:val="center"/>
              </w:trPr>
              <w:tc>
                <w:tcPr>
                  <w:tcW w:w="1474" w:type="dxa"/>
                  <w:vMerge w:val="restart"/>
                  <w:tcBorders>
                    <w:right w:val="single" w:color="000000" w:sz="6" w:space="0"/>
                  </w:tcBorders>
                  <w:vAlign w:val="center"/>
                </w:tcPr>
                <w:p>
                  <w:pPr>
                    <w:pStyle w:val="44"/>
                    <w:rPr>
                      <w:rFonts w:ascii="Times New Roman" w:hAnsi="Times New Roman" w:cs="Times New Roman"/>
                    </w:rPr>
                  </w:pPr>
                  <w:r>
                    <w:rPr>
                      <w:rFonts w:ascii="Times New Roman" w:hAnsi="Times New Roman" w:cs="Times New Roman"/>
                    </w:rPr>
                    <w:t>油漆仓库</w:t>
                  </w:r>
                </w:p>
              </w:tc>
              <w:tc>
                <w:tcPr>
                  <w:tcW w:w="1354" w:type="dxa"/>
                  <w:tcBorders>
                    <w:top w:val="single" w:color="000000" w:sz="6" w:space="0"/>
                    <w:left w:val="single" w:color="000000" w:sz="6" w:space="0"/>
                    <w:right w:val="single" w:color="000000" w:sz="6" w:space="0"/>
                  </w:tcBorders>
                  <w:vAlign w:val="center"/>
                </w:tcPr>
                <w:p>
                  <w:pPr>
                    <w:widowControl/>
                    <w:jc w:val="center"/>
                    <w:rPr>
                      <w:color w:val="000000"/>
                      <w:sz w:val="21"/>
                      <w:szCs w:val="21"/>
                    </w:rPr>
                  </w:pPr>
                  <w:r>
                    <w:rPr>
                      <w:rFonts w:hint="eastAsia"/>
                      <w:color w:val="000000"/>
                      <w:sz w:val="21"/>
                      <w:szCs w:val="21"/>
                    </w:rPr>
                    <w:t>面漆中含有的二甲苯</w:t>
                  </w:r>
                </w:p>
              </w:tc>
              <w:tc>
                <w:tcPr>
                  <w:tcW w:w="1341" w:type="dxa"/>
                  <w:tcBorders>
                    <w:top w:val="single" w:color="000000" w:sz="6" w:space="0"/>
                    <w:left w:val="single" w:color="000000" w:sz="6" w:space="0"/>
                    <w:right w:val="single" w:color="000000" w:sz="6" w:space="0"/>
                  </w:tcBorders>
                  <w:vAlign w:val="center"/>
                </w:tcPr>
                <w:p>
                  <w:pPr>
                    <w:pStyle w:val="44"/>
                    <w:rPr>
                      <w:rFonts w:ascii="Times New Roman" w:hAnsi="Times New Roman" w:cs="Times New Roman"/>
                      <w:color w:val="000000"/>
                    </w:rPr>
                  </w:pPr>
                  <w:r>
                    <w:rPr>
                      <w:rFonts w:hint="eastAsia" w:ascii="Times New Roman" w:hAnsi="Times New Roman" w:cs="Times New Roman"/>
                      <w:color w:val="000000"/>
                    </w:rPr>
                    <w:t>10</w:t>
                  </w:r>
                  <w:r>
                    <w:rPr>
                      <w:rFonts w:ascii="Times New Roman" w:hAnsi="Times New Roman" w:cs="Times New Roman"/>
                      <w:color w:val="000000"/>
                    </w:rPr>
                    <w:t>t</w:t>
                  </w:r>
                </w:p>
              </w:tc>
              <w:tc>
                <w:tcPr>
                  <w:tcW w:w="1530" w:type="dxa"/>
                  <w:tcBorders>
                    <w:top w:val="single" w:color="000000" w:sz="6" w:space="0"/>
                    <w:left w:val="single" w:color="000000" w:sz="6" w:space="0"/>
                    <w:right w:val="single" w:color="000000" w:sz="6" w:space="0"/>
                  </w:tcBorders>
                  <w:vAlign w:val="center"/>
                </w:tcPr>
                <w:p>
                  <w:pPr>
                    <w:pStyle w:val="44"/>
                    <w:rPr>
                      <w:rFonts w:ascii="Times New Roman" w:hAnsi="Times New Roman" w:cs="Times New Roman"/>
                      <w:color w:val="000000"/>
                    </w:rPr>
                  </w:pPr>
                  <w:r>
                    <w:rPr>
                      <w:rFonts w:hint="eastAsia" w:ascii="Times New Roman" w:hAnsi="Times New Roman" w:cs="Times New Roman"/>
                      <w:color w:val="000000"/>
                    </w:rPr>
                    <w:t>0.0</w:t>
                  </w:r>
                  <w:r>
                    <w:rPr>
                      <w:rFonts w:hint="eastAsia" w:ascii="Times New Roman" w:hAnsi="Times New Roman" w:cs="Times New Roman"/>
                      <w:color w:val="000000"/>
                      <w:lang w:val="en-US" w:eastAsia="zh-CN"/>
                    </w:rPr>
                    <w:t>252</w:t>
                  </w:r>
                  <w:r>
                    <w:rPr>
                      <w:rFonts w:ascii="Times New Roman" w:hAnsi="Times New Roman" w:cs="Times New Roman"/>
                      <w:color w:val="000000"/>
                    </w:rPr>
                    <w:t>t</w:t>
                  </w:r>
                </w:p>
              </w:tc>
              <w:tc>
                <w:tcPr>
                  <w:tcW w:w="2239" w:type="dxa"/>
                  <w:tcBorders>
                    <w:top w:val="single" w:color="000000" w:sz="6" w:space="0"/>
                    <w:left w:val="single" w:color="000000" w:sz="6" w:space="0"/>
                    <w:bottom w:val="single" w:color="000000" w:sz="6" w:space="0"/>
                    <w:right w:val="single" w:color="000000" w:sz="6" w:space="0"/>
                  </w:tcBorders>
                  <w:vAlign w:val="center"/>
                </w:tcPr>
                <w:p>
                  <w:pPr>
                    <w:pStyle w:val="44"/>
                    <w:rPr>
                      <w:rFonts w:ascii="Times New Roman" w:hAnsi="Times New Roman" w:cs="Times New Roman"/>
                      <w:color w:val="000000"/>
                      <w:position w:val="2"/>
                    </w:rPr>
                  </w:pP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w:t>
                  </w:r>
                  <w:r>
                    <w:rPr>
                      <w:rFonts w:hint="eastAsia" w:ascii="Times New Roman" w:hAnsi="Times New Roman" w:cs="Times New Roman"/>
                      <w:color w:val="000000"/>
                    </w:rPr>
                    <w:t>0.00</w:t>
                  </w:r>
                  <w:r>
                    <w:rPr>
                      <w:rFonts w:hint="eastAsia" w:ascii="Times New Roman" w:hAnsi="Times New Roman" w:cs="Times New Roman"/>
                      <w:color w:val="000000"/>
                      <w:lang w:val="en-US" w:eastAsia="zh-CN"/>
                    </w:rPr>
                    <w:t>252</w:t>
                  </w:r>
                  <w:r>
                    <w:rPr>
                      <w:rFonts w:ascii="Times New Roman" w:hAnsi="Times New Roman" w:cs="Times New Roman"/>
                      <w:color w:val="000000"/>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jc w:val="center"/>
              </w:trPr>
              <w:tc>
                <w:tcPr>
                  <w:tcW w:w="1474" w:type="dxa"/>
                  <w:vMerge w:val="continue"/>
                  <w:tcBorders>
                    <w:right w:val="single" w:color="000000" w:sz="6" w:space="0"/>
                  </w:tcBorders>
                  <w:vAlign w:val="center"/>
                </w:tcPr>
                <w:p>
                  <w:pPr>
                    <w:pStyle w:val="44"/>
                    <w:rPr>
                      <w:rFonts w:ascii="Times New Roman" w:hAnsi="Times New Roman" w:cs="Times New Roman"/>
                    </w:rPr>
                  </w:pPr>
                </w:p>
              </w:tc>
              <w:tc>
                <w:tcPr>
                  <w:tcW w:w="1354" w:type="dxa"/>
                  <w:tcBorders>
                    <w:top w:val="single" w:color="000000" w:sz="6" w:space="0"/>
                    <w:left w:val="single" w:color="000000" w:sz="6" w:space="0"/>
                    <w:right w:val="single" w:color="000000" w:sz="6" w:space="0"/>
                  </w:tcBorders>
                  <w:vAlign w:val="center"/>
                </w:tcPr>
                <w:p>
                  <w:pPr>
                    <w:widowControl/>
                    <w:jc w:val="center"/>
                    <w:rPr>
                      <w:sz w:val="21"/>
                      <w:szCs w:val="21"/>
                    </w:rPr>
                  </w:pPr>
                  <w:r>
                    <w:rPr>
                      <w:rFonts w:hint="eastAsia"/>
                      <w:color w:val="000000" w:themeColor="text1"/>
                      <w:sz w:val="21"/>
                      <w:szCs w:val="21"/>
                      <w14:textFill>
                        <w14:solidFill>
                          <w14:schemeClr w14:val="tx1"/>
                        </w14:solidFill>
                      </w14:textFill>
                    </w:rPr>
                    <w:t>稀释剂</w:t>
                  </w:r>
                  <w:r>
                    <w:rPr>
                      <w:rFonts w:hint="eastAsia"/>
                      <w:color w:val="000000"/>
                      <w:sz w:val="21"/>
                      <w:szCs w:val="21"/>
                    </w:rPr>
                    <w:t>中含有的二甲苯</w:t>
                  </w:r>
                </w:p>
              </w:tc>
              <w:tc>
                <w:tcPr>
                  <w:tcW w:w="1341" w:type="dxa"/>
                  <w:tcBorders>
                    <w:top w:val="single" w:color="000000" w:sz="6" w:space="0"/>
                    <w:left w:val="single" w:color="000000" w:sz="6" w:space="0"/>
                    <w:right w:val="single" w:color="000000" w:sz="6" w:space="0"/>
                  </w:tcBorders>
                  <w:vAlign w:val="center"/>
                </w:tcPr>
                <w:p>
                  <w:pPr>
                    <w:pStyle w:val="44"/>
                    <w:rPr>
                      <w:rFonts w:ascii="Times New Roman" w:hAnsi="Times New Roman" w:cs="Times New Roman"/>
                      <w:color w:val="000000"/>
                    </w:rPr>
                  </w:pPr>
                  <w:r>
                    <w:rPr>
                      <w:rFonts w:hint="eastAsia" w:ascii="Times New Roman" w:hAnsi="Times New Roman" w:cs="Times New Roman"/>
                      <w:color w:val="000000"/>
                    </w:rPr>
                    <w:t>10</w:t>
                  </w:r>
                  <w:r>
                    <w:rPr>
                      <w:rFonts w:ascii="Times New Roman" w:hAnsi="Times New Roman" w:cs="Times New Roman"/>
                      <w:color w:val="000000"/>
                    </w:rPr>
                    <w:t>t</w:t>
                  </w:r>
                </w:p>
              </w:tc>
              <w:tc>
                <w:tcPr>
                  <w:tcW w:w="1530" w:type="dxa"/>
                  <w:tcBorders>
                    <w:top w:val="single" w:color="000000" w:sz="6" w:space="0"/>
                    <w:left w:val="single" w:color="000000" w:sz="6" w:space="0"/>
                    <w:right w:val="single" w:color="000000" w:sz="6" w:space="0"/>
                  </w:tcBorders>
                  <w:vAlign w:val="center"/>
                </w:tcPr>
                <w:p>
                  <w:pPr>
                    <w:pStyle w:val="44"/>
                    <w:rPr>
                      <w:rFonts w:ascii="Times New Roman" w:hAnsi="Times New Roman" w:cs="Times New Roman"/>
                      <w:color w:val="000000"/>
                    </w:rPr>
                  </w:pPr>
                  <w:r>
                    <w:rPr>
                      <w:rFonts w:hint="eastAsia" w:ascii="Times New Roman" w:hAnsi="Times New Roman" w:cs="Times New Roman"/>
                      <w:color w:val="000000"/>
                    </w:rPr>
                    <w:t>0.0</w:t>
                  </w:r>
                  <w:r>
                    <w:rPr>
                      <w:rFonts w:hint="eastAsia" w:ascii="Times New Roman" w:hAnsi="Times New Roman" w:cs="Times New Roman"/>
                      <w:color w:val="000000"/>
                      <w:lang w:val="en-US" w:eastAsia="zh-CN"/>
                    </w:rPr>
                    <w:t>5</w:t>
                  </w:r>
                  <w:r>
                    <w:rPr>
                      <w:rFonts w:ascii="Times New Roman" w:hAnsi="Times New Roman" w:cs="Times New Roman"/>
                      <w:color w:val="000000"/>
                    </w:rPr>
                    <w:t>t</w:t>
                  </w:r>
                </w:p>
              </w:tc>
              <w:tc>
                <w:tcPr>
                  <w:tcW w:w="2239" w:type="dxa"/>
                  <w:tcBorders>
                    <w:top w:val="single" w:color="000000" w:sz="6" w:space="0"/>
                    <w:left w:val="single" w:color="000000" w:sz="6" w:space="0"/>
                    <w:bottom w:val="single" w:color="000000" w:sz="6" w:space="0"/>
                    <w:right w:val="single" w:color="000000" w:sz="6" w:space="0"/>
                  </w:tcBorders>
                  <w:vAlign w:val="center"/>
                </w:tcPr>
                <w:p>
                  <w:pPr>
                    <w:pStyle w:val="44"/>
                    <w:rPr>
                      <w:rFonts w:ascii="Times New Roman" w:hAnsi="Times New Roman" w:cs="Times New Roman"/>
                      <w:color w:val="000000"/>
                      <w:position w:val="2"/>
                    </w:rPr>
                  </w:pP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w:t>
                  </w:r>
                  <w:r>
                    <w:rPr>
                      <w:rFonts w:hint="eastAsia" w:ascii="Times New Roman" w:hAnsi="Times New Roman" w:cs="Times New Roman"/>
                      <w:color w:val="000000"/>
                    </w:rPr>
                    <w:t>0.00</w:t>
                  </w:r>
                  <w:r>
                    <w:rPr>
                      <w:rFonts w:hint="eastAsia" w:ascii="Times New Roman" w:hAnsi="Times New Roman" w:cs="Times New Roman"/>
                      <w:color w:val="000000"/>
                      <w:lang w:val="en-US" w:eastAsia="zh-CN"/>
                    </w:rPr>
                    <w:t>5</w:t>
                  </w:r>
                  <w:r>
                    <w:rPr>
                      <w:rFonts w:ascii="Times New Roman" w:hAnsi="Times New Roman" w:cs="Times New Roman"/>
                      <w:color w:val="000000"/>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jc w:val="center"/>
              </w:trPr>
              <w:tc>
                <w:tcPr>
                  <w:tcW w:w="1474" w:type="dxa"/>
                  <w:vMerge w:val="continue"/>
                  <w:tcBorders>
                    <w:right w:val="single" w:color="000000" w:sz="6" w:space="0"/>
                  </w:tcBorders>
                  <w:vAlign w:val="center"/>
                </w:tcPr>
                <w:p>
                  <w:pPr>
                    <w:pStyle w:val="44"/>
                    <w:rPr>
                      <w:rFonts w:ascii="Times New Roman" w:hAnsi="Times New Roman" w:cs="Times New Roman"/>
                    </w:rPr>
                  </w:pPr>
                </w:p>
              </w:tc>
              <w:tc>
                <w:tcPr>
                  <w:tcW w:w="1354" w:type="dxa"/>
                  <w:tcBorders>
                    <w:top w:val="single" w:color="000000" w:sz="6" w:space="0"/>
                    <w:left w:val="single" w:color="000000" w:sz="6" w:space="0"/>
                    <w:right w:val="single" w:color="000000" w:sz="6" w:space="0"/>
                  </w:tcBorders>
                  <w:vAlign w:val="center"/>
                </w:tcPr>
                <w:p>
                  <w:pPr>
                    <w:widowControl/>
                    <w:jc w:val="center"/>
                    <w:rPr>
                      <w:sz w:val="21"/>
                      <w:szCs w:val="21"/>
                    </w:rPr>
                  </w:pPr>
                  <w:r>
                    <w:rPr>
                      <w:rFonts w:hint="eastAsia"/>
                      <w:color w:val="000000" w:themeColor="text1"/>
                      <w:sz w:val="21"/>
                      <w:szCs w:val="21"/>
                      <w14:textFill>
                        <w14:solidFill>
                          <w14:schemeClr w14:val="tx1"/>
                        </w14:solidFill>
                      </w14:textFill>
                    </w:rPr>
                    <w:t>固化剂</w:t>
                  </w:r>
                  <w:r>
                    <w:rPr>
                      <w:rFonts w:hint="eastAsia"/>
                      <w:color w:val="000000"/>
                      <w:sz w:val="21"/>
                      <w:szCs w:val="21"/>
                    </w:rPr>
                    <w:t>中含有的二甲苯</w:t>
                  </w:r>
                </w:p>
              </w:tc>
              <w:tc>
                <w:tcPr>
                  <w:tcW w:w="1341" w:type="dxa"/>
                  <w:tcBorders>
                    <w:top w:val="single" w:color="000000" w:sz="6" w:space="0"/>
                    <w:left w:val="single" w:color="000000" w:sz="6" w:space="0"/>
                    <w:right w:val="single" w:color="000000" w:sz="6" w:space="0"/>
                  </w:tcBorders>
                  <w:vAlign w:val="center"/>
                </w:tcPr>
                <w:p>
                  <w:pPr>
                    <w:pStyle w:val="44"/>
                    <w:rPr>
                      <w:rFonts w:ascii="Times New Roman" w:hAnsi="Times New Roman" w:cs="Times New Roman"/>
                      <w:color w:val="000000"/>
                    </w:rPr>
                  </w:pPr>
                  <w:r>
                    <w:rPr>
                      <w:rFonts w:hint="eastAsia" w:ascii="Times New Roman" w:hAnsi="Times New Roman" w:cs="Times New Roman"/>
                      <w:color w:val="000000"/>
                    </w:rPr>
                    <w:t>10</w:t>
                  </w:r>
                  <w:r>
                    <w:rPr>
                      <w:rFonts w:ascii="Times New Roman" w:hAnsi="Times New Roman" w:cs="Times New Roman"/>
                      <w:color w:val="000000"/>
                    </w:rPr>
                    <w:t>t</w:t>
                  </w:r>
                </w:p>
              </w:tc>
              <w:tc>
                <w:tcPr>
                  <w:tcW w:w="1530" w:type="dxa"/>
                  <w:tcBorders>
                    <w:top w:val="single" w:color="000000" w:sz="6" w:space="0"/>
                    <w:left w:val="single" w:color="000000" w:sz="6" w:space="0"/>
                    <w:right w:val="single" w:color="000000" w:sz="6" w:space="0"/>
                  </w:tcBorders>
                  <w:vAlign w:val="center"/>
                </w:tcPr>
                <w:p>
                  <w:pPr>
                    <w:pStyle w:val="44"/>
                    <w:rPr>
                      <w:rFonts w:ascii="Times New Roman" w:hAnsi="Times New Roman" w:cs="Times New Roman"/>
                      <w:color w:val="000000"/>
                    </w:rPr>
                  </w:pPr>
                  <w:r>
                    <w:rPr>
                      <w:rFonts w:hint="eastAsia" w:ascii="Times New Roman" w:hAnsi="Times New Roman" w:cs="Times New Roman"/>
                      <w:color w:val="000000"/>
                    </w:rPr>
                    <w:t>0.</w:t>
                  </w:r>
                  <w:r>
                    <w:rPr>
                      <w:rFonts w:hint="eastAsia" w:ascii="Times New Roman" w:hAnsi="Times New Roman" w:cs="Times New Roman"/>
                      <w:color w:val="000000"/>
                      <w:lang w:val="en-US" w:eastAsia="zh-CN"/>
                    </w:rPr>
                    <w:t>03</w:t>
                  </w:r>
                  <w:r>
                    <w:rPr>
                      <w:rFonts w:ascii="Times New Roman" w:hAnsi="Times New Roman" w:cs="Times New Roman"/>
                      <w:color w:val="000000"/>
                    </w:rPr>
                    <w:t>t</w:t>
                  </w:r>
                </w:p>
              </w:tc>
              <w:tc>
                <w:tcPr>
                  <w:tcW w:w="2239" w:type="dxa"/>
                  <w:tcBorders>
                    <w:top w:val="single" w:color="000000" w:sz="6" w:space="0"/>
                    <w:left w:val="single" w:color="000000" w:sz="6" w:space="0"/>
                    <w:bottom w:val="single" w:color="000000" w:sz="6" w:space="0"/>
                    <w:right w:val="single" w:color="000000" w:sz="6" w:space="0"/>
                  </w:tcBorders>
                  <w:vAlign w:val="center"/>
                </w:tcPr>
                <w:p>
                  <w:pPr>
                    <w:pStyle w:val="44"/>
                    <w:rPr>
                      <w:rFonts w:ascii="Times New Roman" w:hAnsi="Times New Roman" w:cs="Times New Roman"/>
                      <w:color w:val="000000"/>
                      <w:position w:val="2"/>
                    </w:rPr>
                  </w:pP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w:t>
                  </w:r>
                  <w:r>
                    <w:rPr>
                      <w:rFonts w:hint="eastAsia" w:ascii="Times New Roman" w:hAnsi="Times New Roman" w:cs="Times New Roman"/>
                      <w:color w:val="000000"/>
                    </w:rPr>
                    <w:t>0.0</w:t>
                  </w:r>
                  <w:r>
                    <w:rPr>
                      <w:rFonts w:hint="eastAsia" w:ascii="Times New Roman" w:hAnsi="Times New Roman" w:cs="Times New Roman"/>
                      <w:color w:val="000000"/>
                      <w:lang w:val="en-US" w:eastAsia="zh-CN"/>
                    </w:rPr>
                    <w:t>03</w:t>
                  </w:r>
                  <w:r>
                    <w:rPr>
                      <w:rFonts w:ascii="Times New Roman" w:hAnsi="Times New Roman" w:cs="Times New Roman"/>
                      <w:color w:val="000000"/>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jc w:val="center"/>
              </w:trPr>
              <w:tc>
                <w:tcPr>
                  <w:tcW w:w="1474" w:type="dxa"/>
                  <w:vMerge w:val="continue"/>
                  <w:tcBorders>
                    <w:right w:val="single" w:color="000000" w:sz="6" w:space="0"/>
                  </w:tcBorders>
                  <w:vAlign w:val="center"/>
                </w:tcPr>
                <w:p>
                  <w:pPr>
                    <w:pStyle w:val="44"/>
                    <w:rPr>
                      <w:rFonts w:ascii="Times New Roman" w:hAnsi="Times New Roman" w:cs="Times New Roman"/>
                    </w:rPr>
                  </w:pPr>
                </w:p>
              </w:tc>
              <w:tc>
                <w:tcPr>
                  <w:tcW w:w="1354" w:type="dxa"/>
                  <w:tcBorders>
                    <w:top w:val="single" w:color="000000" w:sz="6" w:space="0"/>
                    <w:left w:val="single" w:color="000000" w:sz="6" w:space="0"/>
                    <w:right w:val="single" w:color="000000" w:sz="6" w:space="0"/>
                  </w:tcBorders>
                  <w:vAlign w:val="center"/>
                </w:tcPr>
                <w:p>
                  <w:pPr>
                    <w:widowControl/>
                    <w:jc w:val="center"/>
                    <w:rPr>
                      <w:rFonts w:hint="eastAsia"/>
                      <w:color w:val="000000" w:themeColor="text1"/>
                      <w:sz w:val="21"/>
                      <w:szCs w:val="21"/>
                      <w14:textFill>
                        <w14:solidFill>
                          <w14:schemeClr w14:val="tx1"/>
                        </w14:solidFill>
                      </w14:textFill>
                    </w:rPr>
                  </w:pPr>
                  <w:r>
                    <w:rPr>
                      <w:rFonts w:hint="eastAsia"/>
                      <w:color w:val="000000"/>
                      <w:sz w:val="21"/>
                      <w:szCs w:val="21"/>
                    </w:rPr>
                    <w:t>面漆中含有的</w:t>
                  </w:r>
                  <w:r>
                    <w:rPr>
                      <w:rFonts w:hint="eastAsia"/>
                      <w:lang w:val="en-US" w:eastAsia="zh-CN"/>
                    </w:rPr>
                    <w:t>环己酮</w:t>
                  </w:r>
                </w:p>
              </w:tc>
              <w:tc>
                <w:tcPr>
                  <w:tcW w:w="1341" w:type="dxa"/>
                  <w:tcBorders>
                    <w:top w:val="single" w:color="000000" w:sz="6" w:space="0"/>
                    <w:left w:val="single" w:color="000000" w:sz="6" w:space="0"/>
                    <w:right w:val="single" w:color="000000" w:sz="6" w:space="0"/>
                  </w:tcBorders>
                  <w:vAlign w:val="center"/>
                </w:tcPr>
                <w:p>
                  <w:pPr>
                    <w:jc w:val="center"/>
                    <w:rPr>
                      <w:rFonts w:hint="eastAsia" w:ascii="Times New Roman" w:hAnsi="Times New Roman" w:cs="Times New Roman"/>
                      <w:color w:val="000000"/>
                    </w:rPr>
                  </w:pPr>
                  <w:r>
                    <w:rPr>
                      <w:rFonts w:hint="eastAsia" w:ascii="Times New Roman" w:hAnsi="Times New Roman" w:cs="Times New Roman"/>
                      <w:color w:val="000000"/>
                    </w:rPr>
                    <w:t>10</w:t>
                  </w:r>
                  <w:r>
                    <w:rPr>
                      <w:rFonts w:ascii="Times New Roman" w:hAnsi="Times New Roman" w:cs="Times New Roman"/>
                      <w:color w:val="000000"/>
                    </w:rPr>
                    <w:t>t</w:t>
                  </w:r>
                </w:p>
              </w:tc>
              <w:tc>
                <w:tcPr>
                  <w:tcW w:w="1530" w:type="dxa"/>
                  <w:tcBorders>
                    <w:top w:val="single" w:color="000000" w:sz="6" w:space="0"/>
                    <w:left w:val="single" w:color="000000" w:sz="6" w:space="0"/>
                    <w:right w:val="single" w:color="000000" w:sz="6" w:space="0"/>
                  </w:tcBorders>
                  <w:vAlign w:val="center"/>
                </w:tcPr>
                <w:p>
                  <w:pPr>
                    <w:pStyle w:val="44"/>
                    <w:rPr>
                      <w:rFonts w:hint="eastAsia" w:ascii="Times New Roman" w:hAnsi="Times New Roman" w:cs="Times New Roman"/>
                      <w:color w:val="000000"/>
                    </w:rPr>
                  </w:pPr>
                  <w:r>
                    <w:rPr>
                      <w:rFonts w:hint="eastAsia" w:ascii="Times New Roman" w:hAnsi="Times New Roman" w:cs="Times New Roman"/>
                      <w:color w:val="000000"/>
                    </w:rPr>
                    <w:t>0.0</w:t>
                  </w:r>
                  <w:r>
                    <w:rPr>
                      <w:rFonts w:hint="eastAsia" w:ascii="Times New Roman" w:hAnsi="Times New Roman" w:cs="Times New Roman"/>
                      <w:color w:val="000000"/>
                      <w:lang w:val="en-US" w:eastAsia="zh-CN"/>
                    </w:rPr>
                    <w:t>252</w:t>
                  </w:r>
                  <w:r>
                    <w:rPr>
                      <w:rFonts w:ascii="Times New Roman" w:hAnsi="Times New Roman" w:cs="Times New Roman"/>
                      <w:color w:val="000000"/>
                    </w:rPr>
                    <w:t>t</w:t>
                  </w:r>
                </w:p>
              </w:tc>
              <w:tc>
                <w:tcPr>
                  <w:tcW w:w="2239" w:type="dxa"/>
                  <w:tcBorders>
                    <w:top w:val="single" w:color="000000" w:sz="6" w:space="0"/>
                    <w:left w:val="single" w:color="000000" w:sz="6" w:space="0"/>
                    <w:bottom w:val="single" w:color="000000" w:sz="6" w:space="0"/>
                    <w:right w:val="single" w:color="000000" w:sz="6" w:space="0"/>
                  </w:tcBorders>
                  <w:vAlign w:val="center"/>
                </w:tcPr>
                <w:p>
                  <w:pPr>
                    <w:pStyle w:val="44"/>
                    <w:rPr>
                      <w:rFonts w:ascii="Times New Roman" w:hAnsi="Times New Roman" w:cs="Times New Roman"/>
                      <w:color w:val="000000"/>
                      <w:position w:val="2"/>
                    </w:rPr>
                  </w:pP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w:t>
                  </w:r>
                  <w:r>
                    <w:rPr>
                      <w:rFonts w:hint="eastAsia" w:ascii="Times New Roman" w:hAnsi="Times New Roman" w:cs="Times New Roman"/>
                      <w:color w:val="000000"/>
                    </w:rPr>
                    <w:t>0.00</w:t>
                  </w:r>
                  <w:r>
                    <w:rPr>
                      <w:rFonts w:hint="eastAsia" w:ascii="Times New Roman" w:hAnsi="Times New Roman" w:cs="Times New Roman"/>
                      <w:color w:val="000000"/>
                      <w:lang w:val="en-US" w:eastAsia="zh-CN"/>
                    </w:rPr>
                    <w:t>252</w:t>
                  </w:r>
                  <w:r>
                    <w:rPr>
                      <w:rFonts w:ascii="Times New Roman" w:hAnsi="Times New Roman" w:cs="Times New Roman"/>
                      <w:color w:val="000000"/>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jc w:val="center"/>
              </w:trPr>
              <w:tc>
                <w:tcPr>
                  <w:tcW w:w="1474" w:type="dxa"/>
                  <w:vMerge w:val="continue"/>
                  <w:tcBorders>
                    <w:right w:val="single" w:color="000000" w:sz="6" w:space="0"/>
                  </w:tcBorders>
                  <w:vAlign w:val="center"/>
                </w:tcPr>
                <w:p>
                  <w:pPr>
                    <w:pStyle w:val="44"/>
                    <w:rPr>
                      <w:rFonts w:ascii="Times New Roman" w:hAnsi="Times New Roman" w:cs="Times New Roman"/>
                    </w:rPr>
                  </w:pPr>
                </w:p>
              </w:tc>
              <w:tc>
                <w:tcPr>
                  <w:tcW w:w="1354" w:type="dxa"/>
                  <w:tcBorders>
                    <w:top w:val="single" w:color="000000" w:sz="6" w:space="0"/>
                    <w:left w:val="single" w:color="000000" w:sz="6" w:space="0"/>
                    <w:right w:val="single" w:color="000000" w:sz="6" w:space="0"/>
                  </w:tcBorders>
                  <w:vAlign w:val="center"/>
                </w:tcPr>
                <w:p>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稀释剂</w:t>
                  </w:r>
                  <w:r>
                    <w:rPr>
                      <w:rFonts w:hint="eastAsia"/>
                      <w:color w:val="000000"/>
                      <w:sz w:val="21"/>
                      <w:szCs w:val="21"/>
                    </w:rPr>
                    <w:t>中含有的</w:t>
                  </w:r>
                  <w:r>
                    <w:rPr>
                      <w:rFonts w:hint="eastAsia"/>
                      <w:lang w:val="en-US" w:eastAsia="zh-CN"/>
                    </w:rPr>
                    <w:t>环己酮</w:t>
                  </w:r>
                </w:p>
              </w:tc>
              <w:tc>
                <w:tcPr>
                  <w:tcW w:w="1341" w:type="dxa"/>
                  <w:tcBorders>
                    <w:top w:val="single" w:color="000000" w:sz="6" w:space="0"/>
                    <w:left w:val="single" w:color="000000" w:sz="6" w:space="0"/>
                    <w:right w:val="single" w:color="000000" w:sz="6" w:space="0"/>
                  </w:tcBorders>
                  <w:vAlign w:val="center"/>
                </w:tcPr>
                <w:p>
                  <w:pPr>
                    <w:jc w:val="center"/>
                    <w:rPr>
                      <w:rFonts w:hint="eastAsia" w:ascii="Times New Roman" w:hAnsi="Times New Roman" w:cs="Times New Roman"/>
                      <w:color w:val="000000"/>
                    </w:rPr>
                  </w:pPr>
                  <w:r>
                    <w:rPr>
                      <w:rFonts w:hint="eastAsia" w:ascii="Times New Roman" w:hAnsi="Times New Roman" w:cs="Times New Roman"/>
                      <w:color w:val="000000"/>
                    </w:rPr>
                    <w:t>10</w:t>
                  </w:r>
                  <w:r>
                    <w:rPr>
                      <w:rFonts w:ascii="Times New Roman" w:hAnsi="Times New Roman" w:cs="Times New Roman"/>
                      <w:color w:val="000000"/>
                    </w:rPr>
                    <w:t>t</w:t>
                  </w:r>
                </w:p>
              </w:tc>
              <w:tc>
                <w:tcPr>
                  <w:tcW w:w="1530" w:type="dxa"/>
                  <w:tcBorders>
                    <w:top w:val="single" w:color="000000" w:sz="6" w:space="0"/>
                    <w:left w:val="single" w:color="000000" w:sz="6" w:space="0"/>
                    <w:right w:val="single" w:color="000000" w:sz="6" w:space="0"/>
                  </w:tcBorders>
                  <w:vAlign w:val="center"/>
                </w:tcPr>
                <w:p>
                  <w:pPr>
                    <w:pStyle w:val="44"/>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0.02</w:t>
                  </w:r>
                </w:p>
              </w:tc>
              <w:tc>
                <w:tcPr>
                  <w:tcW w:w="2239" w:type="dxa"/>
                  <w:tcBorders>
                    <w:top w:val="single" w:color="000000" w:sz="6" w:space="0"/>
                    <w:left w:val="single" w:color="000000" w:sz="6" w:space="0"/>
                    <w:bottom w:val="single" w:color="000000" w:sz="6" w:space="0"/>
                    <w:right w:val="single" w:color="000000" w:sz="6" w:space="0"/>
                  </w:tcBorders>
                  <w:vAlign w:val="center"/>
                </w:tcPr>
                <w:p>
                  <w:pPr>
                    <w:pStyle w:val="44"/>
                    <w:rPr>
                      <w:rFonts w:ascii="Times New Roman" w:hAnsi="Times New Roman" w:cs="Times New Roman"/>
                      <w:color w:val="000000"/>
                      <w:position w:val="2"/>
                    </w:rPr>
                  </w:pP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w:t>
                  </w:r>
                  <w:r>
                    <w:rPr>
                      <w:rFonts w:hint="eastAsia" w:ascii="Times New Roman" w:hAnsi="Times New Roman" w:cs="Times New Roman"/>
                      <w:color w:val="000000"/>
                    </w:rPr>
                    <w:t>0.00</w:t>
                  </w:r>
                  <w:r>
                    <w:rPr>
                      <w:rFonts w:hint="eastAsia" w:ascii="Times New Roman" w:hAnsi="Times New Roman" w:cs="Times New Roman"/>
                      <w:color w:val="000000"/>
                      <w:lang w:val="en-US" w:eastAsia="zh-CN"/>
                    </w:rPr>
                    <w:t>2</w:t>
                  </w:r>
                  <w:r>
                    <w:rPr>
                      <w:rFonts w:ascii="Times New Roman" w:hAnsi="Times New Roman" w:cs="Times New Roman"/>
                      <w:color w:val="000000"/>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jc w:val="center"/>
              </w:trPr>
              <w:tc>
                <w:tcPr>
                  <w:tcW w:w="1474" w:type="dxa"/>
                  <w:vMerge w:val="continue"/>
                  <w:tcBorders>
                    <w:right w:val="single" w:color="000000" w:sz="6" w:space="0"/>
                  </w:tcBorders>
                  <w:vAlign w:val="center"/>
                </w:tcPr>
                <w:p>
                  <w:pPr>
                    <w:pStyle w:val="44"/>
                    <w:rPr>
                      <w:rFonts w:ascii="Times New Roman" w:hAnsi="Times New Roman" w:cs="Times New Roman"/>
                    </w:rPr>
                  </w:pPr>
                </w:p>
              </w:tc>
              <w:tc>
                <w:tcPr>
                  <w:tcW w:w="1354" w:type="dxa"/>
                  <w:tcBorders>
                    <w:top w:val="single" w:color="000000" w:sz="6" w:space="0"/>
                    <w:left w:val="single" w:color="000000" w:sz="6" w:space="0"/>
                    <w:right w:val="single" w:color="000000" w:sz="6" w:space="0"/>
                  </w:tcBorders>
                  <w:vAlign w:val="center"/>
                </w:tcPr>
                <w:p>
                  <w:pPr>
                    <w:widowControl/>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固化剂</w:t>
                  </w:r>
                  <w:r>
                    <w:rPr>
                      <w:rFonts w:hint="eastAsia"/>
                      <w:color w:val="000000"/>
                      <w:sz w:val="21"/>
                      <w:szCs w:val="21"/>
                    </w:rPr>
                    <w:t>中含有的</w:t>
                  </w:r>
                  <w:r>
                    <w:rPr>
                      <w:rFonts w:hint="eastAsia"/>
                      <w:lang w:val="en-US" w:eastAsia="zh-CN"/>
                    </w:rPr>
                    <w:t>乙酸乙酯</w:t>
                  </w:r>
                </w:p>
              </w:tc>
              <w:tc>
                <w:tcPr>
                  <w:tcW w:w="1341" w:type="dxa"/>
                  <w:tcBorders>
                    <w:top w:val="single" w:color="000000" w:sz="6" w:space="0"/>
                    <w:left w:val="single" w:color="000000" w:sz="6" w:space="0"/>
                    <w:right w:val="single" w:color="000000" w:sz="6" w:space="0"/>
                  </w:tcBorders>
                  <w:vAlign w:val="center"/>
                </w:tcPr>
                <w:p>
                  <w:pPr>
                    <w:jc w:val="center"/>
                    <w:rPr>
                      <w:rFonts w:hint="eastAsia" w:ascii="Times New Roman" w:hAnsi="Times New Roman" w:cs="Times New Roman"/>
                      <w:color w:val="000000"/>
                    </w:rPr>
                  </w:pPr>
                  <w:r>
                    <w:rPr>
                      <w:rFonts w:hint="eastAsia" w:ascii="Times New Roman" w:hAnsi="Times New Roman" w:cs="Times New Roman"/>
                      <w:color w:val="000000"/>
                    </w:rPr>
                    <w:t>10</w:t>
                  </w:r>
                  <w:r>
                    <w:rPr>
                      <w:rFonts w:ascii="Times New Roman" w:hAnsi="Times New Roman" w:cs="Times New Roman"/>
                      <w:color w:val="000000"/>
                    </w:rPr>
                    <w:t>t</w:t>
                  </w:r>
                </w:p>
              </w:tc>
              <w:tc>
                <w:tcPr>
                  <w:tcW w:w="1530" w:type="dxa"/>
                  <w:tcBorders>
                    <w:top w:val="single" w:color="000000" w:sz="6" w:space="0"/>
                    <w:left w:val="single" w:color="000000" w:sz="6" w:space="0"/>
                    <w:right w:val="single" w:color="000000" w:sz="6" w:space="0"/>
                  </w:tcBorders>
                  <w:vAlign w:val="center"/>
                </w:tcPr>
                <w:p>
                  <w:pPr>
                    <w:pStyle w:val="44"/>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0.01</w:t>
                  </w:r>
                </w:p>
              </w:tc>
              <w:tc>
                <w:tcPr>
                  <w:tcW w:w="2239" w:type="dxa"/>
                  <w:tcBorders>
                    <w:top w:val="single" w:color="000000" w:sz="6" w:space="0"/>
                    <w:left w:val="single" w:color="000000" w:sz="6" w:space="0"/>
                    <w:bottom w:val="single" w:color="000000" w:sz="6" w:space="0"/>
                    <w:right w:val="single" w:color="000000" w:sz="6" w:space="0"/>
                  </w:tcBorders>
                  <w:vAlign w:val="center"/>
                </w:tcPr>
                <w:p>
                  <w:pPr>
                    <w:pStyle w:val="44"/>
                    <w:rPr>
                      <w:rFonts w:ascii="Times New Roman" w:hAnsi="Times New Roman" w:cs="Times New Roman"/>
                      <w:color w:val="000000"/>
                      <w:position w:val="2"/>
                    </w:rPr>
                  </w:pP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/Q</w:t>
                  </w:r>
                  <w:r>
                    <w:rPr>
                      <w:rFonts w:ascii="Times New Roman" w:hAnsi="Times New Roman" w:cs="Times New Roman"/>
                      <w:color w:val="000000"/>
                      <w:position w:val="2"/>
                      <w:vertAlign w:val="subscript"/>
                    </w:rPr>
                    <w:t>1</w:t>
                  </w:r>
                  <w:r>
                    <w:rPr>
                      <w:rFonts w:ascii="Times New Roman" w:hAnsi="Times New Roman" w:cs="Times New Roman"/>
                      <w:color w:val="000000"/>
                      <w:position w:val="2"/>
                    </w:rPr>
                    <w:t>=</w:t>
                  </w:r>
                  <w:r>
                    <w:rPr>
                      <w:rFonts w:hint="eastAsia" w:ascii="Times New Roman" w:hAnsi="Times New Roman" w:cs="Times New Roman"/>
                      <w:color w:val="000000"/>
                    </w:rPr>
                    <w:t>0.00</w:t>
                  </w:r>
                  <w:r>
                    <w:rPr>
                      <w:rFonts w:hint="eastAsia" w:ascii="Times New Roman" w:hAnsi="Times New Roman" w:cs="Times New Roman"/>
                      <w:color w:val="000000"/>
                      <w:lang w:val="en-US" w:eastAsia="zh-CN"/>
                    </w:rPr>
                    <w:t>1</w:t>
                  </w:r>
                  <w:r>
                    <w:rPr>
                      <w:rFonts w:ascii="Times New Roman" w:hAnsi="Times New Roman" w:cs="Times New Roman"/>
                      <w:color w:val="000000"/>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5" w:hRule="atLeast"/>
                <w:jc w:val="center"/>
              </w:trPr>
              <w:tc>
                <w:tcPr>
                  <w:tcW w:w="5699" w:type="dxa"/>
                  <w:gridSpan w:val="4"/>
                  <w:tcBorders>
                    <w:top w:val="single" w:color="000000" w:sz="6" w:space="0"/>
                    <w:right w:val="single" w:color="000000" w:sz="6" w:space="0"/>
                  </w:tcBorders>
                  <w:vAlign w:val="center"/>
                </w:tcPr>
                <w:p>
                  <w:pPr>
                    <w:pStyle w:val="44"/>
                    <w:tabs>
                      <w:tab w:val="left" w:pos="492"/>
                      <w:tab w:val="center" w:pos="2796"/>
                    </w:tabs>
                    <w:rPr>
                      <w:rFonts w:ascii="Times New Roman" w:hAnsi="Times New Roman" w:cs="Times New Roman"/>
                      <w:color w:val="000000"/>
                    </w:rPr>
                  </w:pPr>
                  <w:r>
                    <w:rPr>
                      <w:rFonts w:ascii="Times New Roman" w:hAnsi="Times New Roman" w:cs="Times New Roman"/>
                      <w:color w:val="000000"/>
                    </w:rPr>
                    <w:t>合计</w:t>
                  </w:r>
                </w:p>
              </w:tc>
              <w:tc>
                <w:tcPr>
                  <w:tcW w:w="2239" w:type="dxa"/>
                  <w:tcBorders>
                    <w:top w:val="single" w:color="000000" w:sz="6" w:space="0"/>
                    <w:left w:val="single" w:color="000000" w:sz="6" w:space="0"/>
                    <w:right w:val="single" w:color="000000" w:sz="6" w:space="0"/>
                  </w:tcBorders>
                  <w:vAlign w:val="center"/>
                </w:tcPr>
                <w:p>
                  <w:pPr>
                    <w:pStyle w:val="44"/>
                    <w:rPr>
                      <w:rFonts w:hint="default" w:ascii="Times New Roman" w:hAnsi="Times New Roman" w:eastAsia="宋体" w:cs="Times New Roman"/>
                      <w:color w:val="000000"/>
                      <w:lang w:val="en-US" w:eastAsia="zh-CN"/>
                    </w:rPr>
                  </w:pPr>
                  <w:r>
                    <w:rPr>
                      <w:rFonts w:ascii="Times New Roman" w:hAnsi="Times New Roman" w:cs="Times New Roman"/>
                      <w:color w:val="000000"/>
                    </w:rPr>
                    <w:t>q /Q =0.</w:t>
                  </w:r>
                  <w:r>
                    <w:rPr>
                      <w:rFonts w:hint="eastAsia" w:ascii="Times New Roman" w:hAnsi="Times New Roman" w:cs="Times New Roman"/>
                      <w:color w:val="000000"/>
                    </w:rPr>
                    <w:t>0</w:t>
                  </w:r>
                  <w:r>
                    <w:rPr>
                      <w:rFonts w:hint="eastAsia" w:ascii="Times New Roman" w:hAnsi="Times New Roman" w:cs="Times New Roman"/>
                      <w:color w:val="000000"/>
                      <w:lang w:val="en-US" w:eastAsia="zh-CN"/>
                    </w:rPr>
                    <w:t>1604</w:t>
                  </w:r>
                </w:p>
              </w:tc>
            </w:tr>
          </w:tbl>
          <w:p>
            <w:pPr>
              <w:spacing w:line="360" w:lineRule="auto"/>
              <w:ind w:firstLine="468" w:firstLineChars="200"/>
              <w:rPr>
                <w:color w:val="000000"/>
                <w:spacing w:val="-3"/>
                <w:sz w:val="24"/>
                <w:szCs w:val="24"/>
              </w:rPr>
            </w:pPr>
            <w:r>
              <w:rPr>
                <w:color w:val="000000"/>
                <w:spacing w:val="-3"/>
                <w:sz w:val="24"/>
                <w:szCs w:val="24"/>
              </w:rPr>
              <w:t>由上表可知，本项目危险物质数量与临界量比值Q＜1。</w:t>
            </w:r>
          </w:p>
          <w:p>
            <w:pPr>
              <w:spacing w:line="360" w:lineRule="auto"/>
              <w:ind w:firstLine="468" w:firstLineChars="200"/>
              <w:rPr>
                <w:color w:val="000000"/>
                <w:spacing w:val="-3"/>
                <w:sz w:val="24"/>
                <w:szCs w:val="24"/>
              </w:rPr>
            </w:pPr>
            <w:r>
              <w:rPr>
                <w:color w:val="000000"/>
                <w:spacing w:val="-3"/>
                <w:sz w:val="24"/>
                <w:szCs w:val="24"/>
              </w:rPr>
              <w:t>根据《建设项目环境风险评价技术导则》（HJ169-2018），本项目Q＜1时，该项目风险潜势为I。</w:t>
            </w:r>
          </w:p>
          <w:p>
            <w:pPr>
              <w:spacing w:line="360" w:lineRule="auto"/>
              <w:ind w:firstLine="459"/>
              <w:rPr>
                <w:color w:val="000000"/>
                <w:sz w:val="24"/>
                <w:szCs w:val="24"/>
              </w:rPr>
            </w:pPr>
            <w:r>
              <w:rPr>
                <w:color w:val="000000"/>
                <w:sz w:val="24"/>
                <w:szCs w:val="24"/>
              </w:rPr>
              <w:t>根据《建设项目环境风险评价技术导则》（HJ 169-2018）规定，风险评价的等级划分是基于项目涉及的物质和工艺系统的危险性及其所在地的环境敏感性确定环境风险潜势，按下表确定评价工作等级。</w:t>
            </w:r>
          </w:p>
          <w:p>
            <w:pPr>
              <w:spacing w:line="360" w:lineRule="auto"/>
              <w:ind w:firstLine="27"/>
              <w:jc w:val="center"/>
              <w:rPr>
                <w:b/>
                <w:bCs/>
                <w:color w:val="000000"/>
                <w:sz w:val="24"/>
                <w:szCs w:val="24"/>
              </w:rPr>
            </w:pPr>
            <w:r>
              <w:rPr>
                <w:b/>
                <w:bCs/>
                <w:color w:val="000000"/>
                <w:sz w:val="24"/>
                <w:szCs w:val="24"/>
              </w:rPr>
              <w:t>表4</w:t>
            </w:r>
            <w:r>
              <w:rPr>
                <w:rFonts w:hint="eastAsia"/>
                <w:b/>
                <w:bCs/>
                <w:color w:val="000000"/>
                <w:sz w:val="24"/>
                <w:szCs w:val="24"/>
              </w:rPr>
              <w:t>-20</w:t>
            </w:r>
            <w:r>
              <w:rPr>
                <w:b/>
                <w:bCs/>
                <w:color w:val="000000"/>
                <w:sz w:val="24"/>
                <w:szCs w:val="24"/>
              </w:rPr>
              <w:t xml:space="preserve">  环境风险评价工作等级划分</w:t>
            </w:r>
          </w:p>
          <w:tbl>
            <w:tblPr>
              <w:tblStyle w:val="22"/>
              <w:tblW w:w="7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241"/>
              <w:gridCol w:w="1572"/>
              <w:gridCol w:w="163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16" w:type="dxa"/>
                  <w:vAlign w:val="center"/>
                </w:tcPr>
                <w:p>
                  <w:pPr>
                    <w:pStyle w:val="11"/>
                    <w:spacing w:after="0"/>
                    <w:ind w:left="0" w:leftChars="0"/>
                    <w:jc w:val="center"/>
                    <w:rPr>
                      <w:color w:val="000000"/>
                      <w:sz w:val="21"/>
                      <w:szCs w:val="21"/>
                    </w:rPr>
                  </w:pPr>
                  <w:r>
                    <w:rPr>
                      <w:color w:val="000000"/>
                      <w:sz w:val="21"/>
                      <w:szCs w:val="21"/>
                    </w:rPr>
                    <w:t>环境风险潜势</w:t>
                  </w:r>
                </w:p>
              </w:tc>
              <w:tc>
                <w:tcPr>
                  <w:tcW w:w="1241" w:type="dxa"/>
                  <w:vAlign w:val="center"/>
                </w:tcPr>
                <w:p>
                  <w:pPr>
                    <w:pStyle w:val="11"/>
                    <w:spacing w:after="0"/>
                    <w:ind w:left="0" w:leftChars="0"/>
                    <w:jc w:val="center"/>
                    <w:rPr>
                      <w:color w:val="000000"/>
                      <w:sz w:val="21"/>
                      <w:szCs w:val="21"/>
                    </w:rPr>
                  </w:pPr>
                  <w:r>
                    <w:rPr>
                      <w:color w:val="000000"/>
                      <w:sz w:val="21"/>
                      <w:szCs w:val="21"/>
                    </w:rPr>
                    <w:t>Ⅳ、Ⅳ</w:t>
                  </w:r>
                  <w:r>
                    <w:rPr>
                      <w:color w:val="000000"/>
                      <w:sz w:val="21"/>
                      <w:szCs w:val="21"/>
                      <w:vertAlign w:val="superscript"/>
                    </w:rPr>
                    <w:t>+</w:t>
                  </w:r>
                </w:p>
              </w:tc>
              <w:tc>
                <w:tcPr>
                  <w:tcW w:w="1572" w:type="dxa"/>
                  <w:vAlign w:val="center"/>
                </w:tcPr>
                <w:p>
                  <w:pPr>
                    <w:pStyle w:val="11"/>
                    <w:spacing w:after="0"/>
                    <w:ind w:left="0" w:leftChars="0"/>
                    <w:jc w:val="center"/>
                    <w:rPr>
                      <w:color w:val="000000"/>
                      <w:sz w:val="21"/>
                      <w:szCs w:val="21"/>
                    </w:rPr>
                  </w:pPr>
                  <w:r>
                    <w:rPr>
                      <w:color w:val="000000"/>
                      <w:sz w:val="21"/>
                      <w:szCs w:val="21"/>
                    </w:rPr>
                    <w:t>Ⅲ</w:t>
                  </w:r>
                </w:p>
              </w:tc>
              <w:tc>
                <w:tcPr>
                  <w:tcW w:w="1633" w:type="dxa"/>
                  <w:vAlign w:val="center"/>
                </w:tcPr>
                <w:p>
                  <w:pPr>
                    <w:pStyle w:val="11"/>
                    <w:spacing w:after="0"/>
                    <w:ind w:left="0" w:leftChars="0"/>
                    <w:jc w:val="center"/>
                    <w:rPr>
                      <w:color w:val="000000"/>
                      <w:sz w:val="21"/>
                      <w:szCs w:val="21"/>
                    </w:rPr>
                  </w:pPr>
                  <w:r>
                    <w:rPr>
                      <w:color w:val="000000"/>
                      <w:sz w:val="21"/>
                      <w:szCs w:val="21"/>
                    </w:rPr>
                    <w:t>Ⅱ</w:t>
                  </w:r>
                </w:p>
              </w:tc>
              <w:tc>
                <w:tcPr>
                  <w:tcW w:w="1476" w:type="dxa"/>
                  <w:vAlign w:val="center"/>
                </w:tcPr>
                <w:p>
                  <w:pPr>
                    <w:pStyle w:val="11"/>
                    <w:spacing w:after="0"/>
                    <w:ind w:left="0" w:leftChars="0"/>
                    <w:jc w:val="center"/>
                    <w:rPr>
                      <w:color w:val="000000"/>
                      <w:sz w:val="21"/>
                      <w:szCs w:val="21"/>
                    </w:rPr>
                  </w:pPr>
                  <w:r>
                    <w:rPr>
                      <w:color w:val="000000"/>
                      <w:sz w:val="21"/>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16" w:type="dxa"/>
                  <w:vAlign w:val="center"/>
                </w:tcPr>
                <w:p>
                  <w:pPr>
                    <w:pStyle w:val="11"/>
                    <w:spacing w:after="0"/>
                    <w:ind w:left="0" w:leftChars="0"/>
                    <w:jc w:val="center"/>
                    <w:rPr>
                      <w:color w:val="000000"/>
                      <w:sz w:val="21"/>
                      <w:szCs w:val="21"/>
                    </w:rPr>
                  </w:pPr>
                  <w:r>
                    <w:rPr>
                      <w:color w:val="000000"/>
                      <w:sz w:val="21"/>
                      <w:szCs w:val="21"/>
                    </w:rPr>
                    <w:t>评价工作等级</w:t>
                  </w:r>
                </w:p>
              </w:tc>
              <w:tc>
                <w:tcPr>
                  <w:tcW w:w="1241" w:type="dxa"/>
                  <w:vAlign w:val="center"/>
                </w:tcPr>
                <w:p>
                  <w:pPr>
                    <w:pStyle w:val="11"/>
                    <w:spacing w:after="0"/>
                    <w:ind w:left="0" w:leftChars="0"/>
                    <w:jc w:val="center"/>
                    <w:rPr>
                      <w:color w:val="000000"/>
                      <w:sz w:val="21"/>
                      <w:szCs w:val="21"/>
                    </w:rPr>
                  </w:pPr>
                  <w:r>
                    <w:rPr>
                      <w:color w:val="000000"/>
                      <w:sz w:val="21"/>
                      <w:szCs w:val="21"/>
                    </w:rPr>
                    <w:t>一</w:t>
                  </w:r>
                </w:p>
              </w:tc>
              <w:tc>
                <w:tcPr>
                  <w:tcW w:w="1572" w:type="dxa"/>
                  <w:vAlign w:val="center"/>
                </w:tcPr>
                <w:p>
                  <w:pPr>
                    <w:pStyle w:val="11"/>
                    <w:spacing w:after="0"/>
                    <w:ind w:left="0" w:leftChars="0"/>
                    <w:jc w:val="center"/>
                    <w:rPr>
                      <w:color w:val="000000"/>
                      <w:sz w:val="21"/>
                      <w:szCs w:val="21"/>
                    </w:rPr>
                  </w:pPr>
                  <w:r>
                    <w:rPr>
                      <w:color w:val="000000"/>
                      <w:sz w:val="21"/>
                      <w:szCs w:val="21"/>
                    </w:rPr>
                    <w:t>二</w:t>
                  </w:r>
                </w:p>
              </w:tc>
              <w:tc>
                <w:tcPr>
                  <w:tcW w:w="1633" w:type="dxa"/>
                  <w:vAlign w:val="center"/>
                </w:tcPr>
                <w:p>
                  <w:pPr>
                    <w:pStyle w:val="11"/>
                    <w:spacing w:after="0"/>
                    <w:ind w:left="0" w:leftChars="0"/>
                    <w:jc w:val="center"/>
                    <w:rPr>
                      <w:color w:val="000000"/>
                      <w:sz w:val="21"/>
                      <w:szCs w:val="21"/>
                    </w:rPr>
                  </w:pPr>
                  <w:r>
                    <w:rPr>
                      <w:color w:val="000000"/>
                      <w:sz w:val="21"/>
                      <w:szCs w:val="21"/>
                    </w:rPr>
                    <w:t>三</w:t>
                  </w:r>
                </w:p>
              </w:tc>
              <w:tc>
                <w:tcPr>
                  <w:tcW w:w="1476" w:type="dxa"/>
                  <w:vAlign w:val="center"/>
                </w:tcPr>
                <w:p>
                  <w:pPr>
                    <w:pStyle w:val="11"/>
                    <w:spacing w:after="0"/>
                    <w:ind w:left="0" w:leftChars="0"/>
                    <w:jc w:val="center"/>
                    <w:rPr>
                      <w:color w:val="000000"/>
                      <w:sz w:val="21"/>
                      <w:szCs w:val="21"/>
                    </w:rPr>
                  </w:pPr>
                  <w:r>
                    <w:rPr>
                      <w:color w:val="000000"/>
                      <w:sz w:val="21"/>
                      <w:szCs w:val="21"/>
                    </w:rPr>
                    <w:t>简单分析</w:t>
                  </w:r>
                  <w:r>
                    <w:rPr>
                      <w:color w:val="000000"/>
                      <w:sz w:val="21"/>
                      <w:szCs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38" w:type="dxa"/>
                  <w:gridSpan w:val="5"/>
                  <w:vAlign w:val="center"/>
                </w:tcPr>
                <w:p>
                  <w:pPr>
                    <w:pStyle w:val="11"/>
                    <w:spacing w:after="0"/>
                    <w:ind w:left="0" w:leftChars="0"/>
                    <w:jc w:val="center"/>
                    <w:rPr>
                      <w:color w:val="000000"/>
                      <w:sz w:val="21"/>
                      <w:szCs w:val="21"/>
                    </w:rPr>
                  </w:pPr>
                  <w:r>
                    <w:rPr>
                      <w:color w:val="000000"/>
                      <w:sz w:val="21"/>
                      <w:szCs w:val="21"/>
                    </w:rPr>
                    <w:t>a是相对于详细评价工作内容而言，在描述风险物质、环境影响途径、环境危害后果、风险防范措施等方面给出定性的说明。</w:t>
                  </w:r>
                </w:p>
              </w:tc>
            </w:tr>
          </w:tbl>
          <w:p>
            <w:pPr>
              <w:spacing w:line="360" w:lineRule="auto"/>
              <w:ind w:firstLine="468" w:firstLineChars="200"/>
              <w:rPr>
                <w:rFonts w:hint="eastAsia"/>
                <w:bCs/>
                <w:spacing w:val="-10"/>
                <w:sz w:val="24"/>
              </w:rPr>
            </w:pPr>
            <w:r>
              <w:rPr>
                <w:color w:val="000000"/>
                <w:spacing w:val="-3"/>
                <w:sz w:val="24"/>
                <w:szCs w:val="24"/>
              </w:rPr>
              <w:t>本项目厂区内风险物质数量与临界量比值Q＜1，风险潜势为Ⅰ，</w:t>
            </w:r>
            <w:r>
              <w:rPr>
                <w:rFonts w:hint="eastAsia"/>
                <w:sz w:val="24"/>
                <w:szCs w:val="24"/>
              </w:rPr>
              <w:t>进行简单分析即可。</w:t>
            </w:r>
          </w:p>
          <w:p>
            <w:pPr>
              <w:adjustRightInd w:val="0"/>
              <w:snapToGrid w:val="0"/>
              <w:spacing w:line="360" w:lineRule="auto"/>
              <w:ind w:firstLine="440" w:firstLineChars="200"/>
              <w:rPr>
                <w:sz w:val="24"/>
              </w:rPr>
            </w:pPr>
            <w:r>
              <w:rPr>
                <w:rFonts w:hint="eastAsia"/>
                <w:bCs/>
                <w:spacing w:val="-10"/>
                <w:sz w:val="24"/>
                <w:lang w:val="en-US" w:eastAsia="zh-CN"/>
              </w:rPr>
              <w:t>3</w:t>
            </w:r>
            <w:r>
              <w:rPr>
                <w:rFonts w:hint="eastAsia"/>
                <w:bCs/>
                <w:spacing w:val="-10"/>
                <w:sz w:val="24"/>
              </w:rPr>
              <w:t>、</w:t>
            </w:r>
            <w:r>
              <w:rPr>
                <w:rFonts w:hint="eastAsia"/>
                <w:sz w:val="24"/>
              </w:rPr>
              <w:t>环境风险防范措施及应急要求</w:t>
            </w:r>
          </w:p>
          <w:p>
            <w:pPr>
              <w:spacing w:line="360" w:lineRule="auto"/>
              <w:ind w:firstLine="480" w:firstLineChars="200"/>
              <w:rPr>
                <w:sz w:val="24"/>
              </w:rPr>
            </w:pPr>
            <w:r>
              <w:rPr>
                <w:sz w:val="24"/>
              </w:rPr>
              <w:t>①</w:t>
            </w:r>
            <w:r>
              <w:rPr>
                <w:rFonts w:hint="eastAsia"/>
                <w:sz w:val="24"/>
              </w:rPr>
              <w:t>本项目使用油漆、固化剂、稀释剂泄漏会对大气、地下水和土壤造成影响，建设单位须</w:t>
            </w:r>
            <w:r>
              <w:rPr>
                <w:rFonts w:ascii="宋体" w:hAnsi="宋体" w:cs="宋体"/>
                <w:sz w:val="24"/>
              </w:rPr>
              <w:t>放置托盘上储存</w:t>
            </w:r>
            <w:r>
              <w:rPr>
                <w:rFonts w:hint="eastAsia"/>
                <w:sz w:val="24"/>
              </w:rPr>
              <w:t>，并贴注标识标牌，同时做好地面防渗</w:t>
            </w:r>
            <w:r>
              <w:rPr>
                <w:rFonts w:hint="eastAsia" w:ascii="宋体" w:hAnsi="宋体" w:cs="宋体"/>
                <w:sz w:val="24"/>
              </w:rPr>
              <w:t>，</w:t>
            </w:r>
            <w:r>
              <w:rPr>
                <w:rFonts w:hint="eastAsia"/>
                <w:sz w:val="24"/>
              </w:rPr>
              <w:t>并进行管理记录。</w:t>
            </w:r>
          </w:p>
          <w:p>
            <w:pPr>
              <w:spacing w:line="360" w:lineRule="auto"/>
              <w:ind w:firstLine="480" w:firstLineChars="200"/>
              <w:rPr>
                <w:sz w:val="24"/>
              </w:rPr>
            </w:pPr>
            <w:r>
              <w:rPr>
                <w:sz w:val="24"/>
              </w:rPr>
              <w:t>②</w:t>
            </w:r>
            <w:r>
              <w:rPr>
                <w:rFonts w:ascii="宋体" w:hAnsi="宋体" w:cs="宋体"/>
                <w:sz w:val="24"/>
              </w:rPr>
              <w:t>使用的原料板材以及成品座椅属于可燃物，因此厂区需设置灭火器，禁止明火，注意防止火灾的发生</w:t>
            </w:r>
            <w:r>
              <w:rPr>
                <w:rFonts w:hint="eastAsia"/>
                <w:sz w:val="24"/>
              </w:rPr>
              <w:t>。</w:t>
            </w:r>
          </w:p>
          <w:p>
            <w:pPr>
              <w:spacing w:line="360" w:lineRule="auto"/>
              <w:ind w:firstLine="480" w:firstLineChars="200"/>
              <w:rPr>
                <w:sz w:val="24"/>
              </w:rPr>
            </w:pPr>
            <w:r>
              <w:rPr>
                <w:sz w:val="24"/>
              </w:rPr>
              <w:t>③建设单位须制订环境突发事故应急预案，一旦突发环境风险事故，必须立即按应急预案提到的紧急处理、救援、监测方案等进行紧急救援，救援人员采取相应的防护措施，以避免造成人员伤亡事故。</w:t>
            </w:r>
          </w:p>
          <w:p>
            <w:pPr>
              <w:spacing w:line="360" w:lineRule="auto"/>
              <w:ind w:firstLine="480" w:firstLineChars="200"/>
              <w:rPr>
                <w:sz w:val="24"/>
              </w:rPr>
            </w:pPr>
            <w:r>
              <w:rPr>
                <w:color w:val="000000"/>
                <w:sz w:val="24"/>
              </w:rPr>
              <w:t>④定期对存储场所的用电设备、通风设备、防火和防毒器具进行检查，发现问题及时处理。</w:t>
            </w:r>
          </w:p>
          <w:p>
            <w:pPr>
              <w:spacing w:line="360" w:lineRule="auto"/>
              <w:ind w:firstLine="480"/>
              <w:rPr>
                <w:sz w:val="24"/>
              </w:rPr>
            </w:pPr>
            <w:r>
              <w:rPr>
                <w:rFonts w:hint="eastAsia"/>
                <w:sz w:val="24"/>
                <w:lang w:val="en-US" w:eastAsia="zh-CN"/>
              </w:rPr>
              <w:t>4</w:t>
            </w:r>
            <w:r>
              <w:rPr>
                <w:rFonts w:hint="eastAsia"/>
                <w:sz w:val="24"/>
              </w:rPr>
              <w:t>、结论分析</w:t>
            </w:r>
          </w:p>
          <w:p>
            <w:pPr>
              <w:spacing w:line="360" w:lineRule="auto"/>
              <w:ind w:firstLine="480"/>
            </w:pPr>
            <w:r>
              <w:rPr>
                <w:sz w:val="24"/>
              </w:rPr>
              <w:t>综上所述，本项目运营期存在一定潜在事故风险，要加强风险管理，在项目建设过程中认真落实各种风险防范措施，通过相应的技术手段降低风险发生概率，并在风险事故发生后，及时采取风险防范措施及应急预案，可以使风险事故对环境的危害得到有效控制，将事故风险控制在可以接受的范围内，故该项目事故风险水平是可以接受的。</w:t>
            </w:r>
          </w:p>
          <w:p>
            <w:pPr>
              <w:pStyle w:val="9"/>
              <w:spacing w:line="360" w:lineRule="auto"/>
              <w:ind w:firstLine="482" w:firstLineChars="200"/>
              <w:rPr>
                <w:b/>
                <w:bCs/>
                <w:sz w:val="24"/>
              </w:rPr>
            </w:pPr>
            <w:r>
              <w:rPr>
                <w:b/>
                <w:bCs/>
                <w:sz w:val="24"/>
              </w:rPr>
              <w:t>八、相关环境管理要求</w:t>
            </w:r>
          </w:p>
          <w:p>
            <w:pPr>
              <w:autoSpaceDE w:val="0"/>
              <w:autoSpaceDN w:val="0"/>
              <w:adjustRightInd w:val="0"/>
              <w:spacing w:line="360" w:lineRule="auto"/>
              <w:ind w:firstLine="480" w:firstLineChars="200"/>
              <w:rPr>
                <w:bCs/>
                <w:kern w:val="0"/>
                <w:sz w:val="24"/>
              </w:rPr>
            </w:pPr>
            <w:r>
              <w:rPr>
                <w:bCs/>
                <w:kern w:val="0"/>
                <w:sz w:val="24"/>
                <w:lang w:bidi="ar"/>
              </w:rPr>
              <w:t>1</w:t>
            </w:r>
            <w:r>
              <w:rPr>
                <w:rFonts w:hint="eastAsia"/>
                <w:bCs/>
                <w:kern w:val="0"/>
                <w:sz w:val="24"/>
                <w:lang w:bidi="ar"/>
              </w:rPr>
              <w:t>、</w:t>
            </w:r>
            <w:r>
              <w:rPr>
                <w:bCs/>
                <w:kern w:val="0"/>
                <w:sz w:val="24"/>
                <w:lang w:bidi="ar"/>
              </w:rPr>
              <w:t>环境管理</w:t>
            </w:r>
          </w:p>
          <w:p>
            <w:pPr>
              <w:autoSpaceDE w:val="0"/>
              <w:autoSpaceDN w:val="0"/>
              <w:adjustRightInd w:val="0"/>
              <w:spacing w:line="360" w:lineRule="auto"/>
              <w:ind w:firstLine="480" w:firstLineChars="200"/>
              <w:rPr>
                <w:b/>
                <w:bCs/>
                <w:sz w:val="24"/>
              </w:rPr>
            </w:pPr>
            <w:r>
              <w:rPr>
                <w:sz w:val="24"/>
                <w:lang w:bidi="ar"/>
              </w:rPr>
              <w:t>根据项目的实际情况，在工程投入运营后，环境管理机构由物业管理部门负责，下设环境管理小组对拟建项目环境管理和环境监控负责，并受项目主管单位及</w:t>
            </w:r>
            <w:r>
              <w:rPr>
                <w:rFonts w:hint="eastAsia"/>
                <w:sz w:val="24"/>
                <w:lang w:bidi="ar"/>
              </w:rPr>
              <w:t>生态环保部门</w:t>
            </w:r>
            <w:r>
              <w:rPr>
                <w:sz w:val="24"/>
                <w:lang w:bidi="ar"/>
              </w:rPr>
              <w:t>的监督和指导。</w:t>
            </w:r>
          </w:p>
          <w:p>
            <w:pPr>
              <w:pStyle w:val="9"/>
              <w:spacing w:line="360" w:lineRule="auto"/>
              <w:ind w:firstLine="480"/>
              <w:rPr>
                <w:sz w:val="24"/>
              </w:rPr>
            </w:pPr>
            <w:r>
              <w:rPr>
                <w:rFonts w:hint="eastAsia"/>
                <w:sz w:val="24"/>
              </w:rPr>
              <w:t>2</w:t>
            </w:r>
            <w:r>
              <w:rPr>
                <w:sz w:val="24"/>
              </w:rPr>
              <w:t>、排污口规范化设置</w:t>
            </w:r>
          </w:p>
          <w:p>
            <w:pPr>
              <w:spacing w:line="360" w:lineRule="auto"/>
              <w:ind w:firstLine="482"/>
              <w:rPr>
                <w:sz w:val="24"/>
              </w:rPr>
            </w:pPr>
            <w:r>
              <w:rPr>
                <w:sz w:val="24"/>
                <w:lang w:bidi="ar"/>
              </w:rPr>
              <w:t>项目废气、废水排放口及固废暂存处需按照国家相关规定进行建设，并设置相关识标牌，排污口图形符号见下表。</w:t>
            </w:r>
          </w:p>
          <w:p>
            <w:pPr>
              <w:pStyle w:val="9"/>
              <w:ind w:firstLine="0" w:firstLineChars="0"/>
              <w:jc w:val="center"/>
              <w:rPr>
                <w:b/>
                <w:bCs/>
                <w:sz w:val="24"/>
              </w:rPr>
            </w:pPr>
            <w:r>
              <w:rPr>
                <w:b/>
                <w:bCs/>
                <w:sz w:val="24"/>
              </w:rPr>
              <w:t>表4-1</w:t>
            </w:r>
            <w:r>
              <w:rPr>
                <w:rFonts w:hint="eastAsia"/>
                <w:b/>
                <w:bCs/>
                <w:sz w:val="24"/>
              </w:rPr>
              <w:t>8</w:t>
            </w:r>
            <w:r>
              <w:rPr>
                <w:b/>
                <w:bCs/>
                <w:sz w:val="24"/>
              </w:rPr>
              <w:t xml:space="preserve">  排污口图形符号（提示标志）一览表</w:t>
            </w:r>
          </w:p>
          <w:tbl>
            <w:tblPr>
              <w:tblStyle w:val="22"/>
              <w:tblW w:w="7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295"/>
              <w:gridCol w:w="1320"/>
              <w:gridCol w:w="1344"/>
              <w:gridCol w:w="1356"/>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名称</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污水排放口</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废气排放口</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噪声排放源</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固体废物</w:t>
                  </w:r>
                </w:p>
              </w:tc>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Cs w:val="21"/>
                      <w:lang w:bidi="ar"/>
                    </w:rPr>
                  </w:pPr>
                  <w:r>
                    <w:rPr>
                      <w:szCs w:val="21"/>
                      <w:lang w:bidi="ar"/>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图形符号</w:t>
                  </w:r>
                </w:p>
              </w:tc>
              <w:tc>
                <w:tcPr>
                  <w:tcW w:w="129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Cs w:val="21"/>
                      <w:lang w:bidi="ar"/>
                    </w:rPr>
                  </w:pPr>
                  <w:r>
                    <w:rPr>
                      <w:kern w:val="0"/>
                      <w:szCs w:val="21"/>
                      <w:lang w:bidi="ar"/>
                    </w:rPr>
                    <w:drawing>
                      <wp:inline distT="0" distB="0" distL="114300" distR="114300">
                        <wp:extent cx="693420" cy="685800"/>
                        <wp:effectExtent l="0" t="0" r="1905" b="0"/>
                        <wp:docPr id="1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6"/>
                                <pic:cNvPicPr>
                                  <a:picLocks noChangeAspect="1"/>
                                </pic:cNvPicPr>
                              </pic:nvPicPr>
                              <pic:blipFill>
                                <a:blip r:embed="rId27"/>
                                <a:stretch>
                                  <a:fillRect/>
                                </a:stretch>
                              </pic:blipFill>
                              <pic:spPr>
                                <a:xfrm>
                                  <a:off x="0" y="0"/>
                                  <a:ext cx="693420" cy="685800"/>
                                </a:xfrm>
                                <a:prstGeom prst="rect">
                                  <a:avLst/>
                                </a:prstGeom>
                                <a:noFill/>
                                <a:ln>
                                  <a:noFill/>
                                </a:ln>
                              </pic:spPr>
                            </pic:pic>
                          </a:graphicData>
                        </a:graphic>
                      </wp:inline>
                    </w:drawing>
                  </w:r>
                </w:p>
              </w:tc>
              <w:tc>
                <w:tcPr>
                  <w:tcW w:w="13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Cs w:val="21"/>
                      <w:lang w:bidi="ar"/>
                    </w:rPr>
                  </w:pPr>
                  <w:r>
                    <w:rPr>
                      <w:szCs w:val="21"/>
                      <w:lang w:bidi="ar"/>
                    </w:rPr>
                    <w:drawing>
                      <wp:inline distT="0" distB="0" distL="114300" distR="114300">
                        <wp:extent cx="685800" cy="685800"/>
                        <wp:effectExtent l="0" t="0" r="0" b="0"/>
                        <wp:docPr id="18" name="图片 5" descr="未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未标题-3"/>
                                <pic:cNvPicPr>
                                  <a:picLocks noChangeAspect="1"/>
                                </pic:cNvPicPr>
                              </pic:nvPicPr>
                              <pic:blipFill>
                                <a:blip r:embed="rId28"/>
                                <a:stretch>
                                  <a:fillRect/>
                                </a:stretch>
                              </pic:blipFill>
                              <pic:spPr>
                                <a:xfrm>
                                  <a:off x="0" y="0"/>
                                  <a:ext cx="685800" cy="685800"/>
                                </a:xfrm>
                                <a:prstGeom prst="rect">
                                  <a:avLst/>
                                </a:prstGeom>
                                <a:noFill/>
                                <a:ln>
                                  <a:noFill/>
                                </a:ln>
                              </pic:spPr>
                            </pic:pic>
                          </a:graphicData>
                        </a:graphic>
                      </wp:inline>
                    </w:drawing>
                  </w:r>
                </w:p>
              </w:tc>
              <w:tc>
                <w:tcPr>
                  <w:tcW w:w="13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Cs w:val="21"/>
                      <w:lang w:bidi="ar"/>
                    </w:rPr>
                  </w:pPr>
                  <w:r>
                    <w:rPr>
                      <w:szCs w:val="21"/>
                      <w:lang w:bidi="ar"/>
                    </w:rPr>
                    <w:drawing>
                      <wp:inline distT="0" distB="0" distL="114300" distR="114300">
                        <wp:extent cx="669925" cy="662940"/>
                        <wp:effectExtent l="0" t="0" r="6350" b="3810"/>
                        <wp:docPr id="19" name="图片 6" descr="未标题-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未标题-7"/>
                                <pic:cNvPicPr>
                                  <a:picLocks noChangeAspect="1"/>
                                </pic:cNvPicPr>
                              </pic:nvPicPr>
                              <pic:blipFill>
                                <a:blip r:embed="rId29"/>
                                <a:stretch>
                                  <a:fillRect/>
                                </a:stretch>
                              </pic:blipFill>
                              <pic:spPr>
                                <a:xfrm>
                                  <a:off x="0" y="0"/>
                                  <a:ext cx="669925" cy="662940"/>
                                </a:xfrm>
                                <a:prstGeom prst="rect">
                                  <a:avLst/>
                                </a:prstGeom>
                                <a:noFill/>
                                <a:ln>
                                  <a:noFill/>
                                </a:ln>
                              </pic:spPr>
                            </pic:pic>
                          </a:graphicData>
                        </a:graphic>
                      </wp:inline>
                    </w:drawing>
                  </w:r>
                </w:p>
              </w:tc>
              <w:tc>
                <w:tcPr>
                  <w:tcW w:w="13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Cs w:val="21"/>
                      <w:lang w:bidi="ar"/>
                    </w:rPr>
                  </w:pPr>
                  <w:r>
                    <w:rPr>
                      <w:szCs w:val="21"/>
                      <w:lang w:bidi="ar"/>
                    </w:rPr>
                    <w:drawing>
                      <wp:inline distT="0" distB="0" distL="114300" distR="114300">
                        <wp:extent cx="693420" cy="670560"/>
                        <wp:effectExtent l="0" t="0" r="1905" b="5715"/>
                        <wp:docPr id="20" name="图片 7"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descr="未标题-5"/>
                                <pic:cNvPicPr>
                                  <a:picLocks noChangeAspect="1"/>
                                </pic:cNvPicPr>
                              </pic:nvPicPr>
                              <pic:blipFill>
                                <a:blip r:embed="rId30"/>
                                <a:stretch>
                                  <a:fillRect/>
                                </a:stretch>
                              </pic:blipFill>
                              <pic:spPr>
                                <a:xfrm>
                                  <a:off x="0" y="0"/>
                                  <a:ext cx="693420" cy="670560"/>
                                </a:xfrm>
                                <a:prstGeom prst="rect">
                                  <a:avLst/>
                                </a:prstGeom>
                                <a:noFill/>
                                <a:ln>
                                  <a:noFill/>
                                </a:ln>
                              </pic:spPr>
                            </pic:pic>
                          </a:graphicData>
                        </a:graphic>
                      </wp:inline>
                    </w:drawing>
                  </w:r>
                </w:p>
              </w:tc>
              <w:tc>
                <w:tcPr>
                  <w:tcW w:w="14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b/>
                      <w:kern w:val="0"/>
                      <w:szCs w:val="21"/>
                      <w:lang w:bidi="ar"/>
                    </w:rPr>
                  </w:pPr>
                  <w:r>
                    <w:rPr>
                      <w:b/>
                      <w:kern w:val="0"/>
                      <w:szCs w:val="21"/>
                      <w:lang w:bidi="ar"/>
                    </w:rPr>
                    <w:drawing>
                      <wp:inline distT="0" distB="0" distL="114300" distR="114300">
                        <wp:extent cx="768985" cy="659765"/>
                        <wp:effectExtent l="0" t="0" r="2540" b="6985"/>
                        <wp:docPr id="21" name="图片 29" descr="-82965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9" descr="-829659672"/>
                                <pic:cNvPicPr>
                                  <a:picLocks noChangeAspect="1"/>
                                </pic:cNvPicPr>
                              </pic:nvPicPr>
                              <pic:blipFill>
                                <a:blip r:embed="rId31"/>
                                <a:stretch>
                                  <a:fillRect/>
                                </a:stretch>
                              </pic:blipFill>
                              <pic:spPr>
                                <a:xfrm>
                                  <a:off x="0" y="0"/>
                                  <a:ext cx="768985" cy="6597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形状</w:t>
                  </w:r>
                </w:p>
              </w:tc>
              <w:tc>
                <w:tcPr>
                  <w:tcW w:w="5315" w:type="dxa"/>
                  <w:gridSpan w:val="4"/>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正方形边框</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三角形边框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背景颜色</w:t>
                  </w:r>
                </w:p>
              </w:tc>
              <w:tc>
                <w:tcPr>
                  <w:tcW w:w="5315" w:type="dxa"/>
                  <w:gridSpan w:val="4"/>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绿色</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7"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图形颜色</w:t>
                  </w:r>
                </w:p>
              </w:tc>
              <w:tc>
                <w:tcPr>
                  <w:tcW w:w="5315" w:type="dxa"/>
                  <w:gridSpan w:val="4"/>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白色</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b/>
                      <w:kern w:val="0"/>
                      <w:szCs w:val="21"/>
                      <w:lang w:bidi="ar"/>
                    </w:rPr>
                  </w:pPr>
                  <w:r>
                    <w:rPr>
                      <w:szCs w:val="21"/>
                      <w:lang w:bidi="ar"/>
                    </w:rPr>
                    <w:t>黑色</w:t>
                  </w:r>
                </w:p>
              </w:tc>
            </w:tr>
          </w:tbl>
          <w:p>
            <w:pPr>
              <w:spacing w:line="360" w:lineRule="auto"/>
              <w:ind w:firstLine="480" w:firstLineChars="200"/>
              <w:rPr>
                <w:sz w:val="24"/>
              </w:rPr>
            </w:pPr>
            <w:r>
              <w:rPr>
                <w:rFonts w:hint="eastAsia"/>
                <w:sz w:val="24"/>
              </w:rPr>
              <w:t>3、</w:t>
            </w:r>
            <w:r>
              <w:rPr>
                <w:sz w:val="24"/>
              </w:rPr>
              <w:t>项目环保治理投资估算</w:t>
            </w:r>
          </w:p>
          <w:p>
            <w:pPr>
              <w:spacing w:line="360" w:lineRule="auto"/>
              <w:ind w:firstLine="480" w:firstLineChars="200"/>
              <w:rPr>
                <w:bCs/>
                <w:sz w:val="24"/>
              </w:rPr>
            </w:pPr>
            <w:r>
              <w:rPr>
                <w:bCs/>
                <w:sz w:val="24"/>
              </w:rPr>
              <w:t>本项目总投资为</w:t>
            </w:r>
            <w:r>
              <w:rPr>
                <w:rFonts w:hint="eastAsia"/>
                <w:bCs/>
                <w:sz w:val="24"/>
                <w:lang w:val="en-US" w:eastAsia="zh-CN"/>
              </w:rPr>
              <w:t>8</w:t>
            </w:r>
            <w:r>
              <w:rPr>
                <w:rFonts w:hint="eastAsia"/>
                <w:bCs/>
                <w:sz w:val="24"/>
              </w:rPr>
              <w:t>00</w:t>
            </w:r>
            <w:r>
              <w:rPr>
                <w:bCs/>
                <w:sz w:val="24"/>
              </w:rPr>
              <w:t>万元，其中环保投资为</w:t>
            </w:r>
            <w:r>
              <w:rPr>
                <w:rFonts w:hint="eastAsia"/>
                <w:bCs/>
                <w:sz w:val="24"/>
                <w:lang w:val="en-US" w:eastAsia="zh-CN"/>
              </w:rPr>
              <w:t>7</w:t>
            </w:r>
            <w:r>
              <w:rPr>
                <w:rFonts w:hint="eastAsia"/>
                <w:bCs/>
                <w:sz w:val="24"/>
              </w:rPr>
              <w:t>0</w:t>
            </w:r>
            <w:r>
              <w:rPr>
                <w:bCs/>
                <w:sz w:val="24"/>
              </w:rPr>
              <w:t>万元，占总投资的</w:t>
            </w:r>
            <w:r>
              <w:rPr>
                <w:rFonts w:hint="eastAsia"/>
                <w:bCs/>
                <w:sz w:val="24"/>
                <w:lang w:val="en-US" w:eastAsia="zh-CN"/>
              </w:rPr>
              <w:t>8.75</w:t>
            </w:r>
            <w:r>
              <w:rPr>
                <w:bCs/>
                <w:sz w:val="24"/>
              </w:rPr>
              <w:t>%，环保投资明细详见下表。</w:t>
            </w:r>
          </w:p>
          <w:p>
            <w:pPr>
              <w:spacing w:line="360" w:lineRule="auto"/>
              <w:jc w:val="center"/>
              <w:rPr>
                <w:sz w:val="24"/>
              </w:rPr>
            </w:pPr>
            <w:r>
              <w:rPr>
                <w:b/>
                <w:bCs/>
                <w:sz w:val="24"/>
              </w:rPr>
              <w:t>表</w:t>
            </w:r>
            <w:r>
              <w:rPr>
                <w:rFonts w:hint="eastAsia"/>
                <w:b/>
                <w:bCs/>
                <w:sz w:val="24"/>
              </w:rPr>
              <w:t>4-19</w:t>
            </w:r>
            <w:r>
              <w:rPr>
                <w:b/>
                <w:bCs/>
                <w:sz w:val="24"/>
              </w:rPr>
              <w:t xml:space="preserve">  本项目环保措施及投资表  单位：万元</w:t>
            </w:r>
          </w:p>
          <w:tbl>
            <w:tblPr>
              <w:tblStyle w:val="23"/>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60"/>
              <w:gridCol w:w="2074"/>
              <w:gridCol w:w="3536"/>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center"/>
                </w:tcPr>
                <w:p>
                  <w:pPr>
                    <w:autoSpaceDE w:val="0"/>
                    <w:autoSpaceDN w:val="0"/>
                    <w:adjustRightInd w:val="0"/>
                    <w:jc w:val="center"/>
                    <w:rPr>
                      <w:b/>
                      <w:bCs/>
                      <w:szCs w:val="21"/>
                    </w:rPr>
                  </w:pPr>
                  <w:r>
                    <w:rPr>
                      <w:rFonts w:hint="eastAsia"/>
                      <w:b/>
                      <w:kern w:val="0"/>
                      <w:szCs w:val="21"/>
                      <w:lang w:bidi="ar"/>
                    </w:rPr>
                    <w:t>序号</w:t>
                  </w:r>
                </w:p>
              </w:tc>
              <w:tc>
                <w:tcPr>
                  <w:tcW w:w="960" w:type="dxa"/>
                  <w:vAlign w:val="center"/>
                </w:tcPr>
                <w:p>
                  <w:pPr>
                    <w:autoSpaceDE w:val="0"/>
                    <w:autoSpaceDN w:val="0"/>
                    <w:adjustRightInd w:val="0"/>
                    <w:jc w:val="center"/>
                    <w:rPr>
                      <w:b/>
                      <w:bCs/>
                      <w:szCs w:val="21"/>
                    </w:rPr>
                  </w:pPr>
                  <w:r>
                    <w:rPr>
                      <w:rFonts w:hint="eastAsia"/>
                      <w:b/>
                      <w:kern w:val="0"/>
                      <w:szCs w:val="21"/>
                      <w:lang w:bidi="ar"/>
                    </w:rPr>
                    <w:t>类型</w:t>
                  </w:r>
                </w:p>
              </w:tc>
              <w:tc>
                <w:tcPr>
                  <w:tcW w:w="2074" w:type="dxa"/>
                  <w:vAlign w:val="center"/>
                </w:tcPr>
                <w:p>
                  <w:pPr>
                    <w:autoSpaceDE w:val="0"/>
                    <w:autoSpaceDN w:val="0"/>
                    <w:adjustRightInd w:val="0"/>
                    <w:jc w:val="center"/>
                    <w:rPr>
                      <w:b/>
                      <w:bCs/>
                      <w:szCs w:val="21"/>
                    </w:rPr>
                  </w:pPr>
                  <w:r>
                    <w:rPr>
                      <w:rFonts w:hint="eastAsia"/>
                      <w:b/>
                      <w:kern w:val="0"/>
                      <w:szCs w:val="21"/>
                      <w:lang w:bidi="ar"/>
                    </w:rPr>
                    <w:t>项目</w:t>
                  </w:r>
                </w:p>
              </w:tc>
              <w:tc>
                <w:tcPr>
                  <w:tcW w:w="3536" w:type="dxa"/>
                  <w:vAlign w:val="center"/>
                </w:tcPr>
                <w:p>
                  <w:pPr>
                    <w:autoSpaceDE w:val="0"/>
                    <w:autoSpaceDN w:val="0"/>
                    <w:adjustRightInd w:val="0"/>
                    <w:jc w:val="center"/>
                    <w:rPr>
                      <w:b/>
                      <w:bCs/>
                      <w:szCs w:val="21"/>
                    </w:rPr>
                  </w:pPr>
                  <w:r>
                    <w:rPr>
                      <w:rFonts w:hint="eastAsia"/>
                      <w:b/>
                      <w:kern w:val="0"/>
                      <w:szCs w:val="21"/>
                      <w:lang w:bidi="ar"/>
                    </w:rPr>
                    <w:t>建设内容</w:t>
                  </w:r>
                </w:p>
              </w:tc>
              <w:tc>
                <w:tcPr>
                  <w:tcW w:w="697" w:type="dxa"/>
                  <w:vAlign w:val="center"/>
                </w:tcPr>
                <w:p>
                  <w:pPr>
                    <w:autoSpaceDE w:val="0"/>
                    <w:autoSpaceDN w:val="0"/>
                    <w:adjustRightInd w:val="0"/>
                    <w:jc w:val="center"/>
                    <w:rPr>
                      <w:b/>
                      <w:bCs/>
                      <w:szCs w:val="21"/>
                    </w:rPr>
                  </w:pPr>
                  <w:r>
                    <w:rPr>
                      <w:rFonts w:hint="eastAsia"/>
                      <w:b/>
                      <w:kern w:val="0"/>
                      <w:szCs w:val="21"/>
                      <w:lang w:bidi="ar"/>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Merge w:val="restart"/>
                  <w:vAlign w:val="center"/>
                </w:tcPr>
                <w:p>
                  <w:pPr>
                    <w:adjustRightInd w:val="0"/>
                    <w:snapToGrid w:val="0"/>
                    <w:jc w:val="center"/>
                    <w:rPr>
                      <w:rFonts w:hint="eastAsia" w:eastAsia="宋体"/>
                      <w:szCs w:val="21"/>
                      <w:lang w:eastAsia="zh-CN"/>
                    </w:rPr>
                  </w:pPr>
                  <w:r>
                    <w:rPr>
                      <w:rFonts w:hint="eastAsia"/>
                      <w:szCs w:val="21"/>
                      <w:lang w:val="en-US" w:eastAsia="zh-CN"/>
                    </w:rPr>
                    <w:t>1</w:t>
                  </w:r>
                </w:p>
              </w:tc>
              <w:tc>
                <w:tcPr>
                  <w:tcW w:w="960" w:type="dxa"/>
                  <w:vMerge w:val="restart"/>
                  <w:vAlign w:val="center"/>
                </w:tcPr>
                <w:p>
                  <w:pPr>
                    <w:adjustRightInd w:val="0"/>
                    <w:snapToGrid w:val="0"/>
                    <w:jc w:val="center"/>
                    <w:rPr>
                      <w:kern w:val="0"/>
                      <w:szCs w:val="21"/>
                    </w:rPr>
                  </w:pPr>
                  <w:r>
                    <w:rPr>
                      <w:rFonts w:hint="eastAsia"/>
                      <w:kern w:val="0"/>
                      <w:szCs w:val="21"/>
                    </w:rPr>
                    <w:t>废气</w:t>
                  </w:r>
                </w:p>
              </w:tc>
              <w:tc>
                <w:tcPr>
                  <w:tcW w:w="2074" w:type="dxa"/>
                  <w:vAlign w:val="center"/>
                </w:tcPr>
                <w:p>
                  <w:pPr>
                    <w:adjustRightInd w:val="0"/>
                    <w:snapToGrid w:val="0"/>
                    <w:jc w:val="center"/>
                    <w:rPr>
                      <w:kern w:val="0"/>
                      <w:szCs w:val="21"/>
                    </w:rPr>
                  </w:pPr>
                  <w:r>
                    <w:rPr>
                      <w:rFonts w:hint="eastAsia"/>
                      <w:kern w:val="0"/>
                      <w:szCs w:val="21"/>
                    </w:rPr>
                    <w:t>喷漆废气处理</w:t>
                  </w:r>
                </w:p>
              </w:tc>
              <w:tc>
                <w:tcPr>
                  <w:tcW w:w="3536" w:type="dxa"/>
                  <w:vAlign w:val="center"/>
                </w:tcPr>
                <w:p>
                  <w:pPr>
                    <w:adjustRightInd w:val="0"/>
                    <w:snapToGrid w:val="0"/>
                    <w:jc w:val="center"/>
                    <w:rPr>
                      <w:rFonts w:hint="default" w:eastAsia="宋体"/>
                      <w:kern w:val="0"/>
                      <w:szCs w:val="21"/>
                      <w:lang w:val="en-US" w:eastAsia="zh-CN"/>
                    </w:rPr>
                  </w:pPr>
                  <w:r>
                    <w:rPr>
                      <w:rFonts w:hint="eastAsia"/>
                      <w:sz w:val="21"/>
                      <w:szCs w:val="21"/>
                    </w:rPr>
                    <w:t>废气收集管道</w:t>
                  </w:r>
                  <w:r>
                    <w:rPr>
                      <w:rFonts w:hint="eastAsia"/>
                      <w:sz w:val="21"/>
                      <w:szCs w:val="21"/>
                      <w:lang w:eastAsia="zh-CN"/>
                    </w:rPr>
                    <w:t>，</w:t>
                  </w:r>
                  <w:r>
                    <w:rPr>
                      <w:szCs w:val="21"/>
                    </w:rPr>
                    <w:t>集气罩+</w:t>
                  </w:r>
                  <w:r>
                    <w:rPr>
                      <w:rFonts w:hint="eastAsia"/>
                      <w:szCs w:val="21"/>
                    </w:rPr>
                    <w:t>过滤棉</w:t>
                  </w:r>
                  <w:r>
                    <w:rPr>
                      <w:rFonts w:eastAsia="Times New Roman"/>
                      <w:szCs w:val="21"/>
                    </w:rPr>
                    <w:t>+</w:t>
                  </w:r>
                  <w:r>
                    <w:rPr>
                      <w:rFonts w:hint="eastAsia"/>
                      <w:szCs w:val="21"/>
                    </w:rPr>
                    <w:t>二</w:t>
                  </w:r>
                  <w:r>
                    <w:rPr>
                      <w:szCs w:val="21"/>
                    </w:rPr>
                    <w:t>活性炭吸附+15米高排气筒</w:t>
                  </w:r>
                  <w:r>
                    <w:rPr>
                      <w:rFonts w:hint="eastAsia"/>
                      <w:szCs w:val="21"/>
                      <w:lang w:val="en-US" w:eastAsia="zh-CN"/>
                    </w:rPr>
                    <w:t>DA002</w:t>
                  </w:r>
                </w:p>
              </w:tc>
              <w:tc>
                <w:tcPr>
                  <w:tcW w:w="697" w:type="dxa"/>
                  <w:vMerge w:val="restar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Merge w:val="continue"/>
                  <w:vAlign w:val="center"/>
                </w:tcPr>
                <w:p>
                  <w:pPr>
                    <w:adjustRightInd w:val="0"/>
                    <w:snapToGrid w:val="0"/>
                    <w:jc w:val="center"/>
                    <w:rPr>
                      <w:szCs w:val="21"/>
                    </w:rPr>
                  </w:pPr>
                </w:p>
              </w:tc>
              <w:tc>
                <w:tcPr>
                  <w:tcW w:w="960" w:type="dxa"/>
                  <w:vMerge w:val="continue"/>
                  <w:vAlign w:val="center"/>
                </w:tcPr>
                <w:p>
                  <w:pPr>
                    <w:adjustRightInd w:val="0"/>
                    <w:snapToGrid w:val="0"/>
                    <w:jc w:val="center"/>
                    <w:rPr>
                      <w:kern w:val="0"/>
                      <w:szCs w:val="21"/>
                    </w:rPr>
                  </w:pPr>
                </w:p>
              </w:tc>
              <w:tc>
                <w:tcPr>
                  <w:tcW w:w="2074" w:type="dxa"/>
                  <w:vAlign w:val="center"/>
                </w:tcPr>
                <w:p>
                  <w:pPr>
                    <w:adjustRightInd w:val="0"/>
                    <w:snapToGrid w:val="0"/>
                    <w:jc w:val="center"/>
                    <w:rPr>
                      <w:kern w:val="0"/>
                      <w:szCs w:val="21"/>
                    </w:rPr>
                  </w:pPr>
                  <w:r>
                    <w:rPr>
                      <w:kern w:val="0"/>
                      <w:szCs w:val="21"/>
                    </w:rPr>
                    <w:t>下料、雕刻、</w:t>
                  </w:r>
                  <w:r>
                    <w:rPr>
                      <w:rFonts w:hint="eastAsia"/>
                      <w:kern w:val="0"/>
                      <w:szCs w:val="21"/>
                    </w:rPr>
                    <w:t>修边</w:t>
                  </w:r>
                  <w:r>
                    <w:rPr>
                      <w:kern w:val="0"/>
                      <w:szCs w:val="21"/>
                    </w:rPr>
                    <w:t>、</w:t>
                  </w:r>
                  <w:r>
                    <w:rPr>
                      <w:rFonts w:hint="eastAsia"/>
                      <w:kern w:val="0"/>
                      <w:szCs w:val="21"/>
                    </w:rPr>
                    <w:t>打磨</w:t>
                  </w:r>
                  <w:r>
                    <w:rPr>
                      <w:kern w:val="0"/>
                      <w:szCs w:val="21"/>
                    </w:rPr>
                    <w:t>粉尘</w:t>
                  </w:r>
                  <w:r>
                    <w:rPr>
                      <w:rFonts w:hint="eastAsia"/>
                      <w:kern w:val="0"/>
                      <w:szCs w:val="21"/>
                    </w:rPr>
                    <w:t>处理</w:t>
                  </w:r>
                </w:p>
              </w:tc>
              <w:tc>
                <w:tcPr>
                  <w:tcW w:w="3536" w:type="dxa"/>
                  <w:vAlign w:val="center"/>
                </w:tcPr>
                <w:p>
                  <w:pPr>
                    <w:adjustRightInd w:val="0"/>
                    <w:snapToGrid w:val="0"/>
                    <w:jc w:val="center"/>
                    <w:rPr>
                      <w:rFonts w:hint="default" w:eastAsia="宋体"/>
                      <w:kern w:val="0"/>
                      <w:szCs w:val="21"/>
                      <w:lang w:val="en-US" w:eastAsia="zh-CN"/>
                    </w:rPr>
                  </w:pPr>
                  <w:r>
                    <w:rPr>
                      <w:rFonts w:hint="eastAsia"/>
                      <w:sz w:val="21"/>
                      <w:szCs w:val="21"/>
                    </w:rPr>
                    <w:t>废气收集管道</w:t>
                  </w:r>
                  <w:r>
                    <w:rPr>
                      <w:rFonts w:hint="eastAsia"/>
                      <w:sz w:val="21"/>
                      <w:szCs w:val="21"/>
                      <w:lang w:eastAsia="zh-CN"/>
                    </w:rPr>
                    <w:t>，</w:t>
                  </w:r>
                  <w:r>
                    <w:rPr>
                      <w:szCs w:val="21"/>
                    </w:rPr>
                    <w:t>集气罩+布袋除尘器+15米高排气筒</w:t>
                  </w:r>
                  <w:r>
                    <w:rPr>
                      <w:rFonts w:hint="eastAsia"/>
                      <w:szCs w:val="21"/>
                      <w:lang w:val="en-US" w:eastAsia="zh-CN"/>
                    </w:rPr>
                    <w:t>DA001</w:t>
                  </w:r>
                </w:p>
              </w:tc>
              <w:tc>
                <w:tcPr>
                  <w:tcW w:w="697" w:type="dxa"/>
                  <w:vMerge w:val="continue"/>
                  <w:vAlign w:val="center"/>
                </w:tcPr>
                <w:p>
                  <w:pPr>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center"/>
                </w:tcPr>
                <w:p>
                  <w:pPr>
                    <w:adjustRightInd w:val="0"/>
                    <w:snapToGrid w:val="0"/>
                    <w:jc w:val="center"/>
                    <w:rPr>
                      <w:rFonts w:hint="eastAsia" w:eastAsia="宋体"/>
                      <w:szCs w:val="21"/>
                      <w:lang w:eastAsia="zh-CN"/>
                    </w:rPr>
                  </w:pPr>
                  <w:r>
                    <w:rPr>
                      <w:rFonts w:hint="eastAsia"/>
                      <w:szCs w:val="21"/>
                      <w:lang w:val="en-US" w:eastAsia="zh-CN"/>
                    </w:rPr>
                    <w:t>2</w:t>
                  </w:r>
                </w:p>
              </w:tc>
              <w:tc>
                <w:tcPr>
                  <w:tcW w:w="960" w:type="dxa"/>
                  <w:vAlign w:val="center"/>
                </w:tcPr>
                <w:p>
                  <w:pPr>
                    <w:adjustRightInd w:val="0"/>
                    <w:snapToGrid w:val="0"/>
                    <w:jc w:val="center"/>
                    <w:rPr>
                      <w:b/>
                      <w:bCs/>
                      <w:szCs w:val="21"/>
                    </w:rPr>
                  </w:pPr>
                  <w:r>
                    <w:rPr>
                      <w:rFonts w:hint="eastAsia"/>
                      <w:kern w:val="0"/>
                      <w:szCs w:val="21"/>
                    </w:rPr>
                    <w:t>废水</w:t>
                  </w:r>
                </w:p>
              </w:tc>
              <w:tc>
                <w:tcPr>
                  <w:tcW w:w="2074" w:type="dxa"/>
                  <w:vAlign w:val="center"/>
                </w:tcPr>
                <w:p>
                  <w:pPr>
                    <w:jc w:val="center"/>
                    <w:rPr>
                      <w:b/>
                      <w:bCs/>
                      <w:szCs w:val="21"/>
                    </w:rPr>
                  </w:pPr>
                  <w:r>
                    <w:rPr>
                      <w:rFonts w:hint="eastAsia"/>
                      <w:kern w:val="0"/>
                      <w:szCs w:val="21"/>
                    </w:rPr>
                    <w:t>生活污水</w:t>
                  </w:r>
                </w:p>
              </w:tc>
              <w:tc>
                <w:tcPr>
                  <w:tcW w:w="3536" w:type="dxa"/>
                  <w:vAlign w:val="center"/>
                </w:tcPr>
                <w:p>
                  <w:pPr>
                    <w:adjustRightInd w:val="0"/>
                    <w:snapToGrid w:val="0"/>
                    <w:jc w:val="center"/>
                    <w:rPr>
                      <w:kern w:val="0"/>
                      <w:szCs w:val="21"/>
                    </w:rPr>
                  </w:pPr>
                  <w:r>
                    <w:rPr>
                      <w:rFonts w:hint="eastAsia"/>
                      <w:kern w:val="0"/>
                      <w:szCs w:val="21"/>
                    </w:rPr>
                    <w:t>化粪池</w:t>
                  </w:r>
                </w:p>
              </w:tc>
              <w:tc>
                <w:tcPr>
                  <w:tcW w:w="697" w:type="dxa"/>
                  <w:vAlign w:val="center"/>
                </w:tcPr>
                <w:p>
                  <w:pPr>
                    <w:adjustRightInd w:val="0"/>
                    <w:snapToGrid w:val="0"/>
                    <w:jc w:val="center"/>
                    <w:rPr>
                      <w:rFonts w:hint="eastAsia" w:eastAsia="宋体"/>
                      <w:kern w:val="0"/>
                      <w:szCs w:val="21"/>
                      <w:lang w:eastAsia="zh-CN"/>
                    </w:rPr>
                  </w:pPr>
                  <w:r>
                    <w:rPr>
                      <w:rFonts w:hint="eastAsia"/>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center"/>
                </w:tcPr>
                <w:p>
                  <w:pPr>
                    <w:adjustRightInd w:val="0"/>
                    <w:snapToGrid w:val="0"/>
                    <w:jc w:val="center"/>
                    <w:rPr>
                      <w:rFonts w:hint="eastAsia" w:eastAsia="宋体"/>
                      <w:szCs w:val="21"/>
                      <w:lang w:eastAsia="zh-CN"/>
                    </w:rPr>
                  </w:pPr>
                  <w:r>
                    <w:rPr>
                      <w:rFonts w:hint="eastAsia"/>
                      <w:szCs w:val="21"/>
                      <w:lang w:val="en-US" w:eastAsia="zh-CN"/>
                    </w:rPr>
                    <w:t>3</w:t>
                  </w:r>
                </w:p>
              </w:tc>
              <w:tc>
                <w:tcPr>
                  <w:tcW w:w="960" w:type="dxa"/>
                  <w:vAlign w:val="center"/>
                </w:tcPr>
                <w:p>
                  <w:pPr>
                    <w:jc w:val="center"/>
                    <w:rPr>
                      <w:kern w:val="0"/>
                      <w:szCs w:val="21"/>
                    </w:rPr>
                  </w:pPr>
                  <w:r>
                    <w:rPr>
                      <w:rFonts w:hint="eastAsia"/>
                      <w:kern w:val="0"/>
                      <w:szCs w:val="21"/>
                    </w:rPr>
                    <w:t>噪声</w:t>
                  </w:r>
                </w:p>
              </w:tc>
              <w:tc>
                <w:tcPr>
                  <w:tcW w:w="2074" w:type="dxa"/>
                  <w:vAlign w:val="center"/>
                </w:tcPr>
                <w:p>
                  <w:pPr>
                    <w:jc w:val="center"/>
                    <w:rPr>
                      <w:b/>
                      <w:bCs/>
                      <w:szCs w:val="21"/>
                    </w:rPr>
                  </w:pPr>
                  <w:r>
                    <w:rPr>
                      <w:rFonts w:hint="eastAsia"/>
                      <w:kern w:val="0"/>
                      <w:szCs w:val="21"/>
                    </w:rPr>
                    <w:t>设备运转、噪声</w:t>
                  </w:r>
                </w:p>
              </w:tc>
              <w:tc>
                <w:tcPr>
                  <w:tcW w:w="3536" w:type="dxa"/>
                  <w:vAlign w:val="center"/>
                </w:tcPr>
                <w:p>
                  <w:pPr>
                    <w:adjustRightInd w:val="0"/>
                    <w:snapToGrid w:val="0"/>
                    <w:jc w:val="center"/>
                    <w:rPr>
                      <w:kern w:val="0"/>
                      <w:szCs w:val="21"/>
                    </w:rPr>
                  </w:pPr>
                  <w:r>
                    <w:rPr>
                      <w:rFonts w:hint="eastAsia"/>
                      <w:kern w:val="0"/>
                      <w:szCs w:val="21"/>
                    </w:rPr>
                    <w:t>减振、隔声</w:t>
                  </w:r>
                </w:p>
              </w:tc>
              <w:tc>
                <w:tcPr>
                  <w:tcW w:w="697" w:type="dxa"/>
                  <w:vAlign w:val="center"/>
                </w:tcPr>
                <w:p>
                  <w:pPr>
                    <w:adjustRightInd w:val="0"/>
                    <w:snapToGrid w:val="0"/>
                    <w:jc w:val="center"/>
                    <w:rPr>
                      <w:rFonts w:hint="eastAsia" w:eastAsia="宋体"/>
                      <w:kern w:val="0"/>
                      <w:szCs w:val="21"/>
                      <w:lang w:eastAsia="zh-CN"/>
                    </w:rPr>
                  </w:pPr>
                  <w:r>
                    <w:rPr>
                      <w:rFonts w:hint="eastAsia"/>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Merge w:val="restart"/>
                  <w:vAlign w:val="center"/>
                </w:tcPr>
                <w:p>
                  <w:pPr>
                    <w:adjustRightInd w:val="0"/>
                    <w:snapToGrid w:val="0"/>
                    <w:jc w:val="center"/>
                    <w:rPr>
                      <w:rFonts w:hint="eastAsia" w:eastAsia="宋体"/>
                      <w:szCs w:val="21"/>
                      <w:lang w:eastAsia="zh-CN"/>
                    </w:rPr>
                  </w:pPr>
                  <w:r>
                    <w:rPr>
                      <w:rFonts w:hint="eastAsia"/>
                      <w:szCs w:val="21"/>
                      <w:lang w:val="en-US" w:eastAsia="zh-CN"/>
                    </w:rPr>
                    <w:t>4</w:t>
                  </w:r>
                </w:p>
              </w:tc>
              <w:tc>
                <w:tcPr>
                  <w:tcW w:w="960" w:type="dxa"/>
                  <w:vMerge w:val="restart"/>
                  <w:vAlign w:val="center"/>
                </w:tcPr>
                <w:p>
                  <w:pPr>
                    <w:jc w:val="center"/>
                    <w:rPr>
                      <w:kern w:val="0"/>
                      <w:szCs w:val="21"/>
                    </w:rPr>
                  </w:pPr>
                  <w:r>
                    <w:rPr>
                      <w:rFonts w:hint="eastAsia"/>
                      <w:kern w:val="0"/>
                      <w:szCs w:val="21"/>
                    </w:rPr>
                    <w:t>固废</w:t>
                  </w:r>
                </w:p>
              </w:tc>
              <w:tc>
                <w:tcPr>
                  <w:tcW w:w="2074" w:type="dxa"/>
                  <w:vAlign w:val="center"/>
                </w:tcPr>
                <w:p>
                  <w:pPr>
                    <w:adjustRightInd w:val="0"/>
                    <w:snapToGrid w:val="0"/>
                    <w:jc w:val="center"/>
                    <w:rPr>
                      <w:b/>
                      <w:bCs/>
                      <w:szCs w:val="21"/>
                    </w:rPr>
                  </w:pPr>
                  <w:r>
                    <w:rPr>
                      <w:szCs w:val="21"/>
                    </w:rPr>
                    <w:t>废边角料</w:t>
                  </w:r>
                </w:p>
              </w:tc>
              <w:tc>
                <w:tcPr>
                  <w:tcW w:w="3536" w:type="dxa"/>
                  <w:vMerge w:val="restart"/>
                  <w:vAlign w:val="center"/>
                </w:tcPr>
                <w:p>
                  <w:pPr>
                    <w:adjustRightInd w:val="0"/>
                    <w:snapToGrid w:val="0"/>
                    <w:jc w:val="center"/>
                    <w:rPr>
                      <w:kern w:val="0"/>
                      <w:szCs w:val="21"/>
                    </w:rPr>
                  </w:pPr>
                  <w:r>
                    <w:rPr>
                      <w:rFonts w:ascii="宋体" w:hAnsi="宋体" w:cs="宋体"/>
                      <w:szCs w:val="21"/>
                    </w:rPr>
                    <w:t>暂存一般固废间</w:t>
                  </w:r>
                  <w:r>
                    <w:rPr>
                      <w:rFonts w:hint="eastAsia"/>
                      <w:kern w:val="0"/>
                      <w:szCs w:val="21"/>
                    </w:rPr>
                    <w:t>，定期外售给物资回收公司</w:t>
                  </w:r>
                </w:p>
              </w:tc>
              <w:tc>
                <w:tcPr>
                  <w:tcW w:w="697" w:type="dxa"/>
                  <w:vMerge w:val="restart"/>
                  <w:vAlign w:val="center"/>
                </w:tcPr>
                <w:p>
                  <w:pPr>
                    <w:adjustRightInd w:val="0"/>
                    <w:snapToGrid w:val="0"/>
                    <w:jc w:val="center"/>
                    <w:rPr>
                      <w:rFonts w:hint="default" w:eastAsia="宋体"/>
                      <w:kern w:val="0"/>
                      <w:szCs w:val="21"/>
                      <w:lang w:val="en-US" w:eastAsia="zh-CN"/>
                    </w:rPr>
                  </w:pPr>
                  <w:r>
                    <w:rPr>
                      <w:rFonts w:hint="eastAsia"/>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Merge w:val="continue"/>
                  <w:vAlign w:val="center"/>
                </w:tcPr>
                <w:p>
                  <w:pPr>
                    <w:adjustRightInd w:val="0"/>
                    <w:snapToGrid w:val="0"/>
                    <w:jc w:val="center"/>
                    <w:rPr>
                      <w:rFonts w:hint="eastAsia"/>
                      <w:szCs w:val="21"/>
                      <w:lang w:val="en-US" w:eastAsia="zh-CN"/>
                    </w:rPr>
                  </w:pPr>
                </w:p>
              </w:tc>
              <w:tc>
                <w:tcPr>
                  <w:tcW w:w="960" w:type="dxa"/>
                  <w:vMerge w:val="continue"/>
                  <w:vAlign w:val="center"/>
                </w:tcPr>
                <w:p>
                  <w:pPr>
                    <w:jc w:val="center"/>
                    <w:rPr>
                      <w:rFonts w:hint="eastAsia"/>
                      <w:kern w:val="0"/>
                      <w:szCs w:val="21"/>
                    </w:rPr>
                  </w:pPr>
                </w:p>
              </w:tc>
              <w:tc>
                <w:tcPr>
                  <w:tcW w:w="2074" w:type="dxa"/>
                  <w:vAlign w:val="center"/>
                </w:tcPr>
                <w:p>
                  <w:pPr>
                    <w:adjustRightInd w:val="0"/>
                    <w:snapToGrid w:val="0"/>
                    <w:jc w:val="center"/>
                    <w:rPr>
                      <w:szCs w:val="21"/>
                    </w:rPr>
                  </w:pPr>
                  <w:r>
                    <w:rPr>
                      <w:rFonts w:hint="default" w:ascii="Times New Roman" w:hAnsi="Times New Roman" w:cs="Times New Roman"/>
                      <w:color w:val="323232"/>
                      <w:sz w:val="21"/>
                      <w:szCs w:val="21"/>
                    </w:rPr>
                    <w:t>废</w:t>
                  </w:r>
                  <w:r>
                    <w:rPr>
                      <w:rFonts w:hint="default" w:ascii="Times New Roman" w:hAnsi="Times New Roman" w:eastAsia="宋体" w:cs="Times New Roman"/>
                      <w:sz w:val="21"/>
                      <w:szCs w:val="21"/>
                    </w:rPr>
                    <w:t>钢筋边角料</w:t>
                  </w:r>
                </w:p>
              </w:tc>
              <w:tc>
                <w:tcPr>
                  <w:tcW w:w="3536" w:type="dxa"/>
                  <w:vMerge w:val="continue"/>
                  <w:vAlign w:val="center"/>
                </w:tcPr>
                <w:p>
                  <w:pPr>
                    <w:adjustRightInd w:val="0"/>
                    <w:snapToGrid w:val="0"/>
                    <w:jc w:val="center"/>
                    <w:rPr>
                      <w:rFonts w:ascii="宋体" w:hAnsi="宋体" w:cs="宋体"/>
                      <w:szCs w:val="21"/>
                    </w:rPr>
                  </w:pPr>
                </w:p>
              </w:tc>
              <w:tc>
                <w:tcPr>
                  <w:tcW w:w="697" w:type="dxa"/>
                  <w:vMerge w:val="continue"/>
                  <w:vAlign w:val="center"/>
                </w:tcPr>
                <w:p>
                  <w:pPr>
                    <w:adjustRightInd w:val="0"/>
                    <w:snapToGrid w:val="0"/>
                    <w:jc w:val="center"/>
                    <w:rPr>
                      <w:rFonts w:hint="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Merge w:val="continue"/>
                  <w:vAlign w:val="center"/>
                </w:tcPr>
                <w:p>
                  <w:pPr>
                    <w:adjustRightInd w:val="0"/>
                    <w:snapToGrid w:val="0"/>
                    <w:jc w:val="center"/>
                    <w:rPr>
                      <w:szCs w:val="21"/>
                    </w:rPr>
                  </w:pPr>
                </w:p>
              </w:tc>
              <w:tc>
                <w:tcPr>
                  <w:tcW w:w="960" w:type="dxa"/>
                  <w:vMerge w:val="continue"/>
                  <w:vAlign w:val="center"/>
                </w:tcPr>
                <w:p>
                  <w:pPr>
                    <w:jc w:val="center"/>
                    <w:rPr>
                      <w:kern w:val="0"/>
                      <w:szCs w:val="21"/>
                    </w:rPr>
                  </w:pPr>
                </w:p>
              </w:tc>
              <w:tc>
                <w:tcPr>
                  <w:tcW w:w="2074" w:type="dxa"/>
                  <w:vAlign w:val="center"/>
                </w:tcPr>
                <w:p>
                  <w:pPr>
                    <w:jc w:val="center"/>
                    <w:outlineLvl w:val="0"/>
                    <w:rPr>
                      <w:b/>
                      <w:bCs/>
                      <w:szCs w:val="21"/>
                    </w:rPr>
                  </w:pPr>
                  <w:r>
                    <w:rPr>
                      <w:rFonts w:hint="eastAsia"/>
                      <w:szCs w:val="21"/>
                    </w:rPr>
                    <w:t>除尘器收集粉尘</w:t>
                  </w:r>
                </w:p>
              </w:tc>
              <w:tc>
                <w:tcPr>
                  <w:tcW w:w="3536" w:type="dxa"/>
                  <w:vMerge w:val="continue"/>
                  <w:vAlign w:val="center"/>
                </w:tcPr>
                <w:p>
                  <w:pPr>
                    <w:adjustRightInd w:val="0"/>
                    <w:snapToGrid w:val="0"/>
                    <w:jc w:val="center"/>
                    <w:rPr>
                      <w:kern w:val="0"/>
                      <w:szCs w:val="21"/>
                    </w:rPr>
                  </w:pPr>
                </w:p>
              </w:tc>
              <w:tc>
                <w:tcPr>
                  <w:tcW w:w="697" w:type="dxa"/>
                  <w:vMerge w:val="continue"/>
                </w:tcPr>
                <w:p>
                  <w:pPr>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Merge w:val="continue"/>
                  <w:vAlign w:val="center"/>
                </w:tcPr>
                <w:p>
                  <w:pPr>
                    <w:adjustRightInd w:val="0"/>
                    <w:snapToGrid w:val="0"/>
                    <w:jc w:val="center"/>
                    <w:rPr>
                      <w:szCs w:val="21"/>
                    </w:rPr>
                  </w:pPr>
                </w:p>
              </w:tc>
              <w:tc>
                <w:tcPr>
                  <w:tcW w:w="960" w:type="dxa"/>
                  <w:vMerge w:val="continue"/>
                  <w:vAlign w:val="center"/>
                </w:tcPr>
                <w:p>
                  <w:pPr>
                    <w:jc w:val="center"/>
                    <w:rPr>
                      <w:kern w:val="0"/>
                      <w:szCs w:val="21"/>
                    </w:rPr>
                  </w:pPr>
                </w:p>
              </w:tc>
              <w:tc>
                <w:tcPr>
                  <w:tcW w:w="2074" w:type="dxa"/>
                  <w:vAlign w:val="center"/>
                </w:tcPr>
                <w:p>
                  <w:pPr>
                    <w:jc w:val="center"/>
                    <w:outlineLvl w:val="0"/>
                    <w:rPr>
                      <w:b/>
                      <w:bCs/>
                      <w:szCs w:val="21"/>
                    </w:rPr>
                  </w:pPr>
                  <w:r>
                    <w:rPr>
                      <w:rFonts w:hint="eastAsia"/>
                      <w:szCs w:val="21"/>
                    </w:rPr>
                    <w:t>废过滤棉</w:t>
                  </w:r>
                </w:p>
              </w:tc>
              <w:tc>
                <w:tcPr>
                  <w:tcW w:w="3536" w:type="dxa"/>
                  <w:vMerge w:val="restart"/>
                  <w:vAlign w:val="center"/>
                </w:tcPr>
                <w:p>
                  <w:pPr>
                    <w:adjustRightInd w:val="0"/>
                    <w:snapToGrid w:val="0"/>
                    <w:jc w:val="center"/>
                    <w:rPr>
                      <w:kern w:val="0"/>
                      <w:szCs w:val="21"/>
                    </w:rPr>
                  </w:pPr>
                  <w:r>
                    <w:rPr>
                      <w:rFonts w:hint="eastAsia"/>
                      <w:sz w:val="21"/>
                      <w:szCs w:val="21"/>
                    </w:rPr>
                    <w:t>暂存在危废暂存间，委托资质单位处理</w:t>
                  </w:r>
                </w:p>
              </w:tc>
              <w:tc>
                <w:tcPr>
                  <w:tcW w:w="697" w:type="dxa"/>
                  <w:vMerge w:val="continue"/>
                  <w:vAlign w:val="center"/>
                </w:tcPr>
                <w:p>
                  <w:pPr>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Merge w:val="continue"/>
                  <w:vAlign w:val="center"/>
                </w:tcPr>
                <w:p>
                  <w:pPr>
                    <w:adjustRightInd w:val="0"/>
                    <w:snapToGrid w:val="0"/>
                    <w:jc w:val="center"/>
                    <w:rPr>
                      <w:szCs w:val="21"/>
                    </w:rPr>
                  </w:pPr>
                </w:p>
              </w:tc>
              <w:tc>
                <w:tcPr>
                  <w:tcW w:w="960" w:type="dxa"/>
                  <w:vMerge w:val="continue"/>
                  <w:vAlign w:val="center"/>
                </w:tcPr>
                <w:p>
                  <w:pPr>
                    <w:jc w:val="center"/>
                    <w:rPr>
                      <w:kern w:val="0"/>
                      <w:szCs w:val="21"/>
                    </w:rPr>
                  </w:pPr>
                </w:p>
              </w:tc>
              <w:tc>
                <w:tcPr>
                  <w:tcW w:w="2074" w:type="dxa"/>
                  <w:vAlign w:val="center"/>
                </w:tcPr>
                <w:p>
                  <w:pPr>
                    <w:jc w:val="center"/>
                    <w:outlineLvl w:val="0"/>
                    <w:rPr>
                      <w:rFonts w:hint="eastAsia" w:eastAsia="宋体"/>
                      <w:szCs w:val="21"/>
                      <w:lang w:val="en-US" w:eastAsia="zh-CN"/>
                    </w:rPr>
                  </w:pPr>
                  <w:r>
                    <w:rPr>
                      <w:rFonts w:hint="eastAsia"/>
                      <w:szCs w:val="21"/>
                      <w:lang w:val="en-US" w:eastAsia="zh-CN"/>
                    </w:rPr>
                    <w:t>漆渣</w:t>
                  </w:r>
                </w:p>
              </w:tc>
              <w:tc>
                <w:tcPr>
                  <w:tcW w:w="3536" w:type="dxa"/>
                  <w:vMerge w:val="continue"/>
                  <w:vAlign w:val="center"/>
                </w:tcPr>
                <w:p>
                  <w:pPr>
                    <w:adjustRightInd w:val="0"/>
                    <w:snapToGrid w:val="0"/>
                    <w:jc w:val="center"/>
                    <w:rPr>
                      <w:rFonts w:hint="eastAsia"/>
                      <w:sz w:val="21"/>
                      <w:szCs w:val="21"/>
                    </w:rPr>
                  </w:pPr>
                </w:p>
              </w:tc>
              <w:tc>
                <w:tcPr>
                  <w:tcW w:w="697" w:type="dxa"/>
                  <w:vMerge w:val="continue"/>
                  <w:vAlign w:val="center"/>
                </w:tcPr>
                <w:p>
                  <w:pPr>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679" w:type="dxa"/>
                  <w:vMerge w:val="continue"/>
                  <w:vAlign w:val="center"/>
                </w:tcPr>
                <w:p>
                  <w:pPr>
                    <w:adjustRightInd w:val="0"/>
                    <w:snapToGrid w:val="0"/>
                    <w:jc w:val="center"/>
                    <w:rPr>
                      <w:szCs w:val="21"/>
                    </w:rPr>
                  </w:pPr>
                </w:p>
              </w:tc>
              <w:tc>
                <w:tcPr>
                  <w:tcW w:w="960" w:type="dxa"/>
                  <w:vMerge w:val="continue"/>
                  <w:vAlign w:val="center"/>
                </w:tcPr>
                <w:p>
                  <w:pPr>
                    <w:jc w:val="center"/>
                    <w:rPr>
                      <w:kern w:val="0"/>
                      <w:szCs w:val="21"/>
                    </w:rPr>
                  </w:pPr>
                </w:p>
              </w:tc>
              <w:tc>
                <w:tcPr>
                  <w:tcW w:w="2074" w:type="dxa"/>
                  <w:vAlign w:val="center"/>
                </w:tcPr>
                <w:p>
                  <w:pPr>
                    <w:pStyle w:val="2"/>
                    <w:tabs>
                      <w:tab w:val="left" w:pos="441"/>
                    </w:tabs>
                    <w:spacing w:before="0" w:after="0" w:line="240" w:lineRule="auto"/>
                    <w:jc w:val="center"/>
                    <w:rPr>
                      <w:kern w:val="2"/>
                      <w:sz w:val="21"/>
                      <w:szCs w:val="21"/>
                    </w:rPr>
                  </w:pPr>
                  <w:r>
                    <w:rPr>
                      <w:rFonts w:hint="eastAsia"/>
                      <w:kern w:val="2"/>
                      <w:sz w:val="21"/>
                      <w:szCs w:val="21"/>
                    </w:rPr>
                    <w:t>废活性炭</w:t>
                  </w:r>
                </w:p>
              </w:tc>
              <w:tc>
                <w:tcPr>
                  <w:tcW w:w="3536" w:type="dxa"/>
                  <w:vMerge w:val="continue"/>
                  <w:vAlign w:val="center"/>
                </w:tcPr>
                <w:p>
                  <w:pPr>
                    <w:adjustRightInd w:val="0"/>
                    <w:snapToGrid w:val="0"/>
                    <w:jc w:val="center"/>
                    <w:rPr>
                      <w:kern w:val="0"/>
                      <w:szCs w:val="21"/>
                    </w:rPr>
                  </w:pPr>
                </w:p>
              </w:tc>
              <w:tc>
                <w:tcPr>
                  <w:tcW w:w="697" w:type="dxa"/>
                  <w:vMerge w:val="continue"/>
                </w:tcPr>
                <w:p>
                  <w:pPr>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679" w:type="dxa"/>
                  <w:vMerge w:val="continue"/>
                  <w:vAlign w:val="center"/>
                </w:tcPr>
                <w:p>
                  <w:pPr>
                    <w:adjustRightInd w:val="0"/>
                    <w:snapToGrid w:val="0"/>
                    <w:jc w:val="center"/>
                    <w:rPr>
                      <w:szCs w:val="21"/>
                    </w:rPr>
                  </w:pPr>
                </w:p>
              </w:tc>
              <w:tc>
                <w:tcPr>
                  <w:tcW w:w="960" w:type="dxa"/>
                  <w:vMerge w:val="continue"/>
                  <w:vAlign w:val="center"/>
                </w:tcPr>
                <w:p>
                  <w:pPr>
                    <w:jc w:val="center"/>
                    <w:rPr>
                      <w:kern w:val="0"/>
                      <w:szCs w:val="21"/>
                    </w:rPr>
                  </w:pPr>
                </w:p>
              </w:tc>
              <w:tc>
                <w:tcPr>
                  <w:tcW w:w="2074" w:type="dxa"/>
                  <w:vAlign w:val="center"/>
                </w:tcPr>
                <w:p>
                  <w:pPr>
                    <w:jc w:val="center"/>
                    <w:rPr>
                      <w:kern w:val="0"/>
                      <w:szCs w:val="21"/>
                    </w:rPr>
                  </w:pPr>
                  <w:r>
                    <w:rPr>
                      <w:rFonts w:hint="eastAsia"/>
                      <w:szCs w:val="21"/>
                    </w:rPr>
                    <w:t>废包装桶</w:t>
                  </w:r>
                </w:p>
              </w:tc>
              <w:tc>
                <w:tcPr>
                  <w:tcW w:w="3536" w:type="dxa"/>
                  <w:vMerge w:val="continue"/>
                  <w:vAlign w:val="center"/>
                </w:tcPr>
                <w:p>
                  <w:pPr>
                    <w:adjustRightInd w:val="0"/>
                    <w:snapToGrid w:val="0"/>
                    <w:jc w:val="center"/>
                    <w:rPr>
                      <w:kern w:val="0"/>
                      <w:szCs w:val="21"/>
                    </w:rPr>
                  </w:pPr>
                </w:p>
              </w:tc>
              <w:tc>
                <w:tcPr>
                  <w:tcW w:w="697" w:type="dxa"/>
                  <w:vMerge w:val="continue"/>
                  <w:vAlign w:val="center"/>
                </w:tcPr>
                <w:p>
                  <w:pPr>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9" w:type="dxa"/>
                  <w:vMerge w:val="continue"/>
                  <w:vAlign w:val="center"/>
                </w:tcPr>
                <w:p>
                  <w:pPr>
                    <w:adjustRightInd w:val="0"/>
                    <w:snapToGrid w:val="0"/>
                    <w:jc w:val="center"/>
                    <w:rPr>
                      <w:szCs w:val="21"/>
                    </w:rPr>
                  </w:pPr>
                </w:p>
              </w:tc>
              <w:tc>
                <w:tcPr>
                  <w:tcW w:w="960" w:type="dxa"/>
                  <w:vMerge w:val="continue"/>
                  <w:vAlign w:val="center"/>
                </w:tcPr>
                <w:p>
                  <w:pPr>
                    <w:jc w:val="center"/>
                    <w:rPr>
                      <w:kern w:val="0"/>
                      <w:szCs w:val="21"/>
                    </w:rPr>
                  </w:pPr>
                </w:p>
              </w:tc>
              <w:tc>
                <w:tcPr>
                  <w:tcW w:w="2074" w:type="dxa"/>
                  <w:vAlign w:val="center"/>
                </w:tcPr>
                <w:p>
                  <w:pPr>
                    <w:pStyle w:val="2"/>
                    <w:tabs>
                      <w:tab w:val="left" w:pos="441"/>
                    </w:tabs>
                    <w:spacing w:before="0" w:after="0" w:line="240" w:lineRule="auto"/>
                    <w:jc w:val="center"/>
                    <w:rPr>
                      <w:sz w:val="21"/>
                      <w:szCs w:val="21"/>
                    </w:rPr>
                  </w:pPr>
                  <w:r>
                    <w:rPr>
                      <w:sz w:val="21"/>
                      <w:szCs w:val="21"/>
                    </w:rPr>
                    <w:t>生活垃圾</w:t>
                  </w:r>
                </w:p>
              </w:tc>
              <w:tc>
                <w:tcPr>
                  <w:tcW w:w="3536" w:type="dxa"/>
                  <w:vAlign w:val="center"/>
                </w:tcPr>
                <w:p>
                  <w:pPr>
                    <w:adjustRightInd w:val="0"/>
                    <w:snapToGrid w:val="0"/>
                    <w:jc w:val="center"/>
                    <w:rPr>
                      <w:kern w:val="0"/>
                      <w:szCs w:val="21"/>
                    </w:rPr>
                  </w:pPr>
                  <w:r>
                    <w:rPr>
                      <w:rFonts w:hint="eastAsia"/>
                      <w:kern w:val="0"/>
                      <w:szCs w:val="21"/>
                    </w:rPr>
                    <w:t>收集后有环卫部门定期清运处理</w:t>
                  </w:r>
                </w:p>
              </w:tc>
              <w:tc>
                <w:tcPr>
                  <w:tcW w:w="697" w:type="dxa"/>
                  <w:vMerge w:val="continue"/>
                </w:tcPr>
                <w:p>
                  <w:pPr>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rFonts w:hint="eastAsia" w:eastAsia="宋体"/>
                      <w:szCs w:val="21"/>
                      <w:lang w:eastAsia="zh-CN"/>
                    </w:rPr>
                  </w:pPr>
                  <w:r>
                    <w:rPr>
                      <w:rFonts w:hint="eastAsia"/>
                      <w:szCs w:val="21"/>
                      <w:lang w:val="en-US" w:eastAsia="zh-CN"/>
                    </w:rPr>
                    <w:t>5</w:t>
                  </w:r>
                </w:p>
              </w:tc>
              <w:tc>
                <w:tcPr>
                  <w:tcW w:w="960" w:type="dxa"/>
                  <w:vAlign w:val="center"/>
                </w:tcPr>
                <w:p>
                  <w:pPr>
                    <w:adjustRightInd w:val="0"/>
                    <w:snapToGrid w:val="0"/>
                    <w:jc w:val="center"/>
                    <w:rPr>
                      <w:szCs w:val="21"/>
                    </w:rPr>
                  </w:pPr>
                  <w:r>
                    <w:rPr>
                      <w:rFonts w:hint="eastAsia"/>
                      <w:szCs w:val="21"/>
                    </w:rPr>
                    <w:t>地下水防渗</w:t>
                  </w:r>
                </w:p>
              </w:tc>
              <w:tc>
                <w:tcPr>
                  <w:tcW w:w="2074" w:type="dxa"/>
                  <w:vAlign w:val="center"/>
                </w:tcPr>
                <w:p>
                  <w:pPr>
                    <w:adjustRightInd w:val="0"/>
                    <w:snapToGrid w:val="0"/>
                    <w:jc w:val="center"/>
                    <w:rPr>
                      <w:kern w:val="0"/>
                      <w:szCs w:val="21"/>
                    </w:rPr>
                  </w:pPr>
                  <w:r>
                    <w:rPr>
                      <w:rFonts w:hint="eastAsia"/>
                      <w:kern w:val="0"/>
                      <w:szCs w:val="21"/>
                    </w:rPr>
                    <w:t>/</w:t>
                  </w:r>
                </w:p>
              </w:tc>
              <w:tc>
                <w:tcPr>
                  <w:tcW w:w="3536" w:type="dxa"/>
                  <w:vAlign w:val="center"/>
                </w:tcPr>
                <w:p>
                  <w:pPr>
                    <w:adjustRightInd w:val="0"/>
                    <w:snapToGrid w:val="0"/>
                    <w:jc w:val="center"/>
                    <w:rPr>
                      <w:kern w:val="0"/>
                      <w:szCs w:val="21"/>
                    </w:rPr>
                  </w:pPr>
                  <w:r>
                    <w:rPr>
                      <w:rFonts w:hint="eastAsia"/>
                      <w:kern w:val="0"/>
                      <w:szCs w:val="21"/>
                    </w:rPr>
                    <w:t>喷漆房和油漆储存库、危险废物暂存间等重点防渗，防渗要求：</w:t>
                  </w:r>
                  <w:r>
                    <w:rPr>
                      <w:kern w:val="0"/>
                      <w:szCs w:val="21"/>
                    </w:rPr>
                    <w:t>基础必须防渗，防渗层为至少1米厚粘土层（渗透系数≤10</w:t>
                  </w:r>
                  <w:r>
                    <w:rPr>
                      <w:kern w:val="0"/>
                      <w:szCs w:val="21"/>
                      <w:vertAlign w:val="superscript"/>
                    </w:rPr>
                    <w:t>-7</w:t>
                  </w:r>
                  <w:r>
                    <w:rPr>
                      <w:kern w:val="0"/>
                      <w:szCs w:val="21"/>
                    </w:rPr>
                    <w:t>cm/s），或2mm厚高密度聚乙烯，或至少2mm厚的其它人工材料，渗透系数≤10</w:t>
                  </w:r>
                  <w:r>
                    <w:rPr>
                      <w:kern w:val="0"/>
                      <w:szCs w:val="21"/>
                      <w:vertAlign w:val="superscript"/>
                    </w:rPr>
                    <w:t>-10</w:t>
                  </w:r>
                  <w:r>
                    <w:rPr>
                      <w:kern w:val="0"/>
                      <w:szCs w:val="21"/>
                    </w:rPr>
                    <w:t>cm/s</w:t>
                  </w:r>
                </w:p>
                <w:p>
                  <w:pPr>
                    <w:adjustRightInd w:val="0"/>
                    <w:snapToGrid w:val="0"/>
                    <w:jc w:val="center"/>
                    <w:rPr>
                      <w:kern w:val="0"/>
                      <w:szCs w:val="21"/>
                    </w:rPr>
                  </w:pPr>
                  <w:r>
                    <w:rPr>
                      <w:rFonts w:hint="eastAsia"/>
                      <w:kern w:val="0"/>
                      <w:szCs w:val="21"/>
                    </w:rPr>
                    <w:t>生产车间、成品区等一般防渗，防渗要求：</w:t>
                  </w:r>
                  <w:r>
                    <w:rPr>
                      <w:kern w:val="0"/>
                      <w:szCs w:val="21"/>
                    </w:rPr>
                    <w:t>应采用天然或人工材料构筑防渗层，防渗层的厚度应相当于渗透系数1.0×10</w:t>
                  </w:r>
                  <w:r>
                    <w:rPr>
                      <w:kern w:val="0"/>
                      <w:szCs w:val="21"/>
                      <w:vertAlign w:val="superscript"/>
                    </w:rPr>
                    <w:t>-7</w:t>
                  </w:r>
                  <w:r>
                    <w:rPr>
                      <w:kern w:val="0"/>
                      <w:szCs w:val="21"/>
                    </w:rPr>
                    <w:t>cm/s和厚度0.75m的粘土层的防渗性能</w:t>
                  </w:r>
                </w:p>
              </w:tc>
              <w:tc>
                <w:tcPr>
                  <w:tcW w:w="697" w:type="dxa"/>
                  <w:vAlign w:val="center"/>
                </w:tcPr>
                <w:p>
                  <w:pPr>
                    <w:adjustRightInd w:val="0"/>
                    <w:snapToGrid w:val="0"/>
                    <w:jc w:val="center"/>
                    <w:rPr>
                      <w:rFonts w:hint="eastAsia" w:eastAsia="宋体"/>
                      <w:kern w:val="0"/>
                      <w:szCs w:val="21"/>
                      <w:lang w:val="en-US" w:eastAsia="zh-CN"/>
                    </w:rPr>
                  </w:pPr>
                  <w:r>
                    <w:rPr>
                      <w:rFonts w:hint="eastAsia"/>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rFonts w:hint="default" w:eastAsia="宋体"/>
                      <w:szCs w:val="21"/>
                      <w:lang w:val="en-US" w:eastAsia="zh-CN"/>
                    </w:rPr>
                  </w:pPr>
                  <w:r>
                    <w:rPr>
                      <w:rFonts w:hint="eastAsia"/>
                      <w:szCs w:val="21"/>
                      <w:lang w:val="en-US" w:eastAsia="zh-CN"/>
                    </w:rPr>
                    <w:t>6</w:t>
                  </w:r>
                </w:p>
              </w:tc>
              <w:tc>
                <w:tcPr>
                  <w:tcW w:w="960" w:type="dxa"/>
                  <w:vAlign w:val="center"/>
                </w:tcPr>
                <w:p>
                  <w:pPr>
                    <w:adjustRightInd w:val="0"/>
                    <w:snapToGrid w:val="0"/>
                    <w:jc w:val="center"/>
                    <w:rPr>
                      <w:rFonts w:hint="eastAsia"/>
                      <w:szCs w:val="21"/>
                    </w:rPr>
                  </w:pPr>
                  <w:r>
                    <w:rPr>
                      <w:szCs w:val="21"/>
                    </w:rPr>
                    <w:t>环境风险防范措施</w:t>
                  </w:r>
                </w:p>
              </w:tc>
              <w:tc>
                <w:tcPr>
                  <w:tcW w:w="2074" w:type="dxa"/>
                  <w:vAlign w:val="center"/>
                </w:tcPr>
                <w:p>
                  <w:pPr>
                    <w:adjustRightInd w:val="0"/>
                    <w:snapToGrid w:val="0"/>
                    <w:jc w:val="center"/>
                    <w:rPr>
                      <w:rFonts w:hint="eastAsia"/>
                      <w:kern w:val="0"/>
                      <w:szCs w:val="21"/>
                    </w:rPr>
                  </w:pPr>
                  <w:r>
                    <w:rPr>
                      <w:rFonts w:hint="eastAsia"/>
                      <w:kern w:val="0"/>
                      <w:szCs w:val="21"/>
                    </w:rPr>
                    <w:t>/</w:t>
                  </w:r>
                </w:p>
              </w:tc>
              <w:tc>
                <w:tcPr>
                  <w:tcW w:w="3536" w:type="dxa"/>
                  <w:vAlign w:val="center"/>
                </w:tcPr>
                <w:p>
                  <w:pPr>
                    <w:rPr>
                      <w:szCs w:val="21"/>
                      <w:lang w:bidi="ar"/>
                    </w:rPr>
                  </w:pPr>
                  <w:r>
                    <w:rPr>
                      <w:szCs w:val="21"/>
                      <w:lang w:bidi="ar"/>
                    </w:rPr>
                    <w:t>①</w:t>
                  </w:r>
                  <w:r>
                    <w:rPr>
                      <w:rFonts w:hint="eastAsia"/>
                      <w:szCs w:val="21"/>
                      <w:lang w:bidi="ar"/>
                    </w:rPr>
                    <w:t>本项目使用油漆、固化剂、稀释剂泄漏会对大气、地下水和土壤造成影响，建设单位须放置托盘上储存，并贴注标识标牌，同时做好地面防渗，并进行管理记录。</w:t>
                  </w:r>
                </w:p>
                <w:p>
                  <w:pPr>
                    <w:rPr>
                      <w:szCs w:val="21"/>
                      <w:lang w:bidi="ar"/>
                    </w:rPr>
                  </w:pPr>
                  <w:r>
                    <w:rPr>
                      <w:szCs w:val="21"/>
                      <w:lang w:bidi="ar"/>
                    </w:rPr>
                    <w:t>②</w:t>
                  </w:r>
                  <w:r>
                    <w:rPr>
                      <w:rFonts w:hint="eastAsia"/>
                      <w:szCs w:val="21"/>
                      <w:lang w:bidi="ar"/>
                    </w:rPr>
                    <w:t>使用的原料板材以及成品座椅属于可燃物，因此厂区需设置灭火器，禁止明火，注意防止火灾的发生。</w:t>
                  </w:r>
                </w:p>
                <w:p>
                  <w:pPr>
                    <w:rPr>
                      <w:szCs w:val="21"/>
                      <w:lang w:bidi="ar"/>
                    </w:rPr>
                  </w:pPr>
                  <w:r>
                    <w:rPr>
                      <w:szCs w:val="21"/>
                      <w:lang w:bidi="ar"/>
                    </w:rPr>
                    <w:t>③建设单位须制订环境突发事故应急预案，一旦突发环境风险事故，必须立即按应急预案提到的紧急处理、救援、监测方案等进行紧急救援，救援人员采取相应的防护措施，以避免造成人员伤亡事故。</w:t>
                  </w:r>
                </w:p>
                <w:p>
                  <w:pPr>
                    <w:adjustRightInd w:val="0"/>
                    <w:snapToGrid w:val="0"/>
                    <w:jc w:val="center"/>
                    <w:rPr>
                      <w:rFonts w:hint="eastAsia"/>
                      <w:kern w:val="0"/>
                      <w:szCs w:val="21"/>
                    </w:rPr>
                  </w:pPr>
                  <w:r>
                    <w:rPr>
                      <w:szCs w:val="21"/>
                      <w:lang w:bidi="ar"/>
                    </w:rPr>
                    <w:t>④定期对存储场所的用电设备、通风设备、防火和防毒器具进行检查，发现问题及时处理。</w:t>
                  </w:r>
                </w:p>
              </w:tc>
              <w:tc>
                <w:tcPr>
                  <w:tcW w:w="697" w:type="dxa"/>
                  <w:vAlign w:val="center"/>
                </w:tcPr>
                <w:p>
                  <w:pPr>
                    <w:adjustRightInd w:val="0"/>
                    <w:snapToGrid w:val="0"/>
                    <w:jc w:val="center"/>
                    <w:rPr>
                      <w:rFonts w:hint="eastAsia" w:eastAsia="宋体"/>
                      <w:kern w:val="0"/>
                      <w:szCs w:val="21"/>
                      <w:lang w:val="en-US" w:eastAsia="zh-CN"/>
                    </w:rPr>
                  </w:pPr>
                  <w:r>
                    <w:rPr>
                      <w:rFonts w:hint="eastAsia"/>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rFonts w:hint="default"/>
                      <w:szCs w:val="21"/>
                      <w:lang w:val="en-US" w:eastAsia="zh-CN"/>
                    </w:rPr>
                  </w:pPr>
                  <w:r>
                    <w:rPr>
                      <w:rFonts w:hint="eastAsia"/>
                      <w:szCs w:val="21"/>
                      <w:lang w:val="en-US" w:eastAsia="zh-CN"/>
                    </w:rPr>
                    <w:t>7</w:t>
                  </w:r>
                </w:p>
              </w:tc>
              <w:tc>
                <w:tcPr>
                  <w:tcW w:w="960" w:type="dxa"/>
                  <w:vAlign w:val="center"/>
                </w:tcPr>
                <w:p>
                  <w:pPr>
                    <w:adjustRightInd w:val="0"/>
                    <w:snapToGrid w:val="0"/>
                    <w:jc w:val="center"/>
                    <w:rPr>
                      <w:szCs w:val="21"/>
                    </w:rPr>
                  </w:pPr>
                  <w:r>
                    <w:rPr>
                      <w:rFonts w:hint="default" w:ascii="Times New Roman" w:hAnsi="Times New Roman" w:eastAsia="宋体" w:cs="Times New Roman"/>
                      <w:b w:val="0"/>
                      <w:bCs w:val="0"/>
                      <w:sz w:val="21"/>
                      <w:szCs w:val="21"/>
                    </w:rPr>
                    <w:t>环境监测计划</w:t>
                  </w:r>
                </w:p>
              </w:tc>
              <w:tc>
                <w:tcPr>
                  <w:tcW w:w="2074" w:type="dxa"/>
                  <w:vAlign w:val="center"/>
                </w:tcPr>
                <w:p>
                  <w:pPr>
                    <w:adjustRightInd w:val="0"/>
                    <w:snapToGrid w:val="0"/>
                    <w:jc w:val="center"/>
                    <w:rPr>
                      <w:rFonts w:hint="eastAsia"/>
                      <w:kern w:val="0"/>
                      <w:szCs w:val="21"/>
                    </w:rPr>
                  </w:pPr>
                  <w:r>
                    <w:rPr>
                      <w:rFonts w:hint="eastAsia"/>
                      <w:kern w:val="0"/>
                      <w:szCs w:val="21"/>
                    </w:rPr>
                    <w:t>/</w:t>
                  </w:r>
                </w:p>
              </w:tc>
              <w:tc>
                <w:tcPr>
                  <w:tcW w:w="3536" w:type="dxa"/>
                  <w:vAlign w:val="center"/>
                </w:tcPr>
                <w:p>
                  <w:pPr>
                    <w:adjustRightInd w:val="0"/>
                    <w:snapToGrid w:val="0"/>
                    <w:jc w:val="center"/>
                    <w:rPr>
                      <w:rFonts w:hint="default" w:eastAsia="宋体"/>
                      <w:szCs w:val="21"/>
                      <w:lang w:val="en-US" w:eastAsia="zh-CN" w:bidi="ar"/>
                    </w:rPr>
                  </w:pPr>
                  <w:r>
                    <w:rPr>
                      <w:rFonts w:hint="eastAsia"/>
                      <w:szCs w:val="21"/>
                      <w:lang w:val="en-US" w:eastAsia="zh-CN" w:bidi="ar"/>
                    </w:rPr>
                    <w:t>大气、噪声</w:t>
                  </w:r>
                </w:p>
              </w:tc>
              <w:tc>
                <w:tcPr>
                  <w:tcW w:w="697" w:type="dxa"/>
                  <w:vAlign w:val="center"/>
                </w:tcPr>
                <w:p>
                  <w:pPr>
                    <w:adjustRightInd w:val="0"/>
                    <w:snapToGrid w:val="0"/>
                    <w:jc w:val="center"/>
                    <w:rPr>
                      <w:rFonts w:hint="default"/>
                      <w:kern w:val="0"/>
                      <w:szCs w:val="21"/>
                      <w:lang w:val="en-US" w:eastAsia="zh-CN"/>
                    </w:rPr>
                  </w:pPr>
                  <w:r>
                    <w:rPr>
                      <w:rFonts w:hint="eastAsia"/>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rFonts w:hint="eastAsia" w:eastAsia="宋体"/>
                      <w:szCs w:val="21"/>
                      <w:lang w:val="en-US" w:eastAsia="zh-CN"/>
                    </w:rPr>
                  </w:pPr>
                  <w:r>
                    <w:rPr>
                      <w:rFonts w:hint="eastAsia"/>
                      <w:szCs w:val="21"/>
                      <w:lang w:val="en-US" w:eastAsia="zh-CN"/>
                    </w:rPr>
                    <w:t>8</w:t>
                  </w:r>
                </w:p>
              </w:tc>
              <w:tc>
                <w:tcPr>
                  <w:tcW w:w="6570" w:type="dxa"/>
                  <w:gridSpan w:val="3"/>
                  <w:vAlign w:val="center"/>
                </w:tcPr>
                <w:p>
                  <w:pPr>
                    <w:adjustRightInd w:val="0"/>
                    <w:snapToGrid w:val="0"/>
                    <w:jc w:val="center"/>
                    <w:rPr>
                      <w:kern w:val="0"/>
                      <w:szCs w:val="21"/>
                    </w:rPr>
                  </w:pPr>
                  <w:r>
                    <w:rPr>
                      <w:rFonts w:hint="eastAsia"/>
                      <w:kern w:val="0"/>
                      <w:szCs w:val="21"/>
                    </w:rPr>
                    <w:t>合计</w:t>
                  </w:r>
                </w:p>
              </w:tc>
              <w:tc>
                <w:tcPr>
                  <w:tcW w:w="697" w:type="dxa"/>
                </w:tcPr>
                <w:p>
                  <w:pPr>
                    <w:adjustRightInd w:val="0"/>
                    <w:snapToGrid w:val="0"/>
                    <w:jc w:val="center"/>
                    <w:rPr>
                      <w:rFonts w:hint="default" w:eastAsia="宋体"/>
                      <w:kern w:val="0"/>
                      <w:szCs w:val="21"/>
                      <w:lang w:val="en-US" w:eastAsia="zh-CN"/>
                    </w:rPr>
                  </w:pPr>
                  <w:r>
                    <w:rPr>
                      <w:rFonts w:hint="eastAsia"/>
                      <w:kern w:val="0"/>
                      <w:szCs w:val="21"/>
                      <w:lang w:val="en-US" w:eastAsia="zh-CN"/>
                    </w:rPr>
                    <w:t>70</w:t>
                  </w:r>
                </w:p>
              </w:tc>
            </w:tr>
          </w:tbl>
          <w:p>
            <w:pPr>
              <w:adjustRightInd w:val="0"/>
              <w:snapToGrid w:val="0"/>
              <w:spacing w:line="360" w:lineRule="auto"/>
              <w:ind w:firstLine="482" w:firstLineChars="200"/>
              <w:rPr>
                <w:b/>
                <w:bCs/>
                <w:sz w:val="24"/>
              </w:rPr>
            </w:pPr>
            <w:r>
              <w:rPr>
                <w:b/>
                <w:bCs/>
                <w:sz w:val="24"/>
              </w:rPr>
              <w:t>九、电磁辐射</w:t>
            </w:r>
          </w:p>
          <w:p>
            <w:pPr>
              <w:adjustRightInd w:val="0"/>
              <w:snapToGrid w:val="0"/>
              <w:ind w:firstLine="480" w:firstLineChars="200"/>
              <w:rPr>
                <w:bCs/>
                <w:sz w:val="24"/>
              </w:rPr>
            </w:pPr>
            <w:r>
              <w:rPr>
                <w:bCs/>
                <w:sz w:val="24"/>
              </w:rPr>
              <w:t>本项目不涉及电磁辐射，故不对该部分内容进行分析。</w:t>
            </w: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480" w:firstLineChars="200"/>
              <w:rPr>
                <w:bCs/>
                <w:sz w:val="24"/>
              </w:rPr>
            </w:pPr>
          </w:p>
          <w:p>
            <w:pPr>
              <w:adjustRightInd w:val="0"/>
              <w:snapToGrid w:val="0"/>
              <w:ind w:firstLine="380" w:firstLineChars="200"/>
              <w:rPr>
                <w:rFonts w:hint="eastAsia" w:eastAsia="宋体"/>
                <w:bCs/>
                <w:spacing w:val="-10"/>
                <w:szCs w:val="21"/>
                <w:lang w:val="en-US" w:eastAsia="zh-CN"/>
              </w:rPr>
            </w:pPr>
          </w:p>
        </w:tc>
      </w:tr>
    </w:tbl>
    <w:p>
      <w:pPr>
        <w:adjustRightInd w:val="0"/>
        <w:snapToGrid w:val="0"/>
        <w:spacing w:line="360" w:lineRule="auto"/>
        <w:rPr>
          <w:b/>
          <w:kern w:val="0"/>
          <w:sz w:val="28"/>
          <w:szCs w:val="28"/>
        </w:rPr>
        <w:sectPr>
          <w:pgSz w:w="11907" w:h="16840"/>
          <w:pgMar w:top="1701" w:right="1531" w:bottom="2127" w:left="1531" w:header="851" w:footer="851" w:gutter="0"/>
          <w:cols w:space="720" w:num="1"/>
          <w:docGrid w:linePitch="312" w:charSpace="0"/>
        </w:sectPr>
      </w:pPr>
    </w:p>
    <w:p>
      <w:pPr>
        <w:pStyle w:val="18"/>
        <w:jc w:val="center"/>
        <w:outlineLvl w:val="0"/>
        <w:rPr>
          <w:rFonts w:ascii="Times New Roman" w:hAnsi="Times New Roman"/>
          <w:snapToGrid w:val="0"/>
          <w:sz w:val="30"/>
          <w:szCs w:val="30"/>
        </w:rPr>
      </w:pPr>
      <w:r>
        <w:rPr>
          <w:rFonts w:ascii="Times New Roman" w:hAnsi="Times New Roman"/>
          <w:b/>
          <w:bCs/>
          <w:snapToGrid w:val="0"/>
          <w:sz w:val="30"/>
          <w:szCs w:val="30"/>
        </w:rPr>
        <w:t>五、</w:t>
      </w:r>
      <w:bookmarkStart w:id="2" w:name="_Hlk54167917"/>
      <w:r>
        <w:rPr>
          <w:rFonts w:ascii="Times New Roman" w:hAnsi="Times New Roman"/>
          <w:b/>
          <w:bCs/>
          <w:snapToGrid w:val="0"/>
          <w:sz w:val="30"/>
          <w:szCs w:val="30"/>
        </w:rPr>
        <w:t>环境保护措施监督检查清单</w:t>
      </w:r>
      <w:bookmarkEnd w:id="2"/>
    </w:p>
    <w:tbl>
      <w:tblPr>
        <w:tblStyle w:val="22"/>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pPr>
              <w:adjustRightInd w:val="0"/>
              <w:snapToGrid w:val="0"/>
              <w:ind w:firstLine="840"/>
              <w:rPr>
                <w:sz w:val="24"/>
              </w:rPr>
            </w:pPr>
            <w:r>
              <w:rPr>
                <w:sz w:val="24"/>
              </w:rPr>
              <w:t>内容</w:t>
            </w:r>
          </w:p>
          <w:p>
            <w:pPr>
              <w:adjustRightInd w:val="0"/>
              <w:snapToGrid w:val="0"/>
              <w:rPr>
                <w:sz w:val="24"/>
              </w:rPr>
            </w:pPr>
            <w:r>
              <w:rPr>
                <w:sz w:val="24"/>
              </w:rPr>
              <w:t>要素</w:t>
            </w:r>
          </w:p>
        </w:tc>
        <w:tc>
          <w:tcPr>
            <w:tcW w:w="1755" w:type="dxa"/>
            <w:vAlign w:val="center"/>
          </w:tcPr>
          <w:p>
            <w:pPr>
              <w:adjustRightInd w:val="0"/>
              <w:snapToGrid w:val="0"/>
              <w:jc w:val="center"/>
              <w:rPr>
                <w:sz w:val="24"/>
              </w:rPr>
            </w:pPr>
            <w:r>
              <w:rPr>
                <w:sz w:val="24"/>
              </w:rPr>
              <w:t>排放口(编号、</w:t>
            </w:r>
          </w:p>
          <w:p>
            <w:pPr>
              <w:adjustRightInd w:val="0"/>
              <w:snapToGrid w:val="0"/>
              <w:jc w:val="center"/>
              <w:rPr>
                <w:sz w:val="24"/>
              </w:rPr>
            </w:pPr>
            <w:r>
              <w:rPr>
                <w:sz w:val="24"/>
              </w:rPr>
              <w:t>名称)/污染源</w:t>
            </w:r>
          </w:p>
        </w:tc>
        <w:tc>
          <w:tcPr>
            <w:tcW w:w="1755" w:type="dxa"/>
            <w:vAlign w:val="center"/>
          </w:tcPr>
          <w:p>
            <w:pPr>
              <w:adjustRightInd w:val="0"/>
              <w:snapToGrid w:val="0"/>
              <w:jc w:val="center"/>
              <w:rPr>
                <w:sz w:val="24"/>
              </w:rPr>
            </w:pPr>
            <w:r>
              <w:rPr>
                <w:sz w:val="24"/>
              </w:rPr>
              <w:t>污染物项目</w:t>
            </w:r>
          </w:p>
        </w:tc>
        <w:tc>
          <w:tcPr>
            <w:tcW w:w="1755" w:type="dxa"/>
            <w:vAlign w:val="center"/>
          </w:tcPr>
          <w:p>
            <w:pPr>
              <w:adjustRightInd w:val="0"/>
              <w:snapToGrid w:val="0"/>
              <w:jc w:val="center"/>
              <w:rPr>
                <w:sz w:val="24"/>
              </w:rPr>
            </w:pPr>
            <w:r>
              <w:rPr>
                <w:sz w:val="24"/>
              </w:rPr>
              <w:t>环境保护措施</w:t>
            </w:r>
          </w:p>
        </w:tc>
        <w:tc>
          <w:tcPr>
            <w:tcW w:w="1757" w:type="dxa"/>
            <w:vAlign w:val="center"/>
          </w:tcPr>
          <w:p>
            <w:pPr>
              <w:adjustRightInd w:val="0"/>
              <w:snapToGrid w:val="0"/>
              <w:jc w:val="center"/>
              <w:rPr>
                <w:sz w:val="24"/>
              </w:rPr>
            </w:pPr>
            <w:r>
              <w:rPr>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1778" w:type="dxa"/>
            <w:vMerge w:val="restart"/>
            <w:vAlign w:val="center"/>
          </w:tcPr>
          <w:p>
            <w:pPr>
              <w:adjustRightInd w:val="0"/>
              <w:snapToGrid w:val="0"/>
              <w:jc w:val="center"/>
              <w:rPr>
                <w:sz w:val="24"/>
                <w:szCs w:val="24"/>
              </w:rPr>
            </w:pPr>
            <w:r>
              <w:rPr>
                <w:sz w:val="24"/>
                <w:szCs w:val="24"/>
              </w:rPr>
              <w:t>大气环境</w:t>
            </w:r>
          </w:p>
        </w:tc>
        <w:tc>
          <w:tcPr>
            <w:tcW w:w="1755" w:type="dxa"/>
            <w:vAlign w:val="center"/>
          </w:tcPr>
          <w:p>
            <w:pPr>
              <w:adjustRightInd w:val="0"/>
              <w:snapToGrid w:val="0"/>
              <w:jc w:val="center"/>
              <w:rPr>
                <w:sz w:val="24"/>
                <w:szCs w:val="24"/>
              </w:rPr>
            </w:pPr>
            <w:r>
              <w:rPr>
                <w:sz w:val="24"/>
                <w:szCs w:val="24"/>
              </w:rPr>
              <w:t>DA001/下料、雕刻、</w:t>
            </w:r>
            <w:r>
              <w:rPr>
                <w:rFonts w:ascii="宋体" w:hAnsi="宋体" w:cs="宋体"/>
                <w:sz w:val="24"/>
                <w:szCs w:val="24"/>
              </w:rPr>
              <w:t>修边</w:t>
            </w:r>
            <w:r>
              <w:rPr>
                <w:sz w:val="24"/>
                <w:szCs w:val="24"/>
              </w:rPr>
              <w:t>、</w:t>
            </w:r>
            <w:r>
              <w:rPr>
                <w:rFonts w:ascii="宋体" w:hAnsi="宋体" w:cs="宋体"/>
                <w:sz w:val="24"/>
                <w:szCs w:val="24"/>
              </w:rPr>
              <w:t>打磨</w:t>
            </w:r>
          </w:p>
        </w:tc>
        <w:tc>
          <w:tcPr>
            <w:tcW w:w="1755" w:type="dxa"/>
            <w:vAlign w:val="center"/>
          </w:tcPr>
          <w:p>
            <w:pPr>
              <w:jc w:val="center"/>
              <w:rPr>
                <w:sz w:val="24"/>
                <w:szCs w:val="24"/>
              </w:rPr>
            </w:pPr>
            <w:r>
              <w:rPr>
                <w:rFonts w:hint="eastAsia"/>
                <w:sz w:val="24"/>
                <w:szCs w:val="24"/>
              </w:rPr>
              <w:t>颗粒物</w:t>
            </w:r>
          </w:p>
        </w:tc>
        <w:tc>
          <w:tcPr>
            <w:tcW w:w="1755" w:type="dxa"/>
            <w:vAlign w:val="center"/>
          </w:tcPr>
          <w:p>
            <w:pPr>
              <w:adjustRightInd w:val="0"/>
              <w:snapToGrid w:val="0"/>
              <w:jc w:val="center"/>
              <w:rPr>
                <w:sz w:val="24"/>
                <w:szCs w:val="24"/>
              </w:rPr>
            </w:pPr>
            <w:r>
              <w:rPr>
                <w:sz w:val="24"/>
                <w:szCs w:val="24"/>
              </w:rPr>
              <w:t>集气罩</w:t>
            </w:r>
            <w:r>
              <w:rPr>
                <w:rFonts w:hint="eastAsia"/>
                <w:sz w:val="24"/>
                <w:szCs w:val="24"/>
              </w:rPr>
              <w:t>+</w:t>
            </w:r>
            <w:r>
              <w:rPr>
                <w:sz w:val="24"/>
                <w:szCs w:val="24"/>
              </w:rPr>
              <w:t>布袋除尘器</w:t>
            </w:r>
            <w:r>
              <w:rPr>
                <w:rFonts w:hint="eastAsia"/>
                <w:sz w:val="24"/>
                <w:szCs w:val="24"/>
              </w:rPr>
              <w:t>+</w:t>
            </w:r>
            <w:r>
              <w:rPr>
                <w:sz w:val="24"/>
                <w:szCs w:val="24"/>
              </w:rPr>
              <w:t>15m高排气筒（DA00</w:t>
            </w:r>
            <w:r>
              <w:rPr>
                <w:rFonts w:hint="eastAsia"/>
                <w:sz w:val="24"/>
                <w:szCs w:val="24"/>
              </w:rPr>
              <w:t>1</w:t>
            </w:r>
            <w:r>
              <w:rPr>
                <w:sz w:val="24"/>
                <w:szCs w:val="24"/>
              </w:rPr>
              <w:t>）排放</w:t>
            </w:r>
          </w:p>
        </w:tc>
        <w:tc>
          <w:tcPr>
            <w:tcW w:w="1757" w:type="dxa"/>
            <w:vMerge w:val="restart"/>
            <w:vAlign w:val="center"/>
          </w:tcPr>
          <w:p>
            <w:pPr>
              <w:adjustRightInd w:val="0"/>
              <w:snapToGrid w:val="0"/>
              <w:jc w:val="center"/>
              <w:rPr>
                <w:sz w:val="24"/>
                <w:szCs w:val="24"/>
              </w:rPr>
            </w:pPr>
            <w:r>
              <w:rPr>
                <w:sz w:val="24"/>
                <w:szCs w:val="24"/>
              </w:rPr>
              <w:t>《大气污染物综合排放标准》（GB16297-1996）表2中二级标准</w:t>
            </w:r>
            <w:r>
              <w:rPr>
                <w:rFonts w:hint="eastAsia"/>
                <w:sz w:val="24"/>
                <w:szCs w:val="24"/>
              </w:rPr>
              <w:t>和</w:t>
            </w:r>
            <w:r>
              <w:rPr>
                <w:sz w:val="24"/>
                <w:szCs w:val="24"/>
              </w:rPr>
              <w:t>无组织排放限值要求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58" w:hRule="atLeast"/>
          <w:jc w:val="center"/>
        </w:trPr>
        <w:tc>
          <w:tcPr>
            <w:tcW w:w="1778" w:type="dxa"/>
            <w:vMerge w:val="continue"/>
            <w:vAlign w:val="center"/>
          </w:tcPr>
          <w:p>
            <w:pPr>
              <w:adjustRightInd w:val="0"/>
              <w:snapToGrid w:val="0"/>
              <w:jc w:val="center"/>
              <w:rPr>
                <w:sz w:val="24"/>
                <w:szCs w:val="24"/>
              </w:rPr>
            </w:pPr>
          </w:p>
        </w:tc>
        <w:tc>
          <w:tcPr>
            <w:tcW w:w="1755" w:type="dxa"/>
            <w:vAlign w:val="center"/>
          </w:tcPr>
          <w:p>
            <w:pPr>
              <w:adjustRightInd w:val="0"/>
              <w:snapToGrid w:val="0"/>
              <w:jc w:val="center"/>
              <w:rPr>
                <w:rFonts w:hint="eastAsia" w:eastAsia="宋体"/>
                <w:sz w:val="24"/>
                <w:szCs w:val="24"/>
                <w:lang w:eastAsia="zh-CN"/>
              </w:rPr>
            </w:pPr>
            <w:r>
              <w:rPr>
                <w:sz w:val="24"/>
                <w:szCs w:val="24"/>
              </w:rPr>
              <w:t>DA00</w:t>
            </w:r>
            <w:r>
              <w:rPr>
                <w:rFonts w:hint="eastAsia"/>
                <w:sz w:val="24"/>
                <w:szCs w:val="24"/>
              </w:rPr>
              <w:t>2</w:t>
            </w:r>
            <w:r>
              <w:rPr>
                <w:sz w:val="24"/>
                <w:szCs w:val="24"/>
              </w:rPr>
              <w:t>/喷漆</w:t>
            </w:r>
            <w:r>
              <w:rPr>
                <w:rFonts w:hint="eastAsia"/>
                <w:sz w:val="24"/>
                <w:szCs w:val="24"/>
              </w:rPr>
              <w:t>、</w:t>
            </w:r>
            <w:r>
              <w:rPr>
                <w:sz w:val="24"/>
                <w:szCs w:val="24"/>
              </w:rPr>
              <w:t>调漆</w:t>
            </w:r>
            <w:r>
              <w:rPr>
                <w:rFonts w:hint="eastAsia"/>
                <w:sz w:val="24"/>
                <w:szCs w:val="24"/>
              </w:rPr>
              <w:t>、自然晾干</w:t>
            </w:r>
            <w:r>
              <w:rPr>
                <w:rFonts w:hint="eastAsia"/>
                <w:sz w:val="24"/>
                <w:szCs w:val="24"/>
                <w:lang w:eastAsia="zh-CN"/>
              </w:rPr>
              <w:t>、</w:t>
            </w:r>
            <w:r>
              <w:rPr>
                <w:rFonts w:ascii="宋体" w:hAnsi="宋体" w:eastAsia="宋体" w:cs="宋体"/>
                <w:sz w:val="24"/>
                <w:szCs w:val="24"/>
              </w:rPr>
              <w:t>封边</w:t>
            </w:r>
          </w:p>
        </w:tc>
        <w:tc>
          <w:tcPr>
            <w:tcW w:w="1755" w:type="dxa"/>
            <w:vAlign w:val="center"/>
          </w:tcPr>
          <w:p>
            <w:pPr>
              <w:jc w:val="center"/>
              <w:rPr>
                <w:sz w:val="24"/>
                <w:szCs w:val="24"/>
              </w:rPr>
            </w:pPr>
            <w:r>
              <w:rPr>
                <w:rFonts w:hint="eastAsia" w:ascii="Times New Roman" w:hAnsi="Times New Roman" w:eastAsia="宋体" w:cs="Times New Roman"/>
                <w:sz w:val="24"/>
                <w:szCs w:val="24"/>
              </w:rPr>
              <w:t>非甲烷总烃、颗粒物、二甲苯</w:t>
            </w:r>
          </w:p>
        </w:tc>
        <w:tc>
          <w:tcPr>
            <w:tcW w:w="1755" w:type="dxa"/>
            <w:vAlign w:val="center"/>
          </w:tcPr>
          <w:p>
            <w:pPr>
              <w:jc w:val="center"/>
              <w:rPr>
                <w:sz w:val="24"/>
                <w:szCs w:val="24"/>
              </w:rPr>
            </w:pPr>
            <w:r>
              <w:rPr>
                <w:sz w:val="24"/>
                <w:szCs w:val="24"/>
              </w:rPr>
              <w:t>集气罩</w:t>
            </w:r>
            <w:r>
              <w:rPr>
                <w:rFonts w:hint="eastAsia"/>
                <w:sz w:val="24"/>
                <w:szCs w:val="24"/>
              </w:rPr>
              <w:t>+过滤棉+二级活性炭吸附+</w:t>
            </w:r>
            <w:r>
              <w:rPr>
                <w:sz w:val="24"/>
                <w:szCs w:val="24"/>
              </w:rPr>
              <w:t>15m高排气筒（DA00</w:t>
            </w:r>
            <w:r>
              <w:rPr>
                <w:rFonts w:hint="eastAsia"/>
                <w:sz w:val="24"/>
                <w:szCs w:val="24"/>
              </w:rPr>
              <w:t>2</w:t>
            </w:r>
            <w:r>
              <w:rPr>
                <w:sz w:val="24"/>
                <w:szCs w:val="24"/>
              </w:rPr>
              <w:t>）排放</w:t>
            </w:r>
          </w:p>
        </w:tc>
        <w:tc>
          <w:tcPr>
            <w:tcW w:w="1757" w:type="dxa"/>
            <w:vMerge w:val="continue"/>
            <w:vAlign w:val="center"/>
          </w:tcPr>
          <w:p>
            <w:pPr>
              <w:adjustRightInd w:val="0"/>
              <w:snapToGrid w:val="0"/>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778" w:type="dxa"/>
            <w:vMerge w:val="restart"/>
            <w:vAlign w:val="center"/>
          </w:tcPr>
          <w:p>
            <w:pPr>
              <w:adjustRightInd w:val="0"/>
              <w:snapToGrid w:val="0"/>
              <w:jc w:val="center"/>
              <w:rPr>
                <w:sz w:val="24"/>
              </w:rPr>
            </w:pPr>
            <w:r>
              <w:rPr>
                <w:sz w:val="24"/>
              </w:rPr>
              <w:t>地表水环境</w:t>
            </w:r>
          </w:p>
        </w:tc>
        <w:tc>
          <w:tcPr>
            <w:tcW w:w="1755" w:type="dxa"/>
            <w:vAlign w:val="center"/>
          </w:tcPr>
          <w:p>
            <w:pPr>
              <w:adjustRightInd w:val="0"/>
              <w:snapToGrid w:val="0"/>
              <w:jc w:val="center"/>
              <w:rPr>
                <w:sz w:val="24"/>
                <w:szCs w:val="24"/>
              </w:rPr>
            </w:pPr>
            <w:r>
              <w:rPr>
                <w:sz w:val="24"/>
                <w:szCs w:val="24"/>
              </w:rPr>
              <w:t>/</w:t>
            </w:r>
          </w:p>
        </w:tc>
        <w:tc>
          <w:tcPr>
            <w:tcW w:w="1755" w:type="dxa"/>
            <w:vAlign w:val="center"/>
          </w:tcPr>
          <w:p>
            <w:pPr>
              <w:adjustRightInd w:val="0"/>
              <w:snapToGrid w:val="0"/>
              <w:jc w:val="center"/>
              <w:rPr>
                <w:sz w:val="24"/>
                <w:szCs w:val="24"/>
              </w:rPr>
            </w:pPr>
            <w:r>
              <w:rPr>
                <w:sz w:val="24"/>
                <w:szCs w:val="24"/>
              </w:rPr>
              <w:t>COD、pH、BOD</w:t>
            </w:r>
            <w:r>
              <w:rPr>
                <w:sz w:val="24"/>
                <w:szCs w:val="24"/>
                <w:vertAlign w:val="subscript"/>
              </w:rPr>
              <w:t>5</w:t>
            </w:r>
            <w:r>
              <w:rPr>
                <w:sz w:val="24"/>
                <w:szCs w:val="24"/>
              </w:rPr>
              <w:t>、SS、氨氮</w:t>
            </w:r>
          </w:p>
        </w:tc>
        <w:tc>
          <w:tcPr>
            <w:tcW w:w="1755" w:type="dxa"/>
            <w:vAlign w:val="center"/>
          </w:tcPr>
          <w:p>
            <w:pPr>
              <w:adjustRightInd w:val="0"/>
              <w:snapToGrid w:val="0"/>
              <w:jc w:val="center"/>
              <w:rPr>
                <w:sz w:val="24"/>
              </w:rPr>
            </w:pPr>
            <w:r>
              <w:rPr>
                <w:sz w:val="24"/>
              </w:rPr>
              <w:t>经厂区化粪池处理后定期清掏</w:t>
            </w:r>
            <w:r>
              <w:rPr>
                <w:rFonts w:hint="eastAsia"/>
                <w:sz w:val="24"/>
              </w:rPr>
              <w:t>不排放</w:t>
            </w:r>
          </w:p>
        </w:tc>
        <w:tc>
          <w:tcPr>
            <w:tcW w:w="1757" w:type="dxa"/>
            <w:vAlign w:val="center"/>
          </w:tcPr>
          <w:p>
            <w:pPr>
              <w:adjustRightInd w:val="0"/>
              <w:snapToGrid w:val="0"/>
              <w:jc w:val="center"/>
              <w:rPr>
                <w:sz w:val="24"/>
              </w:rPr>
            </w:pPr>
            <w:r>
              <w:rPr>
                <w:rFonts w:ascii="宋体" w:hAnsi="宋体" w:cs="宋体"/>
                <w:sz w:val="24"/>
              </w:rPr>
              <w:t>不</w:t>
            </w:r>
            <w:r>
              <w:rPr>
                <w:rFonts w:hint="eastAsia" w:ascii="宋体" w:hAnsi="宋体" w:cs="宋体"/>
                <w:sz w:val="24"/>
                <w:lang w:val="en-US" w:eastAsia="zh-CN"/>
              </w:rPr>
              <w:t>外</w:t>
            </w:r>
            <w:r>
              <w:rPr>
                <w:rFonts w:ascii="宋体" w:hAnsi="宋体" w:cs="宋体"/>
                <w:sz w:val="24"/>
              </w:rPr>
              <w:t>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778" w:type="dxa"/>
            <w:vMerge w:val="restart"/>
            <w:vAlign w:val="center"/>
          </w:tcPr>
          <w:p>
            <w:pPr>
              <w:adjustRightInd w:val="0"/>
              <w:snapToGrid w:val="0"/>
              <w:jc w:val="center"/>
              <w:rPr>
                <w:sz w:val="24"/>
              </w:rPr>
            </w:pPr>
            <w:r>
              <w:rPr>
                <w:sz w:val="24"/>
              </w:rPr>
              <w:t>声环境</w:t>
            </w:r>
          </w:p>
        </w:tc>
        <w:tc>
          <w:tcPr>
            <w:tcW w:w="1755" w:type="dxa"/>
            <w:vAlign w:val="center"/>
          </w:tcPr>
          <w:p>
            <w:pPr>
              <w:adjustRightInd w:val="0"/>
              <w:snapToGrid w:val="0"/>
              <w:jc w:val="center"/>
              <w:rPr>
                <w:sz w:val="24"/>
              </w:rPr>
            </w:pPr>
            <w:r>
              <w:rPr>
                <w:sz w:val="24"/>
              </w:rPr>
              <w:t>厂界</w:t>
            </w:r>
          </w:p>
        </w:tc>
        <w:tc>
          <w:tcPr>
            <w:tcW w:w="1755" w:type="dxa"/>
            <w:vAlign w:val="center"/>
          </w:tcPr>
          <w:p>
            <w:pPr>
              <w:adjustRightInd w:val="0"/>
              <w:snapToGrid w:val="0"/>
              <w:jc w:val="center"/>
              <w:rPr>
                <w:sz w:val="24"/>
              </w:rPr>
            </w:pPr>
            <w:r>
              <w:rPr>
                <w:sz w:val="24"/>
              </w:rPr>
              <w:t>等效声级</w:t>
            </w:r>
          </w:p>
        </w:tc>
        <w:tc>
          <w:tcPr>
            <w:tcW w:w="1755" w:type="dxa"/>
            <w:vAlign w:val="center"/>
          </w:tcPr>
          <w:p>
            <w:pPr>
              <w:adjustRightInd w:val="0"/>
              <w:snapToGrid w:val="0"/>
              <w:jc w:val="center"/>
              <w:rPr>
                <w:sz w:val="24"/>
              </w:rPr>
            </w:pPr>
            <w:r>
              <w:rPr>
                <w:bCs/>
                <w:sz w:val="24"/>
              </w:rPr>
              <w:t>优先选用低噪设备、设置减振基座和减振垫、距离衰减等</w:t>
            </w:r>
            <w:r>
              <w:rPr>
                <w:sz w:val="24"/>
              </w:rPr>
              <w:t>。</w:t>
            </w:r>
          </w:p>
        </w:tc>
        <w:tc>
          <w:tcPr>
            <w:tcW w:w="1757" w:type="dxa"/>
            <w:vAlign w:val="center"/>
          </w:tcPr>
          <w:p>
            <w:pPr>
              <w:adjustRightInd w:val="0"/>
              <w:snapToGrid w:val="0"/>
              <w:jc w:val="center"/>
              <w:rPr>
                <w:sz w:val="24"/>
              </w:rPr>
            </w:pPr>
            <w:r>
              <w:rPr>
                <w:sz w:val="24"/>
              </w:rPr>
              <w:t>《工业企业厂界环境噪声排放标准》（GB12348-2008）中</w:t>
            </w:r>
            <w:r>
              <w:rPr>
                <w:rFonts w:hint="eastAsia"/>
                <w:sz w:val="24"/>
              </w:rPr>
              <w:t>2</w:t>
            </w:r>
            <w:r>
              <w:rPr>
                <w:sz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78" w:type="dxa"/>
            <w:vAlign w:val="center"/>
          </w:tcPr>
          <w:p>
            <w:pPr>
              <w:adjustRightInd w:val="0"/>
              <w:snapToGrid w:val="0"/>
              <w:jc w:val="center"/>
              <w:rPr>
                <w:sz w:val="24"/>
              </w:rPr>
            </w:pPr>
            <w:r>
              <w:rPr>
                <w:sz w:val="24"/>
              </w:rPr>
              <w:t>电磁辐射</w:t>
            </w:r>
          </w:p>
        </w:tc>
        <w:tc>
          <w:tcPr>
            <w:tcW w:w="7022" w:type="dxa"/>
            <w:gridSpan w:val="4"/>
            <w:vAlign w:val="center"/>
          </w:tcPr>
          <w:p>
            <w:pPr>
              <w:adjustRightInd w:val="0"/>
              <w:snapToGrid w:val="0"/>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778" w:type="dxa"/>
            <w:vAlign w:val="center"/>
          </w:tcPr>
          <w:p>
            <w:pPr>
              <w:adjustRightInd w:val="0"/>
              <w:snapToGrid w:val="0"/>
              <w:jc w:val="center"/>
              <w:rPr>
                <w:sz w:val="24"/>
              </w:rPr>
            </w:pPr>
            <w:r>
              <w:rPr>
                <w:sz w:val="24"/>
              </w:rPr>
              <w:t>固体废物</w:t>
            </w:r>
          </w:p>
        </w:tc>
        <w:tc>
          <w:tcPr>
            <w:tcW w:w="7022" w:type="dxa"/>
            <w:gridSpan w:val="4"/>
            <w:vAlign w:val="center"/>
          </w:tcPr>
          <w:p>
            <w:pPr>
              <w:pStyle w:val="2"/>
              <w:spacing w:before="0" w:after="0" w:line="240" w:lineRule="auto"/>
              <w:ind w:right="0"/>
              <w:rPr>
                <w:sz w:val="24"/>
                <w:szCs w:val="24"/>
              </w:rPr>
            </w:pPr>
            <w:r>
              <w:rPr>
                <w:sz w:val="24"/>
                <w:szCs w:val="24"/>
              </w:rPr>
              <w:t>生活垃圾实行分类袋装化，由市政环卫部门统一处理；</w:t>
            </w:r>
            <w:r>
              <w:rPr>
                <w:rFonts w:hint="eastAsia"/>
                <w:sz w:val="24"/>
                <w:szCs w:val="24"/>
                <w:lang w:bidi="ar"/>
              </w:rPr>
              <w:t>一般固废收集后暂存一般固废暂存间，统一外售；</w:t>
            </w:r>
            <w:r>
              <w:rPr>
                <w:sz w:val="24"/>
                <w:szCs w:val="24"/>
              </w:rPr>
              <w:t>危险废物</w:t>
            </w:r>
            <w:r>
              <w:rPr>
                <w:sz w:val="24"/>
                <w:szCs w:val="24"/>
                <w:lang w:bidi="ar"/>
              </w:rPr>
              <w:t>收集后暂存于危险暂存</w:t>
            </w:r>
            <w:r>
              <w:rPr>
                <w:rFonts w:hint="eastAsia"/>
                <w:sz w:val="24"/>
                <w:szCs w:val="24"/>
                <w:lang w:bidi="ar"/>
              </w:rPr>
              <w:t>间，由供应商回收或</w:t>
            </w:r>
            <w:r>
              <w:rPr>
                <w:rFonts w:ascii="宋体" w:hAnsi="宋体" w:eastAsia="宋体" w:cs="宋体"/>
                <w:sz w:val="24"/>
                <w:szCs w:val="24"/>
              </w:rPr>
              <w:t>委托</w:t>
            </w:r>
            <w:r>
              <w:rPr>
                <w:rFonts w:hint="eastAsia"/>
                <w:sz w:val="24"/>
                <w:szCs w:val="24"/>
                <w:lang w:bidi="ar"/>
              </w:rPr>
              <w:t>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1778" w:type="dxa"/>
            <w:vAlign w:val="center"/>
          </w:tcPr>
          <w:p>
            <w:pPr>
              <w:adjustRightInd w:val="0"/>
              <w:snapToGrid w:val="0"/>
              <w:jc w:val="center"/>
              <w:rPr>
                <w:sz w:val="24"/>
              </w:rPr>
            </w:pPr>
            <w:r>
              <w:rPr>
                <w:sz w:val="24"/>
              </w:rPr>
              <w:t>土壤及地下水</w:t>
            </w:r>
          </w:p>
          <w:p>
            <w:pPr>
              <w:adjustRightInd w:val="0"/>
              <w:snapToGrid w:val="0"/>
              <w:jc w:val="center"/>
              <w:rPr>
                <w:sz w:val="24"/>
              </w:rPr>
            </w:pPr>
            <w:r>
              <w:rPr>
                <w:sz w:val="24"/>
              </w:rPr>
              <w:t>污染防治措施</w:t>
            </w:r>
          </w:p>
        </w:tc>
        <w:tc>
          <w:tcPr>
            <w:tcW w:w="7022" w:type="dxa"/>
            <w:gridSpan w:val="4"/>
            <w:vAlign w:val="center"/>
          </w:tcPr>
          <w:p>
            <w:pPr>
              <w:adjustRightInd w:val="0"/>
              <w:snapToGrid w:val="0"/>
              <w:rPr>
                <w:sz w:val="24"/>
              </w:rPr>
            </w:pPr>
            <w:r>
              <w:rPr>
                <w:rFonts w:hint="eastAsia"/>
                <w:sz w:val="24"/>
                <w:szCs w:val="24"/>
              </w:rPr>
              <w:t>危险废物暂存间</w:t>
            </w:r>
            <w:r>
              <w:rPr>
                <w:sz w:val="24"/>
                <w:szCs w:val="24"/>
              </w:rPr>
              <w:t>、喷漆房</w:t>
            </w:r>
            <w:r>
              <w:rPr>
                <w:rFonts w:hint="eastAsia"/>
                <w:sz w:val="24"/>
                <w:szCs w:val="24"/>
              </w:rPr>
              <w:t>、</w:t>
            </w:r>
            <w:r>
              <w:rPr>
                <w:sz w:val="24"/>
                <w:szCs w:val="24"/>
              </w:rPr>
              <w:t>油漆仓库</w:t>
            </w:r>
            <w:r>
              <w:rPr>
                <w:rFonts w:hint="eastAsia"/>
                <w:sz w:val="24"/>
                <w:szCs w:val="24"/>
              </w:rPr>
              <w:t>等</w:t>
            </w:r>
            <w:r>
              <w:rPr>
                <w:rFonts w:hint="eastAsia"/>
                <w:kern w:val="0"/>
                <w:sz w:val="24"/>
                <w:szCs w:val="24"/>
              </w:rPr>
              <w:t>进行重点防渗；生产车间等设一般防渗；办公区域设简单防渗区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778" w:type="dxa"/>
            <w:vAlign w:val="center"/>
          </w:tcPr>
          <w:p>
            <w:pPr>
              <w:adjustRightInd w:val="0"/>
              <w:snapToGrid w:val="0"/>
              <w:jc w:val="center"/>
              <w:rPr>
                <w:sz w:val="24"/>
              </w:rPr>
            </w:pPr>
            <w:r>
              <w:rPr>
                <w:sz w:val="24"/>
              </w:rPr>
              <w:t>生态保护措施</w:t>
            </w:r>
          </w:p>
        </w:tc>
        <w:tc>
          <w:tcPr>
            <w:tcW w:w="7022" w:type="dxa"/>
            <w:gridSpan w:val="4"/>
            <w:vAlign w:val="center"/>
          </w:tcPr>
          <w:p>
            <w:pPr>
              <w:adjustRightInd w:val="0"/>
              <w:snapToGrid w:val="0"/>
              <w:jc w:val="center"/>
              <w:rPr>
                <w:sz w:val="24"/>
              </w:rPr>
            </w:pPr>
            <w:r>
              <w:rPr>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778" w:type="dxa"/>
            <w:vAlign w:val="center"/>
          </w:tcPr>
          <w:p>
            <w:pPr>
              <w:adjustRightInd w:val="0"/>
              <w:snapToGrid w:val="0"/>
              <w:jc w:val="center"/>
              <w:rPr>
                <w:spacing w:val="-8"/>
                <w:sz w:val="24"/>
              </w:rPr>
            </w:pPr>
            <w:r>
              <w:rPr>
                <w:spacing w:val="-8"/>
                <w:sz w:val="24"/>
              </w:rPr>
              <w:t>环境风险</w:t>
            </w:r>
          </w:p>
          <w:p>
            <w:pPr>
              <w:adjustRightInd w:val="0"/>
              <w:snapToGrid w:val="0"/>
              <w:jc w:val="center"/>
              <w:rPr>
                <w:spacing w:val="-8"/>
                <w:sz w:val="24"/>
              </w:rPr>
            </w:pPr>
            <w:r>
              <w:rPr>
                <w:spacing w:val="-8"/>
                <w:sz w:val="24"/>
              </w:rPr>
              <w:t>防范措施</w:t>
            </w:r>
          </w:p>
        </w:tc>
        <w:tc>
          <w:tcPr>
            <w:tcW w:w="7022" w:type="dxa"/>
            <w:gridSpan w:val="4"/>
            <w:vAlign w:val="center"/>
          </w:tcPr>
          <w:p>
            <w:pPr>
              <w:rPr>
                <w:sz w:val="24"/>
                <w:lang w:bidi="ar"/>
              </w:rPr>
            </w:pPr>
            <w:r>
              <w:rPr>
                <w:sz w:val="24"/>
                <w:lang w:bidi="ar"/>
              </w:rPr>
              <w:t>①</w:t>
            </w:r>
            <w:r>
              <w:rPr>
                <w:rFonts w:hint="eastAsia"/>
                <w:sz w:val="24"/>
                <w:lang w:bidi="ar"/>
              </w:rPr>
              <w:t>本项目使用油漆、固化剂、稀释剂泄漏会对大气、地下水和土壤造成影响，建设单位须放置托盘上储存，并贴注标识标牌，同时做好地面防渗，并进行管理记录。</w:t>
            </w:r>
          </w:p>
          <w:p>
            <w:pPr>
              <w:rPr>
                <w:sz w:val="24"/>
                <w:lang w:bidi="ar"/>
              </w:rPr>
            </w:pPr>
            <w:r>
              <w:rPr>
                <w:sz w:val="24"/>
                <w:lang w:bidi="ar"/>
              </w:rPr>
              <w:t>②</w:t>
            </w:r>
            <w:r>
              <w:rPr>
                <w:rFonts w:hint="eastAsia"/>
                <w:sz w:val="24"/>
                <w:lang w:bidi="ar"/>
              </w:rPr>
              <w:t>使用的原料板材以及成品座椅属于可燃物，因此厂区需设置灭火器，禁止明火，注意防止火灾的发生。</w:t>
            </w:r>
          </w:p>
          <w:p>
            <w:pPr>
              <w:rPr>
                <w:sz w:val="24"/>
                <w:lang w:bidi="ar"/>
              </w:rPr>
            </w:pPr>
            <w:r>
              <w:rPr>
                <w:sz w:val="24"/>
                <w:lang w:bidi="ar"/>
              </w:rPr>
              <w:t>③建设单位须制订环境突发事故应急预案，一旦突发环境风险事故，必须立即按应急预案提到的紧急处理、救援、监测方案等进行紧急救援，救援人员采取相应的防护措施，以避免造成人员伤亡事故。</w:t>
            </w:r>
          </w:p>
          <w:p>
            <w:pPr>
              <w:rPr>
                <w:sz w:val="24"/>
              </w:rPr>
            </w:pPr>
            <w:r>
              <w:rPr>
                <w:sz w:val="24"/>
                <w:lang w:bidi="ar"/>
              </w:rPr>
              <w:t>④定期对存储场所的用电设备、通风设备、防火和防毒器具进行检查，发现问题及时处理。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778" w:type="dxa"/>
            <w:vAlign w:val="center"/>
          </w:tcPr>
          <w:p>
            <w:pPr>
              <w:adjustRightInd w:val="0"/>
              <w:snapToGrid w:val="0"/>
              <w:jc w:val="center"/>
              <w:rPr>
                <w:spacing w:val="-8"/>
                <w:sz w:val="24"/>
              </w:rPr>
            </w:pPr>
            <w:r>
              <w:rPr>
                <w:spacing w:val="-8"/>
                <w:sz w:val="24"/>
              </w:rPr>
              <w:t>其他环境</w:t>
            </w:r>
          </w:p>
          <w:p>
            <w:pPr>
              <w:adjustRightInd w:val="0"/>
              <w:snapToGrid w:val="0"/>
              <w:jc w:val="center"/>
              <w:rPr>
                <w:spacing w:val="-8"/>
                <w:sz w:val="24"/>
              </w:rPr>
            </w:pPr>
            <w:r>
              <w:rPr>
                <w:spacing w:val="-8"/>
                <w:sz w:val="24"/>
              </w:rPr>
              <w:t>管理要求</w:t>
            </w:r>
          </w:p>
        </w:tc>
        <w:tc>
          <w:tcPr>
            <w:tcW w:w="7022" w:type="dxa"/>
            <w:gridSpan w:val="4"/>
            <w:vAlign w:val="center"/>
          </w:tcPr>
          <w:p>
            <w:pPr>
              <w:adjustRightInd w:val="0"/>
              <w:snapToGrid w:val="0"/>
              <w:jc w:val="left"/>
              <w:rPr>
                <w:sz w:val="24"/>
              </w:rPr>
            </w:pPr>
            <w:r>
              <w:rPr>
                <w:rFonts w:hint="eastAsia"/>
                <w:sz w:val="24"/>
              </w:rPr>
              <w:t>1、规范化排污口设置</w:t>
            </w:r>
          </w:p>
          <w:p>
            <w:pPr>
              <w:widowControl/>
              <w:jc w:val="left"/>
              <w:rPr>
                <w:sz w:val="24"/>
              </w:rPr>
            </w:pPr>
            <w:r>
              <w:rPr>
                <w:rFonts w:hint="eastAsia"/>
                <w:sz w:val="24"/>
              </w:rPr>
              <w:t>2、根据《固定污染源排污许可分类管理名录（2019年版）》中</w:t>
            </w:r>
            <w:r>
              <w:rPr>
                <w:rFonts w:hint="default" w:ascii="Times New Roman" w:hAnsi="Times New Roman" w:cs="Times New Roman"/>
                <w:color w:val="000000"/>
                <w:sz w:val="24"/>
              </w:rPr>
              <w:t>十八、家具制造业21木质家具制造211</w:t>
            </w:r>
            <w:r>
              <w:rPr>
                <w:rFonts w:hint="eastAsia"/>
                <w:sz w:val="24"/>
              </w:rPr>
              <w:t>中要求，企业需申请排污许可</w:t>
            </w:r>
          </w:p>
          <w:p>
            <w:pPr>
              <w:adjustRightInd w:val="0"/>
              <w:snapToGrid w:val="0"/>
              <w:jc w:val="center"/>
              <w:rPr>
                <w:sz w:val="24"/>
              </w:rPr>
            </w:pPr>
            <w:r>
              <w:rPr>
                <w:color w:val="000000"/>
                <w:kern w:val="0"/>
                <w:sz w:val="24"/>
                <w:lang w:bidi="ar"/>
              </w:rPr>
              <w:t>3、</w:t>
            </w:r>
            <w:r>
              <w:rPr>
                <w:rFonts w:hint="eastAsia" w:ascii="宋体" w:hAnsi="宋体" w:cs="宋体"/>
                <w:color w:val="000000"/>
                <w:kern w:val="0"/>
                <w:sz w:val="24"/>
                <w:lang w:bidi="ar"/>
              </w:rPr>
              <w:t>根据相关环保法律中的规定，项目的主体工程与用于污染防治的设施必须同时设计、同时施工、同时投入运行，并且对于污染物防治设施建设“三同时”验收可以有效地防止大气污染物和水污染物对生态环境造成的不良影响。本项目在进行试生产时需要向环保部门申请开始进行“三同时”验收</w:t>
            </w:r>
          </w:p>
        </w:tc>
      </w:tr>
    </w:tbl>
    <w:p>
      <w:pPr>
        <w:pStyle w:val="18"/>
        <w:jc w:val="center"/>
        <w:outlineLvl w:val="0"/>
        <w:rPr>
          <w:rFonts w:ascii="Times New Roman" w:hAnsi="Times New Roman"/>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2"/>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vAlign w:val="center"/>
          </w:tcPr>
          <w:p>
            <w:pPr>
              <w:adjustRightInd w:val="0"/>
              <w:snapToGrid w:val="0"/>
              <w:spacing w:before="120" w:beforeLines="50" w:line="360" w:lineRule="auto"/>
              <w:ind w:firstLine="480" w:firstLineChars="200"/>
              <w:jc w:val="left"/>
              <w:rPr>
                <w:sz w:val="24"/>
              </w:rPr>
            </w:pPr>
            <w:r>
              <w:rPr>
                <w:rFonts w:hint="eastAsia"/>
                <w:sz w:val="24"/>
                <w:szCs w:val="24"/>
              </w:rPr>
              <w:t>本项目的建设符合国家和地方产业政策要求，项目选址符合当地规划要求。项目运行期产生的污染物在采取了本报告表提出的防治措施并严格落实后，可保证污染物稳定达标排放。因此，从环境保护的角度分析，本项目的建设是可行的。</w:t>
            </w:r>
          </w:p>
        </w:tc>
      </w:tr>
    </w:tbl>
    <w:p>
      <w:pPr>
        <w:sectPr>
          <w:pgSz w:w="11906" w:h="16838"/>
          <w:pgMar w:top="1701" w:right="1531" w:bottom="1701" w:left="1531" w:header="851" w:footer="851" w:gutter="0"/>
          <w:cols w:space="720" w:num="1"/>
          <w:docGrid w:linePitch="312" w:charSpace="0"/>
        </w:sectPr>
      </w:pPr>
    </w:p>
    <w:p>
      <w:pPr>
        <w:pStyle w:val="18"/>
        <w:adjustRightInd w:val="0"/>
        <w:snapToGrid w:val="0"/>
        <w:spacing w:before="0" w:beforeAutospacing="0" w:after="0" w:afterAutospacing="0" w:line="648" w:lineRule="auto"/>
        <w:outlineLvl w:val="0"/>
        <w:rPr>
          <w:rFonts w:ascii="Times New Roman" w:hAnsi="Times New Roman"/>
          <w:b/>
          <w:bCs/>
          <w:snapToGrid w:val="0"/>
          <w:sz w:val="32"/>
          <w:szCs w:val="32"/>
        </w:rPr>
      </w:pPr>
      <w:r>
        <w:rPr>
          <w:rFonts w:ascii="Times New Roman" w:hAnsi="Times New Roman"/>
          <w:b/>
          <w:bCs/>
          <w:snapToGrid w:val="0"/>
          <w:sz w:val="32"/>
          <w:szCs w:val="32"/>
        </w:rPr>
        <w:t>附表</w:t>
      </w:r>
    </w:p>
    <w:p>
      <w:pPr>
        <w:pStyle w:val="18"/>
        <w:adjustRightInd w:val="0"/>
        <w:snapToGrid w:val="0"/>
        <w:spacing w:before="0" w:beforeAutospacing="0" w:after="0" w:afterAutospacing="0" w:line="552" w:lineRule="auto"/>
        <w:jc w:val="center"/>
        <w:outlineLvl w:val="0"/>
        <w:rPr>
          <w:rFonts w:ascii="Times New Roman" w:hAnsi="Times New Roman"/>
          <w:b/>
          <w:bCs/>
          <w:snapToGrid w:val="0"/>
          <w:sz w:val="38"/>
          <w:szCs w:val="38"/>
        </w:rPr>
      </w:pPr>
      <w:r>
        <w:rPr>
          <w:rFonts w:ascii="Times New Roman" w:hAnsi="Times New Roman"/>
          <w:b/>
          <w:bCs/>
          <w:snapToGrid w:val="0"/>
          <w:sz w:val="38"/>
          <w:szCs w:val="38"/>
        </w:rPr>
        <w:t>建设项目污染物排放量汇总表</w:t>
      </w:r>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538"/>
        <w:gridCol w:w="1673"/>
        <w:gridCol w:w="13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9"/>
              <w:spacing w:beforeLines="0" w:afterLines="0" w:line="240" w:lineRule="auto"/>
              <w:jc w:val="right"/>
              <w:rPr>
                <w:rFonts w:ascii="Times New Roman" w:eastAsia="黑体"/>
                <w:snapToGrid w:val="0"/>
                <w:color w:val="000000"/>
                <w:spacing w:val="-6"/>
                <w:kern w:val="21"/>
                <w:szCs w:val="21"/>
              </w:rPr>
            </w:pPr>
            <w:r>
              <w:rPr>
                <w:rFonts w:ascii="Times New Roman" w:eastAsia="黑体"/>
                <w:snapToGrid w:val="0"/>
                <w:color w:val="000000"/>
                <w:spacing w:val="-6"/>
                <w:kern w:val="21"/>
                <w:szCs w:val="21"/>
              </w:rPr>
              <w:t>项目</w:t>
            </w:r>
          </w:p>
          <w:p>
            <w:pPr>
              <w:pStyle w:val="39"/>
              <w:spacing w:beforeLines="0" w:afterLines="0" w:line="240" w:lineRule="auto"/>
              <w:ind w:right="113" w:rightChars="0"/>
              <w:jc w:val="left"/>
              <w:rPr>
                <w:rFonts w:ascii="Times New Roman"/>
                <w:b/>
                <w:bCs/>
                <w:snapToGrid w:val="0"/>
                <w:color w:val="000000"/>
                <w:spacing w:val="-6"/>
                <w:kern w:val="21"/>
                <w:szCs w:val="21"/>
              </w:rPr>
            </w:pPr>
            <w:r>
              <w:rPr>
                <w:rFonts w:ascii="Times New Roman" w:eastAsia="黑体"/>
                <w:snapToGrid w:val="0"/>
                <w:color w:val="000000"/>
                <w:spacing w:val="-6"/>
                <w:kern w:val="21"/>
                <w:szCs w:val="21"/>
              </w:rPr>
              <w:t>分类</w:t>
            </w:r>
          </w:p>
        </w:tc>
        <w:tc>
          <w:tcPr>
            <w:tcW w:w="1417" w:type="dxa"/>
            <w:tcMar>
              <w:left w:w="28" w:type="dxa"/>
              <w:right w:w="28" w:type="dxa"/>
            </w:tcMar>
            <w:vAlign w:val="center"/>
          </w:tcPr>
          <w:p>
            <w:pPr>
              <w:pStyle w:val="39"/>
              <w:spacing w:beforeLines="0" w:afterLines="0" w:line="240" w:lineRule="auto"/>
              <w:ind w:right="113" w:rightChars="0"/>
              <w:rPr>
                <w:rFonts w:ascii="Times New Roman"/>
                <w:b/>
                <w:bCs/>
                <w:snapToGrid w:val="0"/>
                <w:color w:val="000000"/>
                <w:spacing w:val="-6"/>
                <w:kern w:val="21"/>
                <w:szCs w:val="21"/>
              </w:rPr>
            </w:pPr>
            <w:r>
              <w:rPr>
                <w:rFonts w:ascii="Times New Roman" w:eastAsia="黑体"/>
                <w:snapToGrid w:val="0"/>
                <w:color w:val="000000"/>
                <w:spacing w:val="-6"/>
                <w:kern w:val="21"/>
                <w:szCs w:val="21"/>
              </w:rPr>
              <w:t>污染物名称</w:t>
            </w:r>
          </w:p>
        </w:tc>
        <w:tc>
          <w:tcPr>
            <w:tcW w:w="1701" w:type="dxa"/>
            <w:tcMar>
              <w:left w:w="28" w:type="dxa"/>
              <w:right w:w="28" w:type="dxa"/>
            </w:tcMar>
            <w:vAlign w:val="center"/>
          </w:tcPr>
          <w:p>
            <w:pPr>
              <w:pStyle w:val="39"/>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pPr>
              <w:pStyle w:val="39"/>
              <w:spacing w:beforeLines="0" w:afterLines="0" w:line="240" w:lineRule="auto"/>
              <w:ind w:right="113" w:rightChars="0"/>
              <w:rPr>
                <w:rFonts w:ascii="Times New Roman"/>
                <w:b/>
                <w:bCs/>
                <w:snapToGrid w:val="0"/>
                <w:color w:val="000000"/>
                <w:spacing w:val="-6"/>
                <w:kern w:val="21"/>
                <w:szCs w:val="21"/>
              </w:rPr>
            </w:pPr>
            <w:r>
              <w:rPr>
                <w:rFonts w:ascii="Times New Roman" w:eastAsia="黑体"/>
                <w:snapToGrid w:val="0"/>
                <w:color w:val="000000"/>
                <w:spacing w:val="-6"/>
                <w:kern w:val="21"/>
                <w:szCs w:val="21"/>
              </w:rPr>
              <w:t>排放量（固体废物产生量）</w:t>
            </w: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1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①</w:t>
            </w:r>
            <w:r>
              <w:rPr>
                <w:rFonts w:ascii="Times New Roman" w:eastAsia="黑体"/>
                <w:snapToGrid w:val="0"/>
                <w:color w:val="000000"/>
                <w:spacing w:val="-6"/>
                <w:kern w:val="21"/>
                <w:szCs w:val="21"/>
              </w:rPr>
              <w:fldChar w:fldCharType="end"/>
            </w:r>
          </w:p>
        </w:tc>
        <w:tc>
          <w:tcPr>
            <w:tcW w:w="1276" w:type="dxa"/>
            <w:tcMar>
              <w:left w:w="28" w:type="dxa"/>
              <w:right w:w="28" w:type="dxa"/>
            </w:tcMar>
            <w:vAlign w:val="center"/>
          </w:tcPr>
          <w:p>
            <w:pPr>
              <w:pStyle w:val="39"/>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现有工程</w:t>
            </w:r>
          </w:p>
          <w:p>
            <w:pPr>
              <w:pStyle w:val="39"/>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许可排放量</w:t>
            </w:r>
          </w:p>
          <w:p>
            <w:pPr>
              <w:pStyle w:val="39"/>
              <w:spacing w:beforeLines="0" w:afterLines="0"/>
              <w:ind w:right="113" w:rightChars="0"/>
              <w:rPr>
                <w:rFonts w:ascii="Times New Roman"/>
                <w:b/>
                <w:bCs/>
                <w:snapToGrid w:val="0"/>
                <w:color w:val="000000"/>
                <w:spacing w:val="-6"/>
                <w:kern w:val="21"/>
                <w:szCs w:val="21"/>
              </w:rPr>
            </w:pP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2 \* GB3 \* MERGEFORMAT </w:instrText>
            </w:r>
            <w:r>
              <w:rPr>
                <w:rFonts w:ascii="Times New Roman" w:eastAsia="黑体"/>
                <w:snapToGrid w:val="0"/>
                <w:color w:val="000000"/>
                <w:spacing w:val="-6"/>
                <w:kern w:val="21"/>
                <w:szCs w:val="21"/>
              </w:rPr>
              <w:fldChar w:fldCharType="separate"/>
            </w:r>
            <w:r>
              <w:rPr>
                <w:rFonts w:ascii="Times New Roman" w:eastAsia="黑体"/>
                <w:snapToGrid w:val="0"/>
                <w:color w:val="000000"/>
                <w:spacing w:val="-6"/>
                <w:kern w:val="21"/>
                <w:szCs w:val="21"/>
              </w:rPr>
              <w:t>②</w:t>
            </w:r>
            <w:r>
              <w:rPr>
                <w:rFonts w:ascii="Times New Roman" w:eastAsia="黑体"/>
                <w:snapToGrid w:val="0"/>
                <w:color w:val="000000"/>
                <w:spacing w:val="-6"/>
                <w:kern w:val="21"/>
                <w:szCs w:val="21"/>
              </w:rPr>
              <w:fldChar w:fldCharType="end"/>
            </w:r>
          </w:p>
        </w:tc>
        <w:tc>
          <w:tcPr>
            <w:tcW w:w="1701" w:type="dxa"/>
            <w:tcMar>
              <w:left w:w="28" w:type="dxa"/>
              <w:right w:w="28" w:type="dxa"/>
            </w:tcMar>
            <w:vAlign w:val="center"/>
          </w:tcPr>
          <w:p>
            <w:pPr>
              <w:pStyle w:val="39"/>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在建工程</w:t>
            </w:r>
          </w:p>
          <w:p>
            <w:pPr>
              <w:pStyle w:val="39"/>
              <w:spacing w:beforeLines="0" w:afterLines="0" w:line="240" w:lineRule="auto"/>
              <w:ind w:right="113" w:rightChars="0"/>
              <w:rPr>
                <w:rFonts w:ascii="Times New Roman"/>
                <w:b/>
                <w:bCs/>
                <w:snapToGrid w:val="0"/>
                <w:color w:val="000000"/>
                <w:spacing w:val="-6"/>
                <w:kern w:val="21"/>
                <w:szCs w:val="21"/>
              </w:rPr>
            </w:pPr>
            <w:r>
              <w:rPr>
                <w:rFonts w:ascii="Times New Roman" w:eastAsia="黑体"/>
                <w:snapToGrid w:val="0"/>
                <w:color w:val="000000"/>
                <w:spacing w:val="-6"/>
                <w:kern w:val="21"/>
                <w:szCs w:val="21"/>
              </w:rPr>
              <w:t>排放量（固体废物产生量）</w:t>
            </w: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3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③</w:t>
            </w:r>
            <w:r>
              <w:rPr>
                <w:rFonts w:ascii="Times New Roman" w:eastAsia="黑体"/>
                <w:snapToGrid w:val="0"/>
                <w:color w:val="000000"/>
                <w:spacing w:val="-6"/>
                <w:kern w:val="21"/>
                <w:szCs w:val="21"/>
              </w:rPr>
              <w:fldChar w:fldCharType="end"/>
            </w:r>
          </w:p>
        </w:tc>
        <w:tc>
          <w:tcPr>
            <w:tcW w:w="1559" w:type="dxa"/>
            <w:tcMar>
              <w:left w:w="28" w:type="dxa"/>
              <w:right w:w="28" w:type="dxa"/>
            </w:tcMar>
            <w:vAlign w:val="center"/>
          </w:tcPr>
          <w:p>
            <w:pPr>
              <w:pStyle w:val="39"/>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本项目</w:t>
            </w:r>
          </w:p>
          <w:p>
            <w:pPr>
              <w:pStyle w:val="39"/>
              <w:spacing w:beforeLines="0" w:afterLines="0" w:line="240" w:lineRule="auto"/>
              <w:ind w:right="113" w:rightChars="0"/>
              <w:rPr>
                <w:rFonts w:ascii="Times New Roman"/>
                <w:b/>
                <w:bCs/>
                <w:snapToGrid w:val="0"/>
                <w:color w:val="000000"/>
                <w:spacing w:val="-6"/>
                <w:kern w:val="21"/>
                <w:szCs w:val="21"/>
              </w:rPr>
            </w:pPr>
            <w:r>
              <w:rPr>
                <w:rFonts w:ascii="Times New Roman" w:eastAsia="黑体"/>
                <w:snapToGrid w:val="0"/>
                <w:color w:val="000000"/>
                <w:spacing w:val="-6"/>
                <w:kern w:val="21"/>
                <w:szCs w:val="21"/>
              </w:rPr>
              <w:t>排放量（固体废物产生量）</w:t>
            </w: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4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④</w:t>
            </w:r>
            <w:r>
              <w:rPr>
                <w:rFonts w:ascii="Times New Roman" w:eastAsia="黑体"/>
                <w:snapToGrid w:val="0"/>
                <w:color w:val="000000"/>
                <w:spacing w:val="-6"/>
                <w:kern w:val="21"/>
                <w:szCs w:val="21"/>
              </w:rPr>
              <w:fldChar w:fldCharType="end"/>
            </w:r>
          </w:p>
        </w:tc>
        <w:tc>
          <w:tcPr>
            <w:tcW w:w="1538" w:type="dxa"/>
            <w:tcMar>
              <w:left w:w="28" w:type="dxa"/>
              <w:right w:w="28" w:type="dxa"/>
            </w:tcMar>
            <w:vAlign w:val="center"/>
          </w:tcPr>
          <w:p>
            <w:pPr>
              <w:pStyle w:val="39"/>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以新带老削减量</w:t>
            </w:r>
          </w:p>
          <w:p>
            <w:pPr>
              <w:pStyle w:val="39"/>
              <w:spacing w:beforeLines="0" w:afterLines="0" w:line="240" w:lineRule="auto"/>
              <w:ind w:right="113" w:rightChars="0"/>
              <w:rPr>
                <w:rFonts w:ascii="Times New Roman"/>
                <w:b/>
                <w:bCs/>
                <w:snapToGrid w:val="0"/>
                <w:color w:val="000000"/>
                <w:spacing w:val="-16"/>
                <w:kern w:val="21"/>
                <w:szCs w:val="21"/>
              </w:rPr>
            </w:pPr>
            <w:r>
              <w:rPr>
                <w:rFonts w:ascii="Times New Roman" w:eastAsia="黑体"/>
                <w:snapToGrid w:val="0"/>
                <w:color w:val="000000"/>
                <w:spacing w:val="-16"/>
                <w:kern w:val="21"/>
                <w:szCs w:val="21"/>
              </w:rPr>
              <w:t>（新建项目不填）</w:t>
            </w: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5 \* GB3 \* MERGEFORMAT </w:instrText>
            </w:r>
            <w:r>
              <w:rPr>
                <w:rFonts w:ascii="Times New Roman" w:eastAsia="黑体"/>
                <w:snapToGrid w:val="0"/>
                <w:color w:val="000000"/>
                <w:spacing w:val="-16"/>
                <w:kern w:val="21"/>
                <w:szCs w:val="21"/>
              </w:rPr>
              <w:fldChar w:fldCharType="separate"/>
            </w:r>
            <w:r>
              <w:rPr>
                <w:rFonts w:ascii="Times New Roman" w:eastAsia="黑体"/>
                <w:kern w:val="2"/>
                <w:szCs w:val="21"/>
              </w:rPr>
              <w:t>⑤</w:t>
            </w:r>
            <w:r>
              <w:rPr>
                <w:rFonts w:ascii="Times New Roman" w:eastAsia="黑体"/>
                <w:snapToGrid w:val="0"/>
                <w:color w:val="000000"/>
                <w:spacing w:val="-16"/>
                <w:kern w:val="21"/>
                <w:szCs w:val="21"/>
              </w:rPr>
              <w:fldChar w:fldCharType="end"/>
            </w:r>
          </w:p>
        </w:tc>
        <w:tc>
          <w:tcPr>
            <w:tcW w:w="1673" w:type="dxa"/>
            <w:tcMar>
              <w:left w:w="28" w:type="dxa"/>
              <w:right w:w="28" w:type="dxa"/>
            </w:tcMar>
            <w:vAlign w:val="center"/>
          </w:tcPr>
          <w:p>
            <w:pPr>
              <w:pStyle w:val="39"/>
              <w:spacing w:beforeLines="0" w:afterLines="0" w:line="240" w:lineRule="auto"/>
              <w:rPr>
                <w:rFonts w:ascii="Times New Roman" w:eastAsia="黑体"/>
                <w:snapToGrid w:val="0"/>
                <w:color w:val="000000"/>
                <w:spacing w:val="-16"/>
                <w:kern w:val="21"/>
                <w:szCs w:val="21"/>
              </w:rPr>
            </w:pPr>
            <w:r>
              <w:rPr>
                <w:rFonts w:ascii="Times New Roman" w:eastAsia="黑体"/>
                <w:snapToGrid w:val="0"/>
                <w:color w:val="000000"/>
                <w:spacing w:val="-16"/>
                <w:kern w:val="21"/>
                <w:szCs w:val="21"/>
              </w:rPr>
              <w:t>本项目建成后</w:t>
            </w:r>
          </w:p>
          <w:p>
            <w:pPr>
              <w:pStyle w:val="39"/>
              <w:spacing w:beforeLines="0" w:afterLines="0" w:line="240" w:lineRule="auto"/>
              <w:ind w:right="113" w:rightChars="0"/>
              <w:rPr>
                <w:rFonts w:ascii="Times New Roman"/>
                <w:b/>
                <w:bCs/>
                <w:snapToGrid w:val="0"/>
                <w:color w:val="000000"/>
                <w:spacing w:val="-16"/>
                <w:kern w:val="21"/>
                <w:szCs w:val="21"/>
              </w:rPr>
            </w:pPr>
            <w:r>
              <w:rPr>
                <w:rFonts w:ascii="Times New Roman" w:eastAsia="黑体"/>
                <w:snapToGrid w:val="0"/>
                <w:color w:val="000000"/>
                <w:spacing w:val="-16"/>
                <w:kern w:val="21"/>
                <w:szCs w:val="21"/>
              </w:rPr>
              <w:t>全厂排放量（固体废物产生量）</w:t>
            </w: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16"/>
                <w:kern w:val="21"/>
                <w:szCs w:val="21"/>
              </w:rPr>
              <w:fldChar w:fldCharType="begin"/>
            </w:r>
            <w:r>
              <w:rPr>
                <w:rFonts w:ascii="Times New Roman" w:eastAsia="黑体"/>
                <w:snapToGrid w:val="0"/>
                <w:color w:val="000000"/>
                <w:spacing w:val="-16"/>
                <w:kern w:val="21"/>
                <w:szCs w:val="21"/>
              </w:rPr>
              <w:instrText xml:space="preserve"> = 6 \* GB3 \* MERGEFORMAT </w:instrText>
            </w:r>
            <w:r>
              <w:rPr>
                <w:rFonts w:ascii="Times New Roman" w:eastAsia="黑体"/>
                <w:snapToGrid w:val="0"/>
                <w:color w:val="000000"/>
                <w:spacing w:val="-16"/>
                <w:kern w:val="21"/>
                <w:szCs w:val="21"/>
              </w:rPr>
              <w:fldChar w:fldCharType="separate"/>
            </w:r>
            <w:r>
              <w:rPr>
                <w:rFonts w:ascii="Times New Roman" w:eastAsia="黑体"/>
                <w:kern w:val="2"/>
                <w:szCs w:val="21"/>
              </w:rPr>
              <w:t>⑥</w:t>
            </w:r>
            <w:r>
              <w:rPr>
                <w:rFonts w:ascii="Times New Roman" w:eastAsia="黑体"/>
                <w:snapToGrid w:val="0"/>
                <w:color w:val="000000"/>
                <w:spacing w:val="-16"/>
                <w:kern w:val="21"/>
                <w:szCs w:val="21"/>
              </w:rPr>
              <w:fldChar w:fldCharType="end"/>
            </w:r>
          </w:p>
        </w:tc>
        <w:tc>
          <w:tcPr>
            <w:tcW w:w="1335" w:type="dxa"/>
            <w:tcMar>
              <w:left w:w="28" w:type="dxa"/>
              <w:right w:w="28" w:type="dxa"/>
            </w:tcMar>
            <w:vAlign w:val="center"/>
          </w:tcPr>
          <w:p>
            <w:pPr>
              <w:pStyle w:val="39"/>
              <w:spacing w:beforeLines="0" w:afterLines="0" w:line="240" w:lineRule="auto"/>
              <w:rPr>
                <w:rFonts w:ascii="Times New Roman" w:eastAsia="黑体"/>
                <w:snapToGrid w:val="0"/>
                <w:color w:val="000000"/>
                <w:spacing w:val="-6"/>
                <w:kern w:val="21"/>
                <w:szCs w:val="21"/>
              </w:rPr>
            </w:pPr>
            <w:r>
              <w:rPr>
                <w:rFonts w:ascii="Times New Roman" w:eastAsia="黑体"/>
                <w:snapToGrid w:val="0"/>
                <w:color w:val="000000"/>
                <w:spacing w:val="-6"/>
                <w:kern w:val="21"/>
                <w:szCs w:val="21"/>
              </w:rPr>
              <w:t>变化量</w:t>
            </w:r>
          </w:p>
          <w:p>
            <w:pPr>
              <w:pStyle w:val="39"/>
              <w:spacing w:beforeLines="0" w:afterLines="0" w:line="240" w:lineRule="auto"/>
              <w:ind w:right="113" w:rightChars="0"/>
              <w:rPr>
                <w:rFonts w:ascii="Times New Roman"/>
                <w:b/>
                <w:bCs/>
                <w:snapToGrid w:val="0"/>
                <w:color w:val="000000"/>
                <w:spacing w:val="-6"/>
                <w:kern w:val="21"/>
                <w:szCs w:val="21"/>
              </w:rPr>
            </w:pPr>
            <w:r>
              <w:rPr>
                <w:rFonts w:hint="eastAsia" w:ascii="黑体" w:hAnsi="黑体" w:eastAsia="黑体"/>
                <w:snapToGrid w:val="0"/>
                <w:color w:val="000000"/>
                <w:spacing w:val="-6"/>
                <w:kern w:val="21"/>
                <w:szCs w:val="24"/>
              </w:rPr>
              <w:t>（</w:t>
            </w:r>
            <w:r>
              <w:rPr>
                <w:rFonts w:ascii="Times New Roman"/>
                <w:b/>
                <w:color w:val="000000"/>
                <w:szCs w:val="24"/>
              </w:rPr>
              <w:t>t/a</w:t>
            </w:r>
            <w:r>
              <w:rPr>
                <w:rFonts w:hint="eastAsia" w:ascii="黑体" w:hAnsi="黑体" w:eastAsia="黑体"/>
                <w:snapToGrid w:val="0"/>
                <w:color w:val="000000"/>
                <w:spacing w:val="-6"/>
                <w:kern w:val="21"/>
                <w:szCs w:val="24"/>
              </w:rPr>
              <w:t>）</w:t>
            </w:r>
            <w:r>
              <w:rPr>
                <w:rFonts w:ascii="Times New Roman" w:eastAsia="黑体"/>
                <w:snapToGrid w:val="0"/>
                <w:color w:val="000000"/>
                <w:spacing w:val="-6"/>
                <w:kern w:val="21"/>
                <w:szCs w:val="21"/>
              </w:rPr>
              <w:fldChar w:fldCharType="begin"/>
            </w:r>
            <w:r>
              <w:rPr>
                <w:rFonts w:ascii="Times New Roman" w:eastAsia="黑体"/>
                <w:snapToGrid w:val="0"/>
                <w:color w:val="000000"/>
                <w:spacing w:val="-6"/>
                <w:kern w:val="21"/>
                <w:szCs w:val="21"/>
              </w:rPr>
              <w:instrText xml:space="preserve"> = 7 \* GB3 \* MERGEFORMAT </w:instrText>
            </w:r>
            <w:r>
              <w:rPr>
                <w:rFonts w:ascii="Times New Roman" w:eastAsia="黑体"/>
                <w:snapToGrid w:val="0"/>
                <w:color w:val="000000"/>
                <w:spacing w:val="-6"/>
                <w:kern w:val="21"/>
                <w:szCs w:val="21"/>
              </w:rPr>
              <w:fldChar w:fldCharType="separate"/>
            </w:r>
            <w:r>
              <w:rPr>
                <w:rFonts w:ascii="Times New Roman" w:eastAsia="黑体"/>
                <w:kern w:val="2"/>
                <w:szCs w:val="21"/>
              </w:rPr>
              <w:t>⑦</w:t>
            </w:r>
            <w:r>
              <w:rPr>
                <w:rFonts w:ascii="Times New Roman"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588" w:type="dxa"/>
            <w:vMerge w:val="restart"/>
            <w:vAlign w:val="center"/>
          </w:tcPr>
          <w:p>
            <w:pPr>
              <w:pStyle w:val="39"/>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废气</w:t>
            </w:r>
          </w:p>
        </w:tc>
        <w:tc>
          <w:tcPr>
            <w:tcW w:w="1417" w:type="dxa"/>
            <w:vAlign w:val="center"/>
          </w:tcPr>
          <w:p>
            <w:pPr>
              <w:jc w:val="center"/>
              <w:rPr>
                <w:snapToGrid w:val="0"/>
                <w:color w:val="000000" w:themeColor="text1"/>
                <w:kern w:val="21"/>
                <w:sz w:val="24"/>
                <w:szCs w:val="24"/>
                <w14:textFill>
                  <w14:solidFill>
                    <w14:schemeClr w14:val="tx1"/>
                  </w14:solidFill>
                </w14:textFill>
              </w:rPr>
            </w:pPr>
            <w:r>
              <w:rPr>
                <w:color w:val="000000" w:themeColor="text1"/>
                <w:sz w:val="24"/>
                <w:szCs w:val="24"/>
                <w14:textFill>
                  <w14:solidFill>
                    <w14:schemeClr w14:val="tx1"/>
                  </w14:solidFill>
                </w14:textFill>
              </w:rPr>
              <w:t>颗粒物</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276"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559" w:type="dxa"/>
            <w:vAlign w:val="center"/>
          </w:tcPr>
          <w:p>
            <w:pPr>
              <w:jc w:val="center"/>
              <w:rPr>
                <w:rFonts w:hint="default" w:eastAsia="宋体"/>
                <w:snapToGrid w:val="0"/>
                <w:color w:val="000000" w:themeColor="text1"/>
                <w:kern w:val="2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0.0</w:t>
            </w:r>
            <w:r>
              <w:rPr>
                <w:rFonts w:hint="eastAsia"/>
                <w:color w:val="000000" w:themeColor="text1"/>
                <w:sz w:val="24"/>
                <w:szCs w:val="24"/>
                <w:lang w:val="en-US" w:eastAsia="zh-CN"/>
                <w14:textFill>
                  <w14:solidFill>
                    <w14:schemeClr w14:val="tx1"/>
                  </w14:solidFill>
                </w14:textFill>
              </w:rPr>
              <w:t>96</w:t>
            </w:r>
          </w:p>
        </w:tc>
        <w:tc>
          <w:tcPr>
            <w:tcW w:w="1538"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673" w:type="dxa"/>
            <w:vAlign w:val="center"/>
          </w:tcPr>
          <w:p>
            <w:pPr>
              <w:jc w:val="center"/>
              <w:rPr>
                <w:snapToGrid w:val="0"/>
                <w:color w:val="000000" w:themeColor="text1"/>
                <w:kern w:val="21"/>
                <w:sz w:val="24"/>
                <w:szCs w:val="24"/>
                <w14:textFill>
                  <w14:solidFill>
                    <w14:schemeClr w14:val="tx1"/>
                  </w14:solidFill>
                </w14:textFill>
              </w:rPr>
            </w:pPr>
            <w:r>
              <w:rPr>
                <w:rFonts w:hint="eastAsia"/>
                <w:color w:val="000000" w:themeColor="text1"/>
                <w:sz w:val="24"/>
                <w:szCs w:val="24"/>
                <w14:textFill>
                  <w14:solidFill>
                    <w14:schemeClr w14:val="tx1"/>
                  </w14:solidFill>
                </w14:textFill>
              </w:rPr>
              <w:t>0.0</w:t>
            </w:r>
            <w:r>
              <w:rPr>
                <w:rFonts w:hint="eastAsia"/>
                <w:color w:val="000000" w:themeColor="text1"/>
                <w:sz w:val="24"/>
                <w:szCs w:val="24"/>
                <w:lang w:val="en-US" w:eastAsia="zh-CN"/>
                <w14:textFill>
                  <w14:solidFill>
                    <w14:schemeClr w14:val="tx1"/>
                  </w14:solidFill>
                </w14:textFill>
              </w:rPr>
              <w:t>96</w:t>
            </w:r>
          </w:p>
        </w:tc>
        <w:tc>
          <w:tcPr>
            <w:tcW w:w="1335" w:type="dxa"/>
            <w:vAlign w:val="center"/>
          </w:tcPr>
          <w:p>
            <w:pPr>
              <w:jc w:val="center"/>
              <w:rPr>
                <w:snapToGrid w:val="0"/>
                <w:color w:val="000000" w:themeColor="text1"/>
                <w:kern w:val="2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0.0</w:t>
            </w:r>
            <w:r>
              <w:rPr>
                <w:rFonts w:hint="eastAsia"/>
                <w:color w:val="000000" w:themeColor="text1"/>
                <w:sz w:val="24"/>
                <w:szCs w:val="24"/>
                <w:lang w:val="en-US" w:eastAsia="zh-CN"/>
                <w14:textFill>
                  <w14:solidFill>
                    <w14:schemeClr w14:val="tx1"/>
                  </w14:solidFill>
                </w14:textFill>
              </w:rPr>
              <w:t>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1588" w:type="dxa"/>
            <w:vMerge w:val="continue"/>
            <w:vAlign w:val="center"/>
          </w:tcPr>
          <w:p>
            <w:pPr>
              <w:pStyle w:val="39"/>
              <w:spacing w:beforeLines="0" w:afterLines="0" w:line="240" w:lineRule="auto"/>
              <w:rPr>
                <w:rFonts w:ascii="Times New Roman"/>
                <w:snapToGrid w:val="0"/>
                <w:color w:val="000000"/>
                <w:kern w:val="21"/>
                <w:sz w:val="24"/>
                <w:szCs w:val="24"/>
              </w:rPr>
            </w:pPr>
          </w:p>
        </w:tc>
        <w:tc>
          <w:tcPr>
            <w:tcW w:w="1417" w:type="dxa"/>
            <w:vAlign w:val="center"/>
          </w:tcPr>
          <w:p>
            <w:pPr>
              <w:jc w:val="center"/>
              <w:rPr>
                <w:color w:val="auto"/>
                <w:sz w:val="24"/>
                <w:szCs w:val="24"/>
              </w:rPr>
            </w:pPr>
            <w:r>
              <w:rPr>
                <w:rFonts w:hint="eastAsia"/>
                <w:color w:val="auto"/>
                <w:sz w:val="24"/>
                <w:szCs w:val="24"/>
              </w:rPr>
              <w:t>非甲烷总烃</w:t>
            </w:r>
          </w:p>
        </w:tc>
        <w:tc>
          <w:tcPr>
            <w:tcW w:w="1701" w:type="dxa"/>
            <w:vAlign w:val="center"/>
          </w:tcPr>
          <w:p>
            <w:pPr>
              <w:pStyle w:val="39"/>
              <w:spacing w:beforeLines="0" w:afterLines="0" w:line="240" w:lineRule="auto"/>
              <w:rPr>
                <w:rFonts w:ascii="Times New Roman"/>
                <w:snapToGrid w:val="0"/>
                <w:color w:val="auto"/>
                <w:kern w:val="21"/>
                <w:sz w:val="24"/>
                <w:szCs w:val="24"/>
              </w:rPr>
            </w:pPr>
            <w:r>
              <w:rPr>
                <w:rFonts w:ascii="Times New Roman"/>
                <w:snapToGrid w:val="0"/>
                <w:color w:val="auto"/>
                <w:kern w:val="21"/>
                <w:sz w:val="24"/>
                <w:szCs w:val="24"/>
              </w:rPr>
              <w:t>/</w:t>
            </w:r>
          </w:p>
        </w:tc>
        <w:tc>
          <w:tcPr>
            <w:tcW w:w="1276" w:type="dxa"/>
            <w:vAlign w:val="center"/>
          </w:tcPr>
          <w:p>
            <w:pPr>
              <w:pStyle w:val="39"/>
              <w:spacing w:beforeLines="0" w:afterLines="0" w:line="240" w:lineRule="auto"/>
              <w:rPr>
                <w:rFonts w:ascii="Times New Roman"/>
                <w:snapToGrid w:val="0"/>
                <w:color w:val="auto"/>
                <w:kern w:val="21"/>
                <w:sz w:val="24"/>
                <w:szCs w:val="24"/>
              </w:rPr>
            </w:pPr>
            <w:r>
              <w:rPr>
                <w:rFonts w:ascii="Times New Roman"/>
                <w:snapToGrid w:val="0"/>
                <w:color w:val="auto"/>
                <w:kern w:val="21"/>
                <w:sz w:val="24"/>
                <w:szCs w:val="24"/>
              </w:rPr>
              <w:t>/</w:t>
            </w:r>
          </w:p>
        </w:tc>
        <w:tc>
          <w:tcPr>
            <w:tcW w:w="1701" w:type="dxa"/>
            <w:vAlign w:val="center"/>
          </w:tcPr>
          <w:p>
            <w:pPr>
              <w:pStyle w:val="39"/>
              <w:spacing w:beforeLines="0" w:afterLines="0" w:line="240" w:lineRule="auto"/>
              <w:rPr>
                <w:rFonts w:ascii="Times New Roman"/>
                <w:snapToGrid w:val="0"/>
                <w:color w:val="auto"/>
                <w:kern w:val="21"/>
                <w:sz w:val="24"/>
                <w:szCs w:val="24"/>
              </w:rPr>
            </w:pPr>
            <w:r>
              <w:rPr>
                <w:rFonts w:ascii="Times New Roman"/>
                <w:snapToGrid w:val="0"/>
                <w:color w:val="auto"/>
                <w:kern w:val="21"/>
                <w:sz w:val="24"/>
                <w:szCs w:val="24"/>
              </w:rPr>
              <w:t>/</w:t>
            </w:r>
          </w:p>
        </w:tc>
        <w:tc>
          <w:tcPr>
            <w:tcW w:w="1559" w:type="dxa"/>
            <w:vAlign w:val="center"/>
          </w:tcPr>
          <w:p>
            <w:pPr>
              <w:jc w:val="center"/>
              <w:rPr>
                <w:rFonts w:hint="default" w:eastAsia="宋体"/>
                <w:color w:val="auto"/>
                <w:sz w:val="24"/>
                <w:szCs w:val="24"/>
                <w:lang w:val="en-US" w:eastAsia="zh-CN"/>
              </w:rPr>
            </w:pPr>
            <w:r>
              <w:rPr>
                <w:rFonts w:hint="eastAsia"/>
                <w:color w:val="auto"/>
                <w:sz w:val="24"/>
                <w:szCs w:val="24"/>
              </w:rPr>
              <w:t>0.0</w:t>
            </w:r>
            <w:r>
              <w:rPr>
                <w:rFonts w:hint="eastAsia"/>
                <w:color w:val="auto"/>
                <w:sz w:val="24"/>
                <w:szCs w:val="24"/>
                <w:lang w:val="en-US" w:eastAsia="zh-CN"/>
              </w:rPr>
              <w:t>86</w:t>
            </w:r>
          </w:p>
        </w:tc>
        <w:tc>
          <w:tcPr>
            <w:tcW w:w="1538" w:type="dxa"/>
            <w:vAlign w:val="center"/>
          </w:tcPr>
          <w:p>
            <w:pPr>
              <w:pStyle w:val="39"/>
              <w:spacing w:beforeLines="0" w:afterLines="0" w:line="240" w:lineRule="auto"/>
              <w:rPr>
                <w:rFonts w:ascii="Times New Roman"/>
                <w:snapToGrid w:val="0"/>
                <w:color w:val="auto"/>
                <w:kern w:val="21"/>
                <w:sz w:val="24"/>
                <w:szCs w:val="24"/>
              </w:rPr>
            </w:pPr>
            <w:r>
              <w:rPr>
                <w:rFonts w:ascii="Times New Roman"/>
                <w:snapToGrid w:val="0"/>
                <w:color w:val="auto"/>
                <w:kern w:val="21"/>
                <w:sz w:val="24"/>
                <w:szCs w:val="24"/>
              </w:rPr>
              <w:t>/</w:t>
            </w:r>
          </w:p>
        </w:tc>
        <w:tc>
          <w:tcPr>
            <w:tcW w:w="1673" w:type="dxa"/>
            <w:vAlign w:val="center"/>
          </w:tcPr>
          <w:p>
            <w:pPr>
              <w:jc w:val="center"/>
              <w:rPr>
                <w:color w:val="auto"/>
                <w:sz w:val="24"/>
                <w:szCs w:val="24"/>
              </w:rPr>
            </w:pPr>
            <w:r>
              <w:rPr>
                <w:rFonts w:hint="eastAsia"/>
                <w:color w:val="auto"/>
                <w:sz w:val="24"/>
                <w:szCs w:val="24"/>
              </w:rPr>
              <w:t>0.0</w:t>
            </w:r>
            <w:r>
              <w:rPr>
                <w:rFonts w:hint="eastAsia"/>
                <w:color w:val="auto"/>
                <w:sz w:val="24"/>
                <w:szCs w:val="24"/>
                <w:lang w:val="en-US" w:eastAsia="zh-CN"/>
              </w:rPr>
              <w:t>86</w:t>
            </w:r>
          </w:p>
        </w:tc>
        <w:tc>
          <w:tcPr>
            <w:tcW w:w="1335" w:type="dxa"/>
            <w:vAlign w:val="center"/>
          </w:tcPr>
          <w:p>
            <w:pPr>
              <w:jc w:val="center"/>
              <w:rPr>
                <w:color w:val="auto"/>
                <w:sz w:val="24"/>
                <w:szCs w:val="24"/>
              </w:rPr>
            </w:pPr>
            <w:r>
              <w:rPr>
                <w:rFonts w:hint="eastAsia"/>
                <w:color w:val="000000" w:themeColor="text1"/>
                <w:sz w:val="24"/>
                <w:szCs w:val="24"/>
                <w:lang w:val="en-US" w:eastAsia="zh-CN"/>
                <w14:textFill>
                  <w14:solidFill>
                    <w14:schemeClr w14:val="tx1"/>
                  </w14:solidFill>
                </w14:textFill>
              </w:rPr>
              <w:t>+</w:t>
            </w:r>
            <w:r>
              <w:rPr>
                <w:rFonts w:hint="eastAsia"/>
                <w:color w:val="auto"/>
                <w:sz w:val="24"/>
                <w:szCs w:val="24"/>
              </w:rPr>
              <w:t>0.0</w:t>
            </w:r>
            <w:r>
              <w:rPr>
                <w:rFonts w:hint="eastAsia"/>
                <w:color w:val="auto"/>
                <w:sz w:val="24"/>
                <w:szCs w:val="24"/>
                <w:lang w:val="en-US" w:eastAsia="zh-CN"/>
              </w:rPr>
              <w:t>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1588" w:type="dxa"/>
            <w:vMerge w:val="continue"/>
            <w:vAlign w:val="center"/>
          </w:tcPr>
          <w:p>
            <w:pPr>
              <w:pStyle w:val="39"/>
              <w:spacing w:beforeLines="0" w:afterLines="0" w:line="240" w:lineRule="auto"/>
              <w:rPr>
                <w:rFonts w:ascii="Times New Roman"/>
                <w:snapToGrid w:val="0"/>
                <w:color w:val="000000"/>
                <w:kern w:val="21"/>
                <w:sz w:val="24"/>
                <w:szCs w:val="24"/>
              </w:rPr>
            </w:pPr>
          </w:p>
        </w:tc>
        <w:tc>
          <w:tcPr>
            <w:tcW w:w="1417" w:type="dxa"/>
            <w:vAlign w:val="center"/>
          </w:tcPr>
          <w:p>
            <w:pPr>
              <w:jc w:val="center"/>
              <w:rPr>
                <w:color w:val="auto"/>
                <w:sz w:val="24"/>
                <w:szCs w:val="24"/>
              </w:rPr>
            </w:pPr>
            <w:r>
              <w:rPr>
                <w:color w:val="auto"/>
                <w:sz w:val="24"/>
                <w:szCs w:val="24"/>
              </w:rPr>
              <w:t>二甲苯</w:t>
            </w:r>
          </w:p>
        </w:tc>
        <w:tc>
          <w:tcPr>
            <w:tcW w:w="1701" w:type="dxa"/>
            <w:vAlign w:val="center"/>
          </w:tcPr>
          <w:p>
            <w:pPr>
              <w:pStyle w:val="39"/>
              <w:spacing w:beforeLines="0" w:afterLines="0" w:line="240" w:lineRule="auto"/>
              <w:rPr>
                <w:rFonts w:ascii="Times New Roman"/>
                <w:snapToGrid w:val="0"/>
                <w:color w:val="auto"/>
                <w:kern w:val="21"/>
                <w:sz w:val="24"/>
                <w:szCs w:val="24"/>
              </w:rPr>
            </w:pPr>
            <w:r>
              <w:rPr>
                <w:rFonts w:ascii="Times New Roman"/>
                <w:snapToGrid w:val="0"/>
                <w:color w:val="auto"/>
                <w:kern w:val="21"/>
                <w:sz w:val="24"/>
                <w:szCs w:val="24"/>
              </w:rPr>
              <w:t>/</w:t>
            </w:r>
          </w:p>
        </w:tc>
        <w:tc>
          <w:tcPr>
            <w:tcW w:w="1276" w:type="dxa"/>
            <w:vAlign w:val="center"/>
          </w:tcPr>
          <w:p>
            <w:pPr>
              <w:pStyle w:val="39"/>
              <w:spacing w:beforeLines="0" w:afterLines="0" w:line="240" w:lineRule="auto"/>
              <w:rPr>
                <w:rFonts w:ascii="Times New Roman"/>
                <w:snapToGrid w:val="0"/>
                <w:color w:val="auto"/>
                <w:kern w:val="21"/>
                <w:sz w:val="24"/>
                <w:szCs w:val="24"/>
              </w:rPr>
            </w:pPr>
            <w:r>
              <w:rPr>
                <w:rFonts w:ascii="Times New Roman"/>
                <w:snapToGrid w:val="0"/>
                <w:color w:val="auto"/>
                <w:kern w:val="21"/>
                <w:sz w:val="24"/>
                <w:szCs w:val="24"/>
              </w:rPr>
              <w:t>/</w:t>
            </w:r>
          </w:p>
        </w:tc>
        <w:tc>
          <w:tcPr>
            <w:tcW w:w="1701" w:type="dxa"/>
            <w:vAlign w:val="center"/>
          </w:tcPr>
          <w:p>
            <w:pPr>
              <w:pStyle w:val="39"/>
              <w:spacing w:beforeLines="0" w:afterLines="0" w:line="240" w:lineRule="auto"/>
              <w:rPr>
                <w:rFonts w:ascii="Times New Roman"/>
                <w:snapToGrid w:val="0"/>
                <w:color w:val="auto"/>
                <w:kern w:val="21"/>
                <w:sz w:val="24"/>
                <w:szCs w:val="24"/>
              </w:rPr>
            </w:pPr>
            <w:r>
              <w:rPr>
                <w:rFonts w:ascii="Times New Roman"/>
                <w:snapToGrid w:val="0"/>
                <w:color w:val="auto"/>
                <w:kern w:val="21"/>
                <w:sz w:val="24"/>
                <w:szCs w:val="24"/>
              </w:rPr>
              <w:t>/</w:t>
            </w:r>
          </w:p>
        </w:tc>
        <w:tc>
          <w:tcPr>
            <w:tcW w:w="1559" w:type="dxa"/>
            <w:vAlign w:val="center"/>
          </w:tcPr>
          <w:p>
            <w:pPr>
              <w:jc w:val="center"/>
              <w:rPr>
                <w:rFonts w:hint="eastAsia" w:eastAsia="宋体"/>
                <w:color w:val="auto"/>
                <w:sz w:val="24"/>
                <w:szCs w:val="24"/>
                <w:lang w:val="en-US" w:eastAsia="zh-CN"/>
              </w:rPr>
            </w:pPr>
            <w:r>
              <w:rPr>
                <w:rFonts w:hint="eastAsia"/>
                <w:color w:val="auto"/>
                <w:sz w:val="24"/>
                <w:szCs w:val="24"/>
              </w:rPr>
              <w:t>0.02</w:t>
            </w:r>
            <w:r>
              <w:rPr>
                <w:rFonts w:hint="eastAsia"/>
                <w:color w:val="auto"/>
                <w:sz w:val="24"/>
                <w:szCs w:val="24"/>
                <w:lang w:val="en-US" w:eastAsia="zh-CN"/>
              </w:rPr>
              <w:t>5</w:t>
            </w:r>
          </w:p>
        </w:tc>
        <w:tc>
          <w:tcPr>
            <w:tcW w:w="1538" w:type="dxa"/>
            <w:vAlign w:val="center"/>
          </w:tcPr>
          <w:p>
            <w:pPr>
              <w:pStyle w:val="39"/>
              <w:spacing w:beforeLines="0" w:afterLines="0" w:line="240" w:lineRule="auto"/>
              <w:rPr>
                <w:rFonts w:ascii="Times New Roman"/>
                <w:snapToGrid w:val="0"/>
                <w:color w:val="auto"/>
                <w:kern w:val="21"/>
                <w:sz w:val="24"/>
                <w:szCs w:val="24"/>
              </w:rPr>
            </w:pPr>
          </w:p>
        </w:tc>
        <w:tc>
          <w:tcPr>
            <w:tcW w:w="1673" w:type="dxa"/>
            <w:vAlign w:val="center"/>
          </w:tcPr>
          <w:p>
            <w:pPr>
              <w:jc w:val="center"/>
              <w:rPr>
                <w:color w:val="auto"/>
                <w:sz w:val="24"/>
                <w:szCs w:val="24"/>
              </w:rPr>
            </w:pPr>
            <w:r>
              <w:rPr>
                <w:rFonts w:hint="eastAsia"/>
                <w:color w:val="auto"/>
                <w:sz w:val="24"/>
                <w:szCs w:val="24"/>
              </w:rPr>
              <w:t>0.02</w:t>
            </w:r>
            <w:r>
              <w:rPr>
                <w:rFonts w:hint="eastAsia"/>
                <w:color w:val="auto"/>
                <w:sz w:val="24"/>
                <w:szCs w:val="24"/>
                <w:lang w:val="en-US" w:eastAsia="zh-CN"/>
              </w:rPr>
              <w:t>5</w:t>
            </w:r>
          </w:p>
        </w:tc>
        <w:tc>
          <w:tcPr>
            <w:tcW w:w="1335" w:type="dxa"/>
            <w:vAlign w:val="center"/>
          </w:tcPr>
          <w:p>
            <w:pPr>
              <w:jc w:val="center"/>
              <w:rPr>
                <w:color w:val="auto"/>
                <w:sz w:val="24"/>
                <w:szCs w:val="24"/>
              </w:rPr>
            </w:pPr>
            <w:r>
              <w:rPr>
                <w:rFonts w:hint="eastAsia"/>
                <w:color w:val="000000" w:themeColor="text1"/>
                <w:sz w:val="24"/>
                <w:szCs w:val="24"/>
                <w:lang w:val="en-US" w:eastAsia="zh-CN"/>
                <w14:textFill>
                  <w14:solidFill>
                    <w14:schemeClr w14:val="tx1"/>
                  </w14:solidFill>
                </w14:textFill>
              </w:rPr>
              <w:t>+</w:t>
            </w:r>
            <w:r>
              <w:rPr>
                <w:rFonts w:hint="eastAsia"/>
                <w:color w:val="auto"/>
                <w:sz w:val="24"/>
                <w:szCs w:val="24"/>
              </w:rPr>
              <w:t>0.02</w:t>
            </w:r>
            <w:r>
              <w:rPr>
                <w:rFonts w:hint="eastAsia"/>
                <w:color w:val="auto"/>
                <w:sz w:val="24"/>
                <w:szCs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588" w:type="dxa"/>
            <w:vMerge w:val="restart"/>
            <w:vAlign w:val="center"/>
          </w:tcPr>
          <w:p>
            <w:pPr>
              <w:pStyle w:val="39"/>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废水</w:t>
            </w:r>
          </w:p>
        </w:tc>
        <w:tc>
          <w:tcPr>
            <w:tcW w:w="1417"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color w:val="000000" w:themeColor="text1"/>
                <w:sz w:val="24"/>
                <w:szCs w:val="24"/>
                <w14:textFill>
                  <w14:solidFill>
                    <w14:schemeClr w14:val="tx1"/>
                  </w14:solidFill>
                </w14:textFill>
              </w:rPr>
              <w:t>COD</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276"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559"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538"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673" w:type="dxa"/>
            <w:vAlign w:val="center"/>
          </w:tcPr>
          <w:p>
            <w:pPr>
              <w:pStyle w:val="39"/>
              <w:spacing w:beforeLines="0" w:afterLines="0" w:line="240" w:lineRule="auto"/>
              <w:ind w:right="113" w:rightChars="0"/>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335" w:type="dxa"/>
            <w:vAlign w:val="center"/>
          </w:tcPr>
          <w:p>
            <w:pPr>
              <w:pStyle w:val="39"/>
              <w:spacing w:beforeLines="0" w:afterLines="0" w:line="240" w:lineRule="auto"/>
              <w:ind w:right="113" w:rightChars="0"/>
              <w:rPr>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588" w:type="dxa"/>
            <w:vMerge w:val="continue"/>
            <w:vAlign w:val="center"/>
          </w:tcPr>
          <w:p>
            <w:pPr>
              <w:pStyle w:val="39"/>
              <w:spacing w:beforeLines="0" w:afterLines="0" w:line="240" w:lineRule="auto"/>
              <w:rPr>
                <w:rFonts w:ascii="Times New Roman"/>
                <w:snapToGrid w:val="0"/>
                <w:color w:val="000000"/>
                <w:kern w:val="21"/>
                <w:sz w:val="24"/>
                <w:szCs w:val="24"/>
              </w:rPr>
            </w:pPr>
          </w:p>
        </w:tc>
        <w:tc>
          <w:tcPr>
            <w:tcW w:w="1417" w:type="dxa"/>
            <w:vAlign w:val="center"/>
          </w:tcPr>
          <w:p>
            <w:pPr>
              <w:pStyle w:val="39"/>
              <w:spacing w:beforeLines="0" w:afterLines="0" w:line="240" w:lineRule="auto"/>
              <w:rPr>
                <w:rFonts w:ascii="Times New Roman"/>
                <w:color w:val="000000" w:themeColor="text1"/>
                <w:sz w:val="24"/>
                <w:szCs w:val="24"/>
                <w:lang w:bidi="ar"/>
                <w14:textFill>
                  <w14:solidFill>
                    <w14:schemeClr w14:val="tx1"/>
                  </w14:solidFill>
                </w14:textFill>
              </w:rPr>
            </w:pPr>
            <w:r>
              <w:rPr>
                <w:rFonts w:ascii="Times New Roman"/>
                <w:color w:val="000000" w:themeColor="text1"/>
                <w:sz w:val="24"/>
                <w:szCs w:val="24"/>
                <w14:textFill>
                  <w14:solidFill>
                    <w14:schemeClr w14:val="tx1"/>
                  </w14:solidFill>
                </w14:textFill>
              </w:rPr>
              <w:t>NH</w:t>
            </w:r>
            <w:r>
              <w:rPr>
                <w:rFonts w:ascii="Times New Roman"/>
                <w:color w:val="000000" w:themeColor="text1"/>
                <w:sz w:val="24"/>
                <w:szCs w:val="24"/>
                <w:vertAlign w:val="subscript"/>
                <w14:textFill>
                  <w14:solidFill>
                    <w14:schemeClr w14:val="tx1"/>
                  </w14:solidFill>
                </w14:textFill>
              </w:rPr>
              <w:t>3</w:t>
            </w:r>
            <w:r>
              <w:rPr>
                <w:rFonts w:ascii="Times New Roman"/>
                <w:color w:val="000000" w:themeColor="text1"/>
                <w:sz w:val="24"/>
                <w:szCs w:val="24"/>
                <w14:textFill>
                  <w14:solidFill>
                    <w14:schemeClr w14:val="tx1"/>
                  </w14:solidFill>
                </w14:textFill>
              </w:rPr>
              <w:t>-N</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276"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559"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538"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673" w:type="dxa"/>
            <w:vAlign w:val="center"/>
          </w:tcPr>
          <w:p>
            <w:pPr>
              <w:pStyle w:val="39"/>
              <w:spacing w:beforeLines="0" w:afterLines="0" w:line="240" w:lineRule="auto"/>
              <w:ind w:right="113" w:rightChars="0"/>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335" w:type="dxa"/>
            <w:vAlign w:val="center"/>
          </w:tcPr>
          <w:p>
            <w:pPr>
              <w:pStyle w:val="39"/>
              <w:spacing w:beforeLines="0" w:afterLines="0" w:line="240" w:lineRule="auto"/>
              <w:ind w:right="113" w:rightChars="0"/>
              <w:rPr>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588" w:type="dxa"/>
            <w:vMerge w:val="restart"/>
            <w:vAlign w:val="center"/>
          </w:tcPr>
          <w:p>
            <w:pPr>
              <w:pStyle w:val="39"/>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一般工业</w:t>
            </w:r>
          </w:p>
          <w:p>
            <w:pPr>
              <w:pStyle w:val="39"/>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固体废物</w:t>
            </w:r>
          </w:p>
        </w:tc>
        <w:tc>
          <w:tcPr>
            <w:tcW w:w="1417" w:type="dxa"/>
            <w:vAlign w:val="center"/>
          </w:tcPr>
          <w:p>
            <w:pPr>
              <w:jc w:val="center"/>
              <w:outlineLvl w:val="0"/>
              <w:rPr>
                <w:snapToGrid w:val="0"/>
                <w:color w:val="000000" w:themeColor="text1"/>
                <w:kern w:val="2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废边角料</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276"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559"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hint="eastAsia" w:ascii="Times New Roman"/>
                <w:snapToGrid w:val="0"/>
                <w:color w:val="000000" w:themeColor="text1"/>
                <w:kern w:val="21"/>
                <w:sz w:val="24"/>
                <w:szCs w:val="24"/>
                <w14:textFill>
                  <w14:solidFill>
                    <w14:schemeClr w14:val="tx1"/>
                  </w14:solidFill>
                </w14:textFill>
              </w:rPr>
              <w:t>4</w:t>
            </w:r>
          </w:p>
        </w:tc>
        <w:tc>
          <w:tcPr>
            <w:tcW w:w="1538"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673" w:type="dxa"/>
            <w:vAlign w:val="center"/>
          </w:tcPr>
          <w:p>
            <w:pPr>
              <w:pStyle w:val="39"/>
              <w:spacing w:beforeLines="0" w:afterLines="0" w:line="240" w:lineRule="auto"/>
              <w:ind w:right="113" w:rightChars="0"/>
              <w:rPr>
                <w:rFonts w:ascii="Times New Roman"/>
                <w:snapToGrid w:val="0"/>
                <w:color w:val="000000" w:themeColor="text1"/>
                <w:kern w:val="21"/>
                <w:sz w:val="24"/>
                <w:szCs w:val="24"/>
                <w14:textFill>
                  <w14:solidFill>
                    <w14:schemeClr w14:val="tx1"/>
                  </w14:solidFill>
                </w14:textFill>
              </w:rPr>
            </w:pPr>
            <w:r>
              <w:rPr>
                <w:rFonts w:hint="eastAsia" w:ascii="Times New Roman"/>
                <w:snapToGrid w:val="0"/>
                <w:color w:val="000000" w:themeColor="text1"/>
                <w:kern w:val="21"/>
                <w:sz w:val="24"/>
                <w:szCs w:val="24"/>
                <w14:textFill>
                  <w14:solidFill>
                    <w14:schemeClr w14:val="tx1"/>
                  </w14:solidFill>
                </w14:textFill>
              </w:rPr>
              <w:t>4</w:t>
            </w:r>
          </w:p>
        </w:tc>
        <w:tc>
          <w:tcPr>
            <w:tcW w:w="1335" w:type="dxa"/>
            <w:vAlign w:val="center"/>
          </w:tcPr>
          <w:p>
            <w:pPr>
              <w:pStyle w:val="39"/>
              <w:spacing w:beforeLines="0" w:afterLines="0" w:line="240" w:lineRule="auto"/>
              <w:ind w:right="113" w:rightChars="0"/>
              <w:rPr>
                <w:rFonts w:ascii="Times New Roman"/>
                <w:snapToGrid w:val="0"/>
                <w:color w:val="000000" w:themeColor="text1"/>
                <w:kern w:val="2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r>
              <w:rPr>
                <w:rFonts w:hint="eastAsia" w:ascii="Times New Roman"/>
                <w:snapToGrid w:val="0"/>
                <w:color w:val="000000" w:themeColor="text1"/>
                <w:kern w:val="21"/>
                <w:sz w:val="24"/>
                <w:szCs w:val="24"/>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588" w:type="dxa"/>
            <w:vMerge w:val="continue"/>
            <w:vAlign w:val="center"/>
          </w:tcPr>
          <w:p>
            <w:pPr>
              <w:pStyle w:val="39"/>
              <w:spacing w:beforeLines="0" w:afterLines="0" w:line="240" w:lineRule="auto"/>
              <w:rPr>
                <w:rFonts w:ascii="Times New Roman"/>
                <w:snapToGrid w:val="0"/>
                <w:color w:val="000000"/>
                <w:kern w:val="21"/>
                <w:sz w:val="24"/>
                <w:szCs w:val="24"/>
              </w:rPr>
            </w:pPr>
          </w:p>
        </w:tc>
        <w:tc>
          <w:tcPr>
            <w:tcW w:w="1417" w:type="dxa"/>
            <w:vAlign w:val="center"/>
          </w:tcPr>
          <w:p>
            <w:pPr>
              <w:jc w:val="center"/>
              <w:outlineLvl w:val="0"/>
              <w:rPr>
                <w:rFonts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14:textFill>
                  <w14:solidFill>
                    <w14:schemeClr w14:val="tx1"/>
                  </w14:solidFill>
                </w14:textFill>
              </w:rPr>
              <w:t>废钢筋边角料</w:t>
            </w:r>
          </w:p>
        </w:tc>
        <w:tc>
          <w:tcPr>
            <w:tcW w:w="1701" w:type="dxa"/>
            <w:vAlign w:val="center"/>
          </w:tcPr>
          <w:p>
            <w:pPr>
              <w:jc w:val="center"/>
              <w:outlineLvl w:val="0"/>
              <w:rPr>
                <w:rFonts w:ascii="宋体" w:hAnsi="宋体" w:eastAsia="宋体" w:cs="宋体"/>
                <w:color w:val="000000" w:themeColor="text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276" w:type="dxa"/>
            <w:vAlign w:val="center"/>
          </w:tcPr>
          <w:p>
            <w:pPr>
              <w:spacing w:beforeLines="0" w:afterLines="0" w:line="240" w:lineRule="auto"/>
              <w:jc w:val="center"/>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701" w:type="dxa"/>
            <w:vAlign w:val="center"/>
          </w:tcPr>
          <w:p>
            <w:pPr>
              <w:spacing w:beforeLines="0" w:afterLines="0" w:line="240" w:lineRule="auto"/>
              <w:jc w:val="center"/>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559" w:type="dxa"/>
            <w:vAlign w:val="center"/>
          </w:tcPr>
          <w:p>
            <w:pPr>
              <w:pStyle w:val="39"/>
              <w:spacing w:beforeLines="0" w:afterLines="0" w:line="240" w:lineRule="auto"/>
              <w:rPr>
                <w:rFonts w:hint="eastAsia" w:ascii="Times New Roman" w:eastAsia="宋体"/>
                <w:snapToGrid w:val="0"/>
                <w:color w:val="000000" w:themeColor="text1"/>
                <w:kern w:val="21"/>
                <w:sz w:val="24"/>
                <w:szCs w:val="24"/>
                <w:lang w:val="en-US" w:eastAsia="zh-CN"/>
                <w14:textFill>
                  <w14:solidFill>
                    <w14:schemeClr w14:val="tx1"/>
                  </w14:solidFill>
                </w14:textFill>
              </w:rPr>
            </w:pPr>
            <w:r>
              <w:rPr>
                <w:rFonts w:hint="eastAsia" w:ascii="Times New Roman"/>
                <w:snapToGrid w:val="0"/>
                <w:color w:val="000000" w:themeColor="text1"/>
                <w:kern w:val="21"/>
                <w:sz w:val="24"/>
                <w:szCs w:val="24"/>
                <w:lang w:val="en-US" w:eastAsia="zh-CN"/>
                <w14:textFill>
                  <w14:solidFill>
                    <w14:schemeClr w14:val="tx1"/>
                  </w14:solidFill>
                </w14:textFill>
              </w:rPr>
              <w:t>1</w:t>
            </w:r>
          </w:p>
        </w:tc>
        <w:tc>
          <w:tcPr>
            <w:tcW w:w="1538"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673" w:type="dxa"/>
            <w:vAlign w:val="center"/>
          </w:tcPr>
          <w:p>
            <w:pPr>
              <w:pStyle w:val="39"/>
              <w:spacing w:beforeLines="0" w:afterLines="0" w:line="240" w:lineRule="auto"/>
              <w:ind w:right="113" w:rightChars="0"/>
              <w:rPr>
                <w:rFonts w:hint="eastAsia" w:ascii="Times New Roman" w:eastAsia="宋体"/>
                <w:snapToGrid w:val="0"/>
                <w:color w:val="000000" w:themeColor="text1"/>
                <w:kern w:val="21"/>
                <w:sz w:val="24"/>
                <w:szCs w:val="24"/>
                <w:lang w:val="en-US" w:eastAsia="zh-CN"/>
                <w14:textFill>
                  <w14:solidFill>
                    <w14:schemeClr w14:val="tx1"/>
                  </w14:solidFill>
                </w14:textFill>
              </w:rPr>
            </w:pPr>
            <w:r>
              <w:rPr>
                <w:rFonts w:hint="eastAsia" w:ascii="Times New Roman"/>
                <w:snapToGrid w:val="0"/>
                <w:color w:val="000000" w:themeColor="text1"/>
                <w:kern w:val="21"/>
                <w:sz w:val="24"/>
                <w:szCs w:val="24"/>
                <w:lang w:val="en-US" w:eastAsia="zh-CN"/>
                <w14:textFill>
                  <w14:solidFill>
                    <w14:schemeClr w14:val="tx1"/>
                  </w14:solidFill>
                </w14:textFill>
              </w:rPr>
              <w:t>1</w:t>
            </w:r>
          </w:p>
        </w:tc>
        <w:tc>
          <w:tcPr>
            <w:tcW w:w="1335" w:type="dxa"/>
            <w:vAlign w:val="center"/>
          </w:tcPr>
          <w:p>
            <w:pPr>
              <w:pStyle w:val="39"/>
              <w:spacing w:beforeLines="0" w:afterLines="0" w:line="240" w:lineRule="auto"/>
              <w:ind w:right="113" w:rightChars="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r>
              <w:rPr>
                <w:rFonts w:hint="eastAsia" w:ascii="Times New Roman"/>
                <w:snapToGrid w:val="0"/>
                <w:color w:val="000000" w:themeColor="text1"/>
                <w:kern w:val="21"/>
                <w:sz w:val="24"/>
                <w:szCs w:val="24"/>
                <w:lang w:val="en-US" w:eastAsia="zh-CN"/>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39"/>
              <w:spacing w:beforeLines="0" w:afterLines="0" w:line="240" w:lineRule="auto"/>
              <w:rPr>
                <w:rFonts w:ascii="Times New Roman"/>
                <w:snapToGrid w:val="0"/>
                <w:color w:val="000000"/>
                <w:kern w:val="21"/>
                <w:sz w:val="24"/>
                <w:szCs w:val="24"/>
              </w:rPr>
            </w:pPr>
          </w:p>
        </w:tc>
        <w:tc>
          <w:tcPr>
            <w:tcW w:w="1417" w:type="dxa"/>
            <w:vAlign w:val="center"/>
          </w:tcPr>
          <w:p>
            <w:pPr>
              <w:jc w:val="center"/>
              <w:outlineLvl w:val="0"/>
              <w:rPr>
                <w:rFonts w:ascii="宋体" w:hAnsi="宋体" w:cs="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除尘器收集粉尘</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276"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559" w:type="dxa"/>
            <w:vAlign w:val="center"/>
          </w:tcPr>
          <w:p>
            <w:pPr>
              <w:pStyle w:val="39"/>
              <w:spacing w:beforeLines="0" w:afterLines="0" w:line="240" w:lineRule="auto"/>
              <w:rPr>
                <w:rFonts w:hint="default" w:ascii="Times New Roman" w:eastAsia="宋体"/>
                <w:snapToGrid w:val="0"/>
                <w:color w:val="000000" w:themeColor="text1"/>
                <w:kern w:val="21"/>
                <w:sz w:val="24"/>
                <w:szCs w:val="24"/>
                <w:lang w:val="en-US" w:eastAsia="zh-CN"/>
                <w14:textFill>
                  <w14:solidFill>
                    <w14:schemeClr w14:val="tx1"/>
                  </w14:solidFill>
                </w14:textFill>
              </w:rPr>
            </w:pPr>
            <w:r>
              <w:rPr>
                <w:rFonts w:hint="eastAsia" w:ascii="Times New Roman"/>
                <w:snapToGrid w:val="0"/>
                <w:color w:val="000000" w:themeColor="text1"/>
                <w:kern w:val="21"/>
                <w:sz w:val="24"/>
                <w:szCs w:val="24"/>
                <w:lang w:val="en-US" w:eastAsia="zh-CN"/>
                <w14:textFill>
                  <w14:solidFill>
                    <w14:schemeClr w14:val="tx1"/>
                  </w14:solidFill>
                </w14:textFill>
              </w:rPr>
              <w:t>2.26</w:t>
            </w:r>
          </w:p>
        </w:tc>
        <w:tc>
          <w:tcPr>
            <w:tcW w:w="1538"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673" w:type="dxa"/>
            <w:vAlign w:val="center"/>
          </w:tcPr>
          <w:p>
            <w:pPr>
              <w:pStyle w:val="39"/>
              <w:spacing w:beforeLines="0" w:afterLines="0" w:line="240" w:lineRule="auto"/>
              <w:ind w:right="113" w:rightChars="0"/>
              <w:rPr>
                <w:rFonts w:ascii="Times New Roman"/>
                <w:snapToGrid w:val="0"/>
                <w:color w:val="000000" w:themeColor="text1"/>
                <w:kern w:val="21"/>
                <w:sz w:val="24"/>
                <w:szCs w:val="24"/>
                <w14:textFill>
                  <w14:solidFill>
                    <w14:schemeClr w14:val="tx1"/>
                  </w14:solidFill>
                </w14:textFill>
              </w:rPr>
            </w:pPr>
            <w:r>
              <w:rPr>
                <w:rFonts w:hint="eastAsia" w:ascii="Times New Roman"/>
                <w:snapToGrid w:val="0"/>
                <w:color w:val="000000" w:themeColor="text1"/>
                <w:kern w:val="21"/>
                <w:sz w:val="24"/>
                <w:szCs w:val="24"/>
                <w:lang w:val="en-US" w:eastAsia="zh-CN"/>
                <w14:textFill>
                  <w14:solidFill>
                    <w14:schemeClr w14:val="tx1"/>
                  </w14:solidFill>
                </w14:textFill>
              </w:rPr>
              <w:t>2.26</w:t>
            </w:r>
          </w:p>
        </w:tc>
        <w:tc>
          <w:tcPr>
            <w:tcW w:w="1335" w:type="dxa"/>
            <w:vAlign w:val="center"/>
          </w:tcPr>
          <w:p>
            <w:pPr>
              <w:pStyle w:val="39"/>
              <w:spacing w:beforeLines="0" w:afterLines="0" w:line="240" w:lineRule="auto"/>
              <w:ind w:right="113" w:rightChars="0"/>
              <w:rPr>
                <w:rFonts w:ascii="Times New Roman"/>
                <w:snapToGrid w:val="0"/>
                <w:color w:val="000000" w:themeColor="text1"/>
                <w:kern w:val="2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r>
              <w:rPr>
                <w:rFonts w:hint="eastAsia" w:ascii="Times New Roman"/>
                <w:snapToGrid w:val="0"/>
                <w:color w:val="000000" w:themeColor="text1"/>
                <w:kern w:val="21"/>
                <w:sz w:val="24"/>
                <w:szCs w:val="24"/>
                <w:lang w:val="en-US" w:eastAsia="zh-CN"/>
                <w14:textFill>
                  <w14:solidFill>
                    <w14:schemeClr w14:val="tx1"/>
                  </w14:solidFill>
                </w14:textFill>
              </w:rPr>
              <w:t>2.26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588" w:type="dxa"/>
            <w:vMerge w:val="restart"/>
            <w:vAlign w:val="center"/>
          </w:tcPr>
          <w:p>
            <w:pPr>
              <w:pStyle w:val="39"/>
              <w:spacing w:beforeLines="0" w:afterLines="0" w:line="240" w:lineRule="auto"/>
              <w:rPr>
                <w:rFonts w:ascii="Times New Roman"/>
                <w:snapToGrid w:val="0"/>
                <w:color w:val="000000"/>
                <w:kern w:val="21"/>
                <w:sz w:val="24"/>
                <w:szCs w:val="24"/>
              </w:rPr>
            </w:pPr>
            <w:r>
              <w:rPr>
                <w:rFonts w:ascii="Times New Roman"/>
                <w:snapToGrid w:val="0"/>
                <w:color w:val="000000"/>
                <w:kern w:val="21"/>
                <w:sz w:val="24"/>
                <w:szCs w:val="24"/>
              </w:rPr>
              <w:t>危险废物</w:t>
            </w:r>
          </w:p>
        </w:tc>
        <w:tc>
          <w:tcPr>
            <w:tcW w:w="1417" w:type="dxa"/>
            <w:vAlign w:val="center"/>
          </w:tcPr>
          <w:p>
            <w:pPr>
              <w:jc w:val="center"/>
              <w:outlineLvl w:val="0"/>
              <w:rPr>
                <w:snapToGrid w:val="0"/>
                <w:color w:val="000000" w:themeColor="text1"/>
                <w:kern w:val="2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废过滤棉</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276"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559" w:type="dxa"/>
            <w:vAlign w:val="center"/>
          </w:tcPr>
          <w:p>
            <w:pPr>
              <w:jc w:val="center"/>
              <w:outlineLvl w:val="0"/>
              <w:rPr>
                <w:rFonts w:hint="default" w:eastAsia="宋体"/>
                <w:snapToGrid w:val="0"/>
                <w:color w:val="000000" w:themeColor="text1"/>
                <w:kern w:val="21"/>
                <w:sz w:val="24"/>
                <w:szCs w:val="24"/>
                <w:lang w:val="en-US" w:eastAsia="zh-CN"/>
                <w14:textFill>
                  <w14:solidFill>
                    <w14:schemeClr w14:val="tx1"/>
                  </w14:solidFill>
                </w14:textFill>
              </w:rPr>
            </w:pPr>
            <w:r>
              <w:rPr>
                <w:rFonts w:hint="eastAsia"/>
                <w:color w:val="000000" w:themeColor="text1"/>
                <w:sz w:val="24"/>
                <w:szCs w:val="24"/>
                <w:lang w:bidi="ar"/>
                <w14:textFill>
                  <w14:solidFill>
                    <w14:schemeClr w14:val="tx1"/>
                  </w14:solidFill>
                </w14:textFill>
              </w:rPr>
              <w:t>0.</w:t>
            </w:r>
            <w:r>
              <w:rPr>
                <w:rFonts w:hint="eastAsia"/>
                <w:color w:val="000000" w:themeColor="text1"/>
                <w:sz w:val="24"/>
                <w:szCs w:val="24"/>
                <w:lang w:val="en-US" w:eastAsia="zh-CN" w:bidi="ar"/>
                <w14:textFill>
                  <w14:solidFill>
                    <w14:schemeClr w14:val="tx1"/>
                  </w14:solidFill>
                </w14:textFill>
              </w:rPr>
              <w:t>453</w:t>
            </w:r>
          </w:p>
        </w:tc>
        <w:tc>
          <w:tcPr>
            <w:tcW w:w="1538"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673" w:type="dxa"/>
            <w:vAlign w:val="center"/>
          </w:tcPr>
          <w:p>
            <w:pPr>
              <w:jc w:val="center"/>
              <w:outlineLvl w:val="0"/>
              <w:rPr>
                <w:snapToGrid w:val="0"/>
                <w:color w:val="000000" w:themeColor="text1"/>
                <w:kern w:val="21"/>
                <w:sz w:val="24"/>
                <w:szCs w:val="24"/>
                <w14:textFill>
                  <w14:solidFill>
                    <w14:schemeClr w14:val="tx1"/>
                  </w14:solidFill>
                </w14:textFill>
              </w:rPr>
            </w:pPr>
            <w:r>
              <w:rPr>
                <w:rFonts w:hint="eastAsia"/>
                <w:color w:val="000000" w:themeColor="text1"/>
                <w:sz w:val="24"/>
                <w:szCs w:val="24"/>
                <w:lang w:bidi="ar"/>
                <w14:textFill>
                  <w14:solidFill>
                    <w14:schemeClr w14:val="tx1"/>
                  </w14:solidFill>
                </w14:textFill>
              </w:rPr>
              <w:t>0.</w:t>
            </w:r>
            <w:r>
              <w:rPr>
                <w:rFonts w:hint="eastAsia"/>
                <w:color w:val="000000" w:themeColor="text1"/>
                <w:sz w:val="24"/>
                <w:szCs w:val="24"/>
                <w:lang w:val="en-US" w:eastAsia="zh-CN" w:bidi="ar"/>
                <w14:textFill>
                  <w14:solidFill>
                    <w14:schemeClr w14:val="tx1"/>
                  </w14:solidFill>
                </w14:textFill>
              </w:rPr>
              <w:t>453</w:t>
            </w:r>
          </w:p>
        </w:tc>
        <w:tc>
          <w:tcPr>
            <w:tcW w:w="1335" w:type="dxa"/>
            <w:vAlign w:val="center"/>
          </w:tcPr>
          <w:p>
            <w:pPr>
              <w:jc w:val="center"/>
              <w:outlineLvl w:val="0"/>
              <w:rPr>
                <w:snapToGrid w:val="0"/>
                <w:color w:val="000000" w:themeColor="text1"/>
                <w:kern w:val="2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lang w:bidi="ar"/>
                <w14:textFill>
                  <w14:solidFill>
                    <w14:schemeClr w14:val="tx1"/>
                  </w14:solidFill>
                </w14:textFill>
              </w:rPr>
              <w:t>0.</w:t>
            </w:r>
            <w:r>
              <w:rPr>
                <w:rFonts w:hint="eastAsia"/>
                <w:color w:val="000000" w:themeColor="text1"/>
                <w:sz w:val="24"/>
                <w:szCs w:val="24"/>
                <w:lang w:val="en-US" w:eastAsia="zh-CN" w:bidi="ar"/>
                <w14:textFill>
                  <w14:solidFill>
                    <w14:schemeClr w14:val="tx1"/>
                  </w14:solidFill>
                </w14:textFill>
              </w:rPr>
              <w:t>453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588" w:type="dxa"/>
            <w:vMerge w:val="continue"/>
            <w:vAlign w:val="center"/>
          </w:tcPr>
          <w:p>
            <w:pPr>
              <w:pStyle w:val="39"/>
              <w:spacing w:beforeLines="0" w:afterLines="0" w:line="240" w:lineRule="auto"/>
              <w:rPr>
                <w:rFonts w:ascii="Times New Roman"/>
                <w:snapToGrid w:val="0"/>
                <w:color w:val="000000"/>
                <w:kern w:val="21"/>
                <w:sz w:val="24"/>
                <w:szCs w:val="24"/>
              </w:rPr>
            </w:pPr>
          </w:p>
        </w:tc>
        <w:tc>
          <w:tcPr>
            <w:tcW w:w="1417" w:type="dxa"/>
            <w:vAlign w:val="center"/>
          </w:tcPr>
          <w:p>
            <w:pPr>
              <w:jc w:val="center"/>
              <w:outlineLvl w:val="0"/>
              <w:rPr>
                <w:snapToGrid w:val="0"/>
                <w:color w:val="000000" w:themeColor="text1"/>
                <w:kern w:val="2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废活性炭</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276"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701"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559" w:type="dxa"/>
            <w:vAlign w:val="center"/>
          </w:tcPr>
          <w:p>
            <w:pPr>
              <w:jc w:val="center"/>
              <w:outlineLvl w:val="0"/>
              <w:rPr>
                <w:rFonts w:hint="default" w:eastAsia="宋体"/>
                <w:snapToGrid w:val="0"/>
                <w:color w:val="000000" w:themeColor="text1"/>
                <w:kern w:val="21"/>
                <w:sz w:val="24"/>
                <w:szCs w:val="24"/>
                <w:lang w:val="en-US" w:eastAsia="zh-CN"/>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2.81</w:t>
            </w:r>
          </w:p>
        </w:tc>
        <w:tc>
          <w:tcPr>
            <w:tcW w:w="1538" w:type="dxa"/>
            <w:vAlign w:val="center"/>
          </w:tcPr>
          <w:p>
            <w:pPr>
              <w:pStyle w:val="39"/>
              <w:spacing w:beforeLines="0" w:afterLines="0" w:line="240" w:lineRule="auto"/>
              <w:rPr>
                <w:rFonts w:ascii="Times New Roman"/>
                <w:snapToGrid w:val="0"/>
                <w:color w:val="000000" w:themeColor="text1"/>
                <w:kern w:val="21"/>
                <w:sz w:val="24"/>
                <w:szCs w:val="24"/>
                <w14:textFill>
                  <w14:solidFill>
                    <w14:schemeClr w14:val="tx1"/>
                  </w14:solidFill>
                </w14:textFill>
              </w:rPr>
            </w:pPr>
            <w:r>
              <w:rPr>
                <w:rFonts w:ascii="Times New Roman"/>
                <w:snapToGrid w:val="0"/>
                <w:color w:val="000000" w:themeColor="text1"/>
                <w:kern w:val="21"/>
                <w:sz w:val="24"/>
                <w:szCs w:val="24"/>
                <w14:textFill>
                  <w14:solidFill>
                    <w14:schemeClr w14:val="tx1"/>
                  </w14:solidFill>
                </w14:textFill>
              </w:rPr>
              <w:t>/</w:t>
            </w:r>
          </w:p>
        </w:tc>
        <w:tc>
          <w:tcPr>
            <w:tcW w:w="1673" w:type="dxa"/>
            <w:vAlign w:val="center"/>
          </w:tcPr>
          <w:p>
            <w:pPr>
              <w:jc w:val="center"/>
              <w:outlineLvl w:val="0"/>
              <w:rPr>
                <w:snapToGrid w:val="0"/>
                <w:color w:val="000000" w:themeColor="text1"/>
                <w:kern w:val="21"/>
                <w:sz w:val="24"/>
                <w:szCs w:val="24"/>
                <w14:textFill>
                  <w14:solidFill>
                    <w14:schemeClr w14:val="tx1"/>
                  </w14:solidFill>
                </w14:textFill>
              </w:rPr>
            </w:pPr>
            <w:r>
              <w:rPr>
                <w:rFonts w:hint="eastAsia"/>
                <w:bCs/>
                <w:color w:val="000000" w:themeColor="text1"/>
                <w:sz w:val="24"/>
                <w:szCs w:val="24"/>
                <w:lang w:val="en-US" w:eastAsia="zh-CN"/>
                <w14:textFill>
                  <w14:solidFill>
                    <w14:schemeClr w14:val="tx1"/>
                  </w14:solidFill>
                </w14:textFill>
              </w:rPr>
              <w:t>2.81</w:t>
            </w:r>
          </w:p>
        </w:tc>
        <w:tc>
          <w:tcPr>
            <w:tcW w:w="1335" w:type="dxa"/>
            <w:vAlign w:val="center"/>
          </w:tcPr>
          <w:p>
            <w:pPr>
              <w:jc w:val="center"/>
              <w:outlineLvl w:val="0"/>
              <w:rPr>
                <w:snapToGrid w:val="0"/>
                <w:color w:val="000000" w:themeColor="text1"/>
                <w:kern w:val="2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r>
              <w:rPr>
                <w:rFonts w:hint="eastAsia"/>
                <w:bCs/>
                <w:color w:val="000000" w:themeColor="text1"/>
                <w:sz w:val="24"/>
                <w:szCs w:val="24"/>
                <w:lang w:val="en-US" w:eastAsia="zh-CN"/>
                <w14:textFill>
                  <w14:solidFill>
                    <w14:schemeClr w14:val="tx1"/>
                  </w14:solidFill>
                </w14:textFill>
              </w:rPr>
              <w:t>2.81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588" w:type="dxa"/>
            <w:vMerge w:val="continue"/>
            <w:vAlign w:val="center"/>
          </w:tcPr>
          <w:p>
            <w:pPr>
              <w:pStyle w:val="39"/>
              <w:spacing w:beforeLines="0" w:afterLines="0" w:line="240" w:lineRule="auto"/>
              <w:rPr>
                <w:rFonts w:ascii="Times New Roman"/>
                <w:snapToGrid w:val="0"/>
                <w:color w:val="000000"/>
                <w:kern w:val="21"/>
                <w:szCs w:val="21"/>
              </w:rPr>
            </w:pPr>
          </w:p>
        </w:tc>
        <w:tc>
          <w:tcPr>
            <w:tcW w:w="1417" w:type="dxa"/>
            <w:vAlign w:val="center"/>
          </w:tcPr>
          <w:p>
            <w:pPr>
              <w:jc w:val="center"/>
              <w:rPr>
                <w:color w:val="000000" w:themeColor="text1"/>
                <w:sz w:val="24"/>
                <w:szCs w:val="24"/>
                <w14:textFill>
                  <w14:solidFill>
                    <w14:schemeClr w14:val="tx1"/>
                  </w14:solidFill>
                </w14:textFill>
              </w:rPr>
            </w:pPr>
            <w:r>
              <w:rPr>
                <w:sz w:val="24"/>
                <w:szCs w:val="24"/>
                <w:lang w:bidi="ar"/>
              </w:rPr>
              <w:t>废包装桶</w:t>
            </w:r>
          </w:p>
        </w:tc>
        <w:tc>
          <w:tcPr>
            <w:tcW w:w="1701" w:type="dxa"/>
            <w:vAlign w:val="center"/>
          </w:tcPr>
          <w:p>
            <w:pPr>
              <w:jc w:val="center"/>
              <w:rPr>
                <w:snapToGrid w:val="0"/>
                <w:color w:val="000000" w:themeColor="text1"/>
                <w:kern w:val="21"/>
                <w:sz w:val="24"/>
                <w:szCs w:val="24"/>
                <w14:textFill>
                  <w14:solidFill>
                    <w14:schemeClr w14:val="tx1"/>
                  </w14:solidFill>
                </w14:textFill>
              </w:rPr>
            </w:pPr>
            <w:r>
              <w:rPr>
                <w:snapToGrid w:val="0"/>
                <w:color w:val="000000" w:themeColor="text1"/>
                <w:kern w:val="21"/>
                <w:sz w:val="24"/>
                <w:szCs w:val="24"/>
                <w14:textFill>
                  <w14:solidFill>
                    <w14:schemeClr w14:val="tx1"/>
                  </w14:solidFill>
                </w14:textFill>
              </w:rPr>
              <w:t>/</w:t>
            </w:r>
          </w:p>
        </w:tc>
        <w:tc>
          <w:tcPr>
            <w:tcW w:w="1276" w:type="dxa"/>
            <w:vAlign w:val="center"/>
          </w:tcPr>
          <w:p>
            <w:pPr>
              <w:jc w:val="center"/>
              <w:rPr>
                <w:snapToGrid w:val="0"/>
                <w:color w:val="000000" w:themeColor="text1"/>
                <w:kern w:val="21"/>
                <w:sz w:val="24"/>
                <w:szCs w:val="24"/>
                <w14:textFill>
                  <w14:solidFill>
                    <w14:schemeClr w14:val="tx1"/>
                  </w14:solidFill>
                </w14:textFill>
              </w:rPr>
            </w:pPr>
            <w:r>
              <w:rPr>
                <w:snapToGrid w:val="0"/>
                <w:color w:val="000000" w:themeColor="text1"/>
                <w:kern w:val="21"/>
                <w:sz w:val="24"/>
                <w:szCs w:val="24"/>
                <w14:textFill>
                  <w14:solidFill>
                    <w14:schemeClr w14:val="tx1"/>
                  </w14:solidFill>
                </w14:textFill>
              </w:rPr>
              <w:t>/</w:t>
            </w:r>
          </w:p>
        </w:tc>
        <w:tc>
          <w:tcPr>
            <w:tcW w:w="1701" w:type="dxa"/>
            <w:vAlign w:val="center"/>
          </w:tcPr>
          <w:p>
            <w:pPr>
              <w:jc w:val="center"/>
              <w:rPr>
                <w:snapToGrid w:val="0"/>
                <w:color w:val="000000" w:themeColor="text1"/>
                <w:kern w:val="21"/>
                <w:sz w:val="24"/>
                <w:szCs w:val="24"/>
                <w14:textFill>
                  <w14:solidFill>
                    <w14:schemeClr w14:val="tx1"/>
                  </w14:solidFill>
                </w14:textFill>
              </w:rPr>
            </w:pPr>
            <w:r>
              <w:rPr>
                <w:snapToGrid w:val="0"/>
                <w:color w:val="000000" w:themeColor="text1"/>
                <w:kern w:val="21"/>
                <w:sz w:val="24"/>
                <w:szCs w:val="24"/>
                <w14:textFill>
                  <w14:solidFill>
                    <w14:schemeClr w14:val="tx1"/>
                  </w14:solidFill>
                </w14:textFill>
              </w:rPr>
              <w:t>/</w:t>
            </w:r>
          </w:p>
        </w:tc>
        <w:tc>
          <w:tcPr>
            <w:tcW w:w="1559" w:type="dxa"/>
            <w:vAlign w:val="center"/>
          </w:tcPr>
          <w:p>
            <w:pPr>
              <w:jc w:val="center"/>
              <w:outlineLvl w:val="0"/>
              <w:rPr>
                <w:rFonts w:hint="eastAsia"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0.5</w:t>
            </w:r>
          </w:p>
        </w:tc>
        <w:tc>
          <w:tcPr>
            <w:tcW w:w="1538" w:type="dxa"/>
            <w:vAlign w:val="center"/>
          </w:tcPr>
          <w:p>
            <w:pPr>
              <w:jc w:val="center"/>
              <w:outlineLvl w:val="0"/>
              <w:rPr>
                <w:rFonts w:hint="eastAsia"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w:t>
            </w:r>
          </w:p>
        </w:tc>
        <w:tc>
          <w:tcPr>
            <w:tcW w:w="1673" w:type="dxa"/>
            <w:vAlign w:val="center"/>
          </w:tcPr>
          <w:p>
            <w:pPr>
              <w:jc w:val="center"/>
              <w:outlineLvl w:val="0"/>
              <w:rPr>
                <w:rFonts w:hint="eastAsia" w:ascii="Times New Roman" w:hAnsi="Times New Roman" w:eastAsia="宋体" w:cs="Times New Roman"/>
                <w:bCs/>
                <w:color w:val="000000" w:themeColor="text1"/>
                <w:sz w:val="24"/>
                <w:szCs w:val="24"/>
                <w14:textFill>
                  <w14:solidFill>
                    <w14:schemeClr w14:val="tx1"/>
                  </w14:solidFill>
                </w14:textFill>
              </w:rPr>
            </w:pPr>
            <w:r>
              <w:rPr>
                <w:rFonts w:hint="eastAsia" w:ascii="Times New Roman" w:hAnsi="Times New Roman" w:eastAsia="宋体" w:cs="Times New Roman"/>
                <w:bCs/>
                <w:color w:val="000000" w:themeColor="text1"/>
                <w:sz w:val="24"/>
                <w:szCs w:val="24"/>
                <w14:textFill>
                  <w14:solidFill>
                    <w14:schemeClr w14:val="tx1"/>
                  </w14:solidFill>
                </w14:textFill>
              </w:rPr>
              <w:t>0.5</w:t>
            </w:r>
          </w:p>
        </w:tc>
        <w:tc>
          <w:tcPr>
            <w:tcW w:w="1335" w:type="dxa"/>
            <w:vAlign w:val="center"/>
          </w:tcPr>
          <w:p>
            <w:pPr>
              <w:jc w:val="center"/>
              <w:outlineLvl w:val="0"/>
              <w:rPr>
                <w:rFonts w:hint="eastAsia" w:ascii="Times New Roman" w:hAnsi="Times New Roman" w:eastAsia="宋体" w:cs="Times New Roman"/>
                <w:bCs/>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bCs/>
                <w:color w:val="000000" w:themeColor="text1"/>
                <w:sz w:val="24"/>
                <w:szCs w:val="24"/>
                <w14:textFill>
                  <w14:solidFill>
                    <w14:schemeClr w14:val="tx1"/>
                  </w14:solidFill>
                </w14:textFill>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588" w:type="dxa"/>
            <w:vMerge w:val="continue"/>
            <w:vAlign w:val="center"/>
          </w:tcPr>
          <w:p>
            <w:pPr>
              <w:pStyle w:val="39"/>
              <w:spacing w:beforeLines="0" w:afterLines="0" w:line="240" w:lineRule="auto"/>
              <w:rPr>
                <w:rFonts w:ascii="Times New Roman"/>
                <w:snapToGrid w:val="0"/>
                <w:color w:val="000000"/>
                <w:kern w:val="21"/>
                <w:szCs w:val="21"/>
              </w:rPr>
            </w:pPr>
          </w:p>
        </w:tc>
        <w:tc>
          <w:tcPr>
            <w:tcW w:w="1417"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漆渣</w:t>
            </w:r>
          </w:p>
        </w:tc>
        <w:tc>
          <w:tcPr>
            <w:tcW w:w="1701" w:type="dxa"/>
            <w:vAlign w:val="center"/>
          </w:tcPr>
          <w:p>
            <w:pPr>
              <w:jc w:val="center"/>
              <w:rPr>
                <w:snapToGrid w:val="0"/>
                <w:color w:val="000000" w:themeColor="text1"/>
                <w:kern w:val="21"/>
                <w:sz w:val="24"/>
                <w:szCs w:val="24"/>
                <w14:textFill>
                  <w14:solidFill>
                    <w14:schemeClr w14:val="tx1"/>
                  </w14:solidFill>
                </w14:textFill>
              </w:rPr>
            </w:pPr>
            <w:r>
              <w:rPr>
                <w:snapToGrid w:val="0"/>
                <w:color w:val="000000" w:themeColor="text1"/>
                <w:kern w:val="21"/>
                <w:sz w:val="24"/>
                <w:szCs w:val="24"/>
                <w14:textFill>
                  <w14:solidFill>
                    <w14:schemeClr w14:val="tx1"/>
                  </w14:solidFill>
                </w14:textFill>
              </w:rPr>
              <w:t>/</w:t>
            </w:r>
          </w:p>
        </w:tc>
        <w:tc>
          <w:tcPr>
            <w:tcW w:w="1276" w:type="dxa"/>
            <w:vAlign w:val="center"/>
          </w:tcPr>
          <w:p>
            <w:pPr>
              <w:jc w:val="center"/>
              <w:rPr>
                <w:snapToGrid w:val="0"/>
                <w:color w:val="000000" w:themeColor="text1"/>
                <w:kern w:val="21"/>
                <w:sz w:val="24"/>
                <w:szCs w:val="24"/>
                <w14:textFill>
                  <w14:solidFill>
                    <w14:schemeClr w14:val="tx1"/>
                  </w14:solidFill>
                </w14:textFill>
              </w:rPr>
            </w:pPr>
            <w:r>
              <w:rPr>
                <w:snapToGrid w:val="0"/>
                <w:color w:val="000000" w:themeColor="text1"/>
                <w:kern w:val="21"/>
                <w:sz w:val="24"/>
                <w:szCs w:val="24"/>
                <w14:textFill>
                  <w14:solidFill>
                    <w14:schemeClr w14:val="tx1"/>
                  </w14:solidFill>
                </w14:textFill>
              </w:rPr>
              <w:t>/</w:t>
            </w:r>
          </w:p>
        </w:tc>
        <w:tc>
          <w:tcPr>
            <w:tcW w:w="1701" w:type="dxa"/>
            <w:vAlign w:val="center"/>
          </w:tcPr>
          <w:p>
            <w:pPr>
              <w:jc w:val="center"/>
              <w:rPr>
                <w:snapToGrid w:val="0"/>
                <w:color w:val="000000" w:themeColor="text1"/>
                <w:kern w:val="21"/>
                <w:sz w:val="24"/>
                <w:szCs w:val="24"/>
                <w14:textFill>
                  <w14:solidFill>
                    <w14:schemeClr w14:val="tx1"/>
                  </w14:solidFill>
                </w14:textFill>
              </w:rPr>
            </w:pPr>
            <w:r>
              <w:rPr>
                <w:snapToGrid w:val="0"/>
                <w:color w:val="000000" w:themeColor="text1"/>
                <w:kern w:val="21"/>
                <w:sz w:val="24"/>
                <w:szCs w:val="24"/>
                <w14:textFill>
                  <w14:solidFill>
                    <w14:schemeClr w14:val="tx1"/>
                  </w14:solidFill>
                </w14:textFill>
              </w:rPr>
              <w:t>/</w:t>
            </w:r>
          </w:p>
        </w:tc>
        <w:tc>
          <w:tcPr>
            <w:tcW w:w="1559" w:type="dxa"/>
            <w:vAlign w:val="center"/>
          </w:tcPr>
          <w:p>
            <w:pPr>
              <w:jc w:val="center"/>
              <w:outlineLvl w:val="0"/>
              <w:rPr>
                <w:color w:val="FF0000"/>
                <w:kern w:val="0"/>
                <w:sz w:val="24"/>
                <w:szCs w:val="24"/>
              </w:rPr>
            </w:pPr>
            <w:r>
              <w:rPr>
                <w:rFonts w:hint="eastAsia"/>
                <w:bCs/>
                <w:sz w:val="24"/>
                <w:szCs w:val="24"/>
              </w:rPr>
              <w:t>0.07</w:t>
            </w:r>
          </w:p>
        </w:tc>
        <w:tc>
          <w:tcPr>
            <w:tcW w:w="1538" w:type="dxa"/>
            <w:vAlign w:val="center"/>
          </w:tcPr>
          <w:p>
            <w:pPr>
              <w:jc w:val="center"/>
              <w:rPr>
                <w:snapToGrid w:val="0"/>
                <w:color w:val="FF0000"/>
                <w:kern w:val="21"/>
                <w:sz w:val="24"/>
                <w:szCs w:val="24"/>
              </w:rPr>
            </w:pPr>
            <w:r>
              <w:rPr>
                <w:rFonts w:hint="eastAsia" w:ascii="Times New Roman" w:hAnsi="Times New Roman" w:eastAsia="宋体" w:cs="Times New Roman"/>
                <w:bCs/>
                <w:color w:val="000000" w:themeColor="text1"/>
                <w:sz w:val="24"/>
                <w:szCs w:val="24"/>
                <w14:textFill>
                  <w14:solidFill>
                    <w14:schemeClr w14:val="tx1"/>
                  </w14:solidFill>
                </w14:textFill>
              </w:rPr>
              <w:t>/</w:t>
            </w:r>
          </w:p>
        </w:tc>
        <w:tc>
          <w:tcPr>
            <w:tcW w:w="1673" w:type="dxa"/>
            <w:vAlign w:val="center"/>
          </w:tcPr>
          <w:p>
            <w:pPr>
              <w:jc w:val="center"/>
              <w:outlineLvl w:val="0"/>
              <w:rPr>
                <w:color w:val="FF0000"/>
                <w:kern w:val="0"/>
                <w:sz w:val="24"/>
                <w:szCs w:val="24"/>
              </w:rPr>
            </w:pPr>
            <w:r>
              <w:rPr>
                <w:rFonts w:hint="eastAsia"/>
                <w:bCs/>
                <w:sz w:val="24"/>
                <w:szCs w:val="24"/>
              </w:rPr>
              <w:t>0.07</w:t>
            </w:r>
          </w:p>
        </w:tc>
        <w:tc>
          <w:tcPr>
            <w:tcW w:w="1335" w:type="dxa"/>
            <w:vAlign w:val="center"/>
          </w:tcPr>
          <w:p>
            <w:pPr>
              <w:jc w:val="center"/>
              <w:outlineLvl w:val="0"/>
              <w:rPr>
                <w:color w:val="FF0000"/>
                <w:kern w:val="0"/>
                <w:sz w:val="24"/>
                <w:szCs w:val="24"/>
              </w:rPr>
            </w:pPr>
            <w:r>
              <w:rPr>
                <w:rFonts w:hint="eastAsia"/>
                <w:color w:val="000000" w:themeColor="text1"/>
                <w:sz w:val="24"/>
                <w:szCs w:val="24"/>
                <w:lang w:val="en-US" w:eastAsia="zh-CN"/>
                <w14:textFill>
                  <w14:solidFill>
                    <w14:schemeClr w14:val="tx1"/>
                  </w14:solidFill>
                </w14:textFill>
              </w:rPr>
              <w:t>+</w:t>
            </w:r>
            <w:r>
              <w:rPr>
                <w:rFonts w:hint="eastAsia"/>
                <w:bCs/>
                <w:sz w:val="24"/>
                <w:szCs w:val="24"/>
              </w:rPr>
              <w:t>0.07</w:t>
            </w:r>
          </w:p>
        </w:tc>
      </w:tr>
    </w:tbl>
    <w:p>
      <w:pPr>
        <w:pStyle w:val="39"/>
        <w:spacing w:before="192" w:beforeLines="80" w:after="24"/>
        <w:jc w:val="left"/>
        <w:rPr>
          <w:rFonts w:ascii="Times New Roman"/>
          <w:snapToGrid w:val="0"/>
          <w:color w:val="000000"/>
          <w:spacing w:val="-6"/>
          <w:kern w:val="21"/>
          <w:szCs w:val="21"/>
        </w:r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p>
    <w:p>
      <w:pPr>
        <w:sectPr>
          <w:footerReference r:id="rId6" w:type="default"/>
          <w:pgSz w:w="16838" w:h="11906" w:orient="landscape"/>
          <w:pgMar w:top="1701" w:right="1531" w:bottom="1701" w:left="1531" w:header="851" w:footer="851" w:gutter="0"/>
          <w:cols w:space="720" w:num="1"/>
          <w:docGrid w:linePitch="312" w:charSpace="0"/>
        </w:sectPr>
      </w:pPr>
    </w:p>
    <w:p>
      <w:pPr>
        <w:rPr>
          <w:rFonts w:eastAsia="黑体"/>
        </w:rPr>
      </w:pPr>
    </w:p>
    <w:sectPr>
      <w:footerReference r:id="rId7"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gbsnu54">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0"/>
      </w:rPr>
    </w:pPr>
    <w:r>
      <w:fldChar w:fldCharType="begin"/>
    </w:r>
    <w:r>
      <w:rPr>
        <w:rStyle w:val="20"/>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33020</wp:posOffset>
              </wp:positionV>
              <wp:extent cx="194310" cy="193040"/>
              <wp:effectExtent l="0" t="0" r="0" b="0"/>
              <wp:wrapNone/>
              <wp:docPr id="14" name="文本框 2049"/>
              <wp:cNvGraphicFramePr/>
              <a:graphic xmlns:a="http://schemas.openxmlformats.org/drawingml/2006/main">
                <a:graphicData uri="http://schemas.microsoft.com/office/word/2010/wordprocessingShape">
                  <wps:wsp>
                    <wps:cNvSpPr txBox="1"/>
                    <wps:spPr>
                      <a:xfrm>
                        <a:off x="0" y="0"/>
                        <a:ext cx="194310" cy="19304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vert="horz" wrap="square" lIns="0" tIns="0" rIns="0" bIns="0" anchor="t" anchorCtr="0"/>
                  </wps:wsp>
                </a:graphicData>
              </a:graphic>
            </wp:anchor>
          </w:drawing>
        </mc:Choice>
        <mc:Fallback>
          <w:pict>
            <v:shape id="文本框 2049" o:spid="_x0000_s1026" o:spt="202" type="#_x0000_t202" style="position:absolute;left:0pt;margin-top:2.6pt;height:15.2pt;width:15.3pt;mso-position-horizontal:center;mso-position-horizontal-relative:margin;z-index:251659264;mso-width-relative:page;mso-height-relative:page;" filled="f" stroked="f" coordsize="21600,21600" o:gfxdata="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r4DufVAAAABAEAAA8AAAAAAAAAAQAgAAAAIgAAAGRycy9kb3ducmV2LnhtbFBLAQIUABQA&#10;AAAIAIdO4kAXvo3sugEAAE4DAAAOAAAAAAAAAAEAIAAAACQBAABkcnMvZTJvRG9jLnhtbFBLBQYA&#10;AAAABgAGAFkBAABQBQAAAAA=&#10;">
              <v:fill on="f" focussize="0,0"/>
              <v:stroke on="f"/>
              <v:imagedata o:title=""/>
              <o:lock v:ext="edit" aspectratio="f"/>
              <v:textbox inset="0mm,0mm,0mm,0mm">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wps:txbx>
                    <wps:bodyPr wrap="none" lIns="0" tIns="0" rIns="0" bIns="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DkqjBzqAEAAEMDAAAOAAAA&#10;AAAAAAEAIAAAAB4BAABkcnMvZTJvRG9jLnhtbFBLBQYAAAAABgAGAFkBAAA4BQ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29</w:t>
                          </w:r>
                          <w:r>
                            <w:rPr>
                              <w:rFonts w:hint="eastAsia"/>
                            </w:rPr>
                            <w:fldChar w:fldCharType="end"/>
                          </w:r>
                        </w:p>
                      </w:txbxContent>
                    </wps:txbx>
                    <wps:bodyPr wrap="none" lIns="0" tIns="0" rIns="0" bIns="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de36kBAABDAwAADgAAAGRycy9lMm9Eb2MueG1srVLNahsxEL4H+g5C&#10;91prQ4N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nlDhucUaHn0+HX38Ov3+QRfVpniXqA9SYeRcwNw1f/IDpkx/QmZkPKtp8&#10;IyeCcRR7fxJYDomI/Gm5WC4rDAmMTQ/EZy/fQ4T0VXpLstHQiBMswvLdDaRj6pSSqzl/pY0pUzTu&#10;LwdiZg/LvR97zFYaNsNIaOPbPfLpcfgNdbidlJhrh9rmPZmMOBmb0cg1IHx+TFi49JNRj1BjMZxU&#10;YTRuVV6F1++S9bL762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XTde36kBAABDAwAADgAA&#10;AAAAAAABACAAAAAeAQAAZHJzL2Uyb0RvYy54bWxQSwUGAAAAAAYABgBZAQAAOQUAAAAA&#10;">
              <v:fill on="f" focussize="0,0"/>
              <v:stroke on="f"/>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29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A5A48"/>
    <w:multiLevelType w:val="singleLevel"/>
    <w:tmpl w:val="927A5A48"/>
    <w:lvl w:ilvl="0" w:tentative="0">
      <w:start w:val="1"/>
      <w:numFmt w:val="decimal"/>
      <w:suff w:val="nothing"/>
      <w:lvlText w:val="（%1）"/>
      <w:lvlJc w:val="left"/>
    </w:lvl>
  </w:abstractNum>
  <w:abstractNum w:abstractNumId="1">
    <w:nsid w:val="C1F9CB81"/>
    <w:multiLevelType w:val="singleLevel"/>
    <w:tmpl w:val="C1F9CB81"/>
    <w:lvl w:ilvl="0" w:tentative="0">
      <w:start w:val="2"/>
      <w:numFmt w:val="decimal"/>
      <w:suff w:val="nothing"/>
      <w:lvlText w:val="%1、"/>
      <w:lvlJc w:val="left"/>
    </w:lvl>
  </w:abstractNum>
  <w:abstractNum w:abstractNumId="2">
    <w:nsid w:val="EFB7341A"/>
    <w:multiLevelType w:val="singleLevel"/>
    <w:tmpl w:val="EFB7341A"/>
    <w:lvl w:ilvl="0" w:tentative="0">
      <w:start w:val="2"/>
      <w:numFmt w:val="decimal"/>
      <w:suff w:val="nothing"/>
      <w:lvlText w:val="%1、"/>
      <w:lvlJc w:val="left"/>
    </w:lvl>
  </w:abstractNum>
  <w:abstractNum w:abstractNumId="3">
    <w:nsid w:val="2CCCC634"/>
    <w:multiLevelType w:val="singleLevel"/>
    <w:tmpl w:val="2CCCC634"/>
    <w:lvl w:ilvl="0" w:tentative="0">
      <w:start w:val="1"/>
      <w:numFmt w:val="decimal"/>
      <w:suff w:val="nothing"/>
      <w:lvlText w:val="（%1）"/>
      <w:lvlJc w:val="left"/>
    </w:lvl>
  </w:abstractNum>
  <w:abstractNum w:abstractNumId="4">
    <w:nsid w:val="5048875F"/>
    <w:multiLevelType w:val="singleLevel"/>
    <w:tmpl w:val="5048875F"/>
    <w:lvl w:ilvl="0" w:tentative="0">
      <w:start w:val="1"/>
      <w:numFmt w:val="decimal"/>
      <w:suff w:val="nothing"/>
      <w:lvlText w:val="（%1）"/>
      <w:lvlJc w:val="left"/>
    </w:lvl>
  </w:abstractNum>
  <w:abstractNum w:abstractNumId="5">
    <w:nsid w:val="58807697"/>
    <w:multiLevelType w:val="singleLevel"/>
    <w:tmpl w:val="58807697"/>
    <w:lvl w:ilvl="0" w:tentative="0">
      <w:start w:val="1"/>
      <w:numFmt w:val="decimal"/>
      <w:pStyle w:val="59"/>
      <w:suff w:val="nothing"/>
      <w:lvlText w:val="%1、"/>
      <w:lvlJc w:val="left"/>
    </w:lvl>
  </w:abstractNum>
  <w:abstractNum w:abstractNumId="6">
    <w:nsid w:val="5FE9F5C6"/>
    <w:multiLevelType w:val="singleLevel"/>
    <w:tmpl w:val="5FE9F5C6"/>
    <w:lvl w:ilvl="0" w:tentative="0">
      <w:start w:val="3"/>
      <w:numFmt w:val="decimal"/>
      <w:suff w:val="nothing"/>
      <w:lvlText w:val="%1、"/>
      <w:lvlJc w:val="left"/>
    </w:lvl>
  </w:abstractNum>
  <w:abstractNum w:abstractNumId="7">
    <w:nsid w:val="612C2EAF"/>
    <w:multiLevelType w:val="multilevel"/>
    <w:tmpl w:val="612C2EAF"/>
    <w:lvl w:ilvl="0" w:tentative="0">
      <w:start w:val="1"/>
      <w:numFmt w:val="chineseCountingThousand"/>
      <w:suff w:val="nothing"/>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lvlRestart w:val="2"/>
      <w:pStyle w:val="57"/>
      <w:isLgl/>
      <w:suff w:val="space"/>
      <w:lvlText w:val="表%1.%2-%4"/>
      <w:lvlJc w:val="left"/>
      <w:pPr>
        <w:ind w:left="0" w:firstLine="0"/>
      </w:pPr>
      <w:rPr>
        <w:rFonts w:hint="eastAsia"/>
      </w:rPr>
    </w:lvl>
    <w:lvl w:ilvl="4" w:tentative="0">
      <w:start w:val="1"/>
      <w:numFmt w:val="decimal"/>
      <w:lvlRestart w:val="2"/>
      <w:isLgl/>
      <w:suff w:val="space"/>
      <w:lvlText w:val="图%1.%2-%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5"/>
  </w:num>
  <w:num w:numId="3">
    <w:abstractNumId w:val="1"/>
  </w:num>
  <w:num w:numId="4">
    <w:abstractNumId w:val="4"/>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ZjE4NDI0NzViZjE5NzJlNzk3Y2FlYTQxYmUyYzgifQ=="/>
  </w:docVars>
  <w:rsids>
    <w:rsidRoot w:val="00172A27"/>
    <w:rsid w:val="00000E66"/>
    <w:rsid w:val="000060B3"/>
    <w:rsid w:val="0004350A"/>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4C45"/>
    <w:rsid w:val="001357F1"/>
    <w:rsid w:val="00140FA8"/>
    <w:rsid w:val="00142FEB"/>
    <w:rsid w:val="00143A2D"/>
    <w:rsid w:val="00145A41"/>
    <w:rsid w:val="00151675"/>
    <w:rsid w:val="00157435"/>
    <w:rsid w:val="00172A27"/>
    <w:rsid w:val="0017504D"/>
    <w:rsid w:val="0017671A"/>
    <w:rsid w:val="00177422"/>
    <w:rsid w:val="00184590"/>
    <w:rsid w:val="001870D1"/>
    <w:rsid w:val="0018781E"/>
    <w:rsid w:val="001910AE"/>
    <w:rsid w:val="0019262D"/>
    <w:rsid w:val="0019637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D4D65"/>
    <w:rsid w:val="002E1F3A"/>
    <w:rsid w:val="002E298A"/>
    <w:rsid w:val="00301978"/>
    <w:rsid w:val="0030332C"/>
    <w:rsid w:val="003051C2"/>
    <w:rsid w:val="00312296"/>
    <w:rsid w:val="00314F0E"/>
    <w:rsid w:val="00321D8E"/>
    <w:rsid w:val="00325928"/>
    <w:rsid w:val="00332863"/>
    <w:rsid w:val="0033684D"/>
    <w:rsid w:val="00336C2B"/>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1A8F"/>
    <w:rsid w:val="003D794D"/>
    <w:rsid w:val="003E3058"/>
    <w:rsid w:val="003E76A9"/>
    <w:rsid w:val="003F0809"/>
    <w:rsid w:val="003F6997"/>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B07B6"/>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5E4334"/>
    <w:rsid w:val="005E69B1"/>
    <w:rsid w:val="00617CC3"/>
    <w:rsid w:val="006377A6"/>
    <w:rsid w:val="00637A3D"/>
    <w:rsid w:val="006411EF"/>
    <w:rsid w:val="00665B54"/>
    <w:rsid w:val="006748B8"/>
    <w:rsid w:val="006775C3"/>
    <w:rsid w:val="0069290A"/>
    <w:rsid w:val="0069775A"/>
    <w:rsid w:val="00697813"/>
    <w:rsid w:val="006A3EE8"/>
    <w:rsid w:val="006A72BF"/>
    <w:rsid w:val="006B03F2"/>
    <w:rsid w:val="006B1366"/>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31C87"/>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0576C"/>
    <w:rsid w:val="00A14947"/>
    <w:rsid w:val="00A32A83"/>
    <w:rsid w:val="00A36597"/>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3368"/>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366F"/>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75F42"/>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82E3C"/>
    <w:rsid w:val="00F90A76"/>
    <w:rsid w:val="00F9212D"/>
    <w:rsid w:val="00F965DA"/>
    <w:rsid w:val="00FA406A"/>
    <w:rsid w:val="00FB503A"/>
    <w:rsid w:val="00FB516C"/>
    <w:rsid w:val="00FB7164"/>
    <w:rsid w:val="00FC3890"/>
    <w:rsid w:val="00FD0236"/>
    <w:rsid w:val="00FD18F4"/>
    <w:rsid w:val="00FD54DB"/>
    <w:rsid w:val="00FD619F"/>
    <w:rsid w:val="01004383"/>
    <w:rsid w:val="01037859"/>
    <w:rsid w:val="01084CD9"/>
    <w:rsid w:val="01290F7E"/>
    <w:rsid w:val="015D1E09"/>
    <w:rsid w:val="020E5184"/>
    <w:rsid w:val="021E5368"/>
    <w:rsid w:val="02697903"/>
    <w:rsid w:val="02F96569"/>
    <w:rsid w:val="0300642A"/>
    <w:rsid w:val="03EA7B21"/>
    <w:rsid w:val="04912789"/>
    <w:rsid w:val="04CD155E"/>
    <w:rsid w:val="04D36060"/>
    <w:rsid w:val="05755EA6"/>
    <w:rsid w:val="05E450E6"/>
    <w:rsid w:val="05F83EAE"/>
    <w:rsid w:val="063E7D85"/>
    <w:rsid w:val="065E5DF3"/>
    <w:rsid w:val="068331DD"/>
    <w:rsid w:val="07293586"/>
    <w:rsid w:val="07295285"/>
    <w:rsid w:val="073F4C5E"/>
    <w:rsid w:val="07636392"/>
    <w:rsid w:val="07770C56"/>
    <w:rsid w:val="084736D6"/>
    <w:rsid w:val="092217DD"/>
    <w:rsid w:val="093A7294"/>
    <w:rsid w:val="0A263993"/>
    <w:rsid w:val="0A2D3AC2"/>
    <w:rsid w:val="0A88590B"/>
    <w:rsid w:val="0AA755DF"/>
    <w:rsid w:val="0AB144DC"/>
    <w:rsid w:val="0ABA2864"/>
    <w:rsid w:val="0AC16022"/>
    <w:rsid w:val="0ACC56B9"/>
    <w:rsid w:val="0AE44686"/>
    <w:rsid w:val="0AF91B48"/>
    <w:rsid w:val="0B120D44"/>
    <w:rsid w:val="0B5C4E2C"/>
    <w:rsid w:val="0BC4418E"/>
    <w:rsid w:val="0BD27BF6"/>
    <w:rsid w:val="0C3B3C7D"/>
    <w:rsid w:val="0CAB2EAE"/>
    <w:rsid w:val="0D2C65A9"/>
    <w:rsid w:val="0D407AE6"/>
    <w:rsid w:val="0D621C7D"/>
    <w:rsid w:val="0D9B5A9C"/>
    <w:rsid w:val="0DCD669C"/>
    <w:rsid w:val="0E2B381A"/>
    <w:rsid w:val="0E73034D"/>
    <w:rsid w:val="0E863CAB"/>
    <w:rsid w:val="0E9815C4"/>
    <w:rsid w:val="0ED37D8E"/>
    <w:rsid w:val="0F13775A"/>
    <w:rsid w:val="0F1B5453"/>
    <w:rsid w:val="0F5F45FE"/>
    <w:rsid w:val="0F7B66AC"/>
    <w:rsid w:val="0F9A112B"/>
    <w:rsid w:val="0FA24A47"/>
    <w:rsid w:val="0FD7617F"/>
    <w:rsid w:val="0FFE358C"/>
    <w:rsid w:val="10306C16"/>
    <w:rsid w:val="105A6708"/>
    <w:rsid w:val="106D2F64"/>
    <w:rsid w:val="109B73D4"/>
    <w:rsid w:val="10B63710"/>
    <w:rsid w:val="10F10820"/>
    <w:rsid w:val="111C2F7A"/>
    <w:rsid w:val="11665CA1"/>
    <w:rsid w:val="11B237D9"/>
    <w:rsid w:val="121D17AB"/>
    <w:rsid w:val="12B141A0"/>
    <w:rsid w:val="13951726"/>
    <w:rsid w:val="14396509"/>
    <w:rsid w:val="14DD2C3C"/>
    <w:rsid w:val="151A0036"/>
    <w:rsid w:val="153A7F44"/>
    <w:rsid w:val="157C2938"/>
    <w:rsid w:val="16087E1D"/>
    <w:rsid w:val="16B64D90"/>
    <w:rsid w:val="17701D14"/>
    <w:rsid w:val="17735226"/>
    <w:rsid w:val="189F624C"/>
    <w:rsid w:val="19562F14"/>
    <w:rsid w:val="19D64574"/>
    <w:rsid w:val="19F12613"/>
    <w:rsid w:val="1A1C66C0"/>
    <w:rsid w:val="1A263125"/>
    <w:rsid w:val="1A2F03EC"/>
    <w:rsid w:val="1A42393B"/>
    <w:rsid w:val="1A7B521A"/>
    <w:rsid w:val="1AAD45DE"/>
    <w:rsid w:val="1AC95504"/>
    <w:rsid w:val="1AE67427"/>
    <w:rsid w:val="1B046F80"/>
    <w:rsid w:val="1B0F6701"/>
    <w:rsid w:val="1B3267B5"/>
    <w:rsid w:val="1B40161D"/>
    <w:rsid w:val="1B441859"/>
    <w:rsid w:val="1B6606B1"/>
    <w:rsid w:val="1C5E7925"/>
    <w:rsid w:val="1CFD070F"/>
    <w:rsid w:val="1D5F6196"/>
    <w:rsid w:val="1D6132A5"/>
    <w:rsid w:val="1D8E56D5"/>
    <w:rsid w:val="1DD40F43"/>
    <w:rsid w:val="1E7A43DA"/>
    <w:rsid w:val="1E8C1C92"/>
    <w:rsid w:val="1F0E11F4"/>
    <w:rsid w:val="1F4A690E"/>
    <w:rsid w:val="1F4E4AA7"/>
    <w:rsid w:val="1FD05C7A"/>
    <w:rsid w:val="1FE7539E"/>
    <w:rsid w:val="202A14B2"/>
    <w:rsid w:val="20487E48"/>
    <w:rsid w:val="2059123A"/>
    <w:rsid w:val="20671BE0"/>
    <w:rsid w:val="20963CB8"/>
    <w:rsid w:val="20A81A1B"/>
    <w:rsid w:val="20B07FB6"/>
    <w:rsid w:val="20B646FB"/>
    <w:rsid w:val="20C725E5"/>
    <w:rsid w:val="20F130D0"/>
    <w:rsid w:val="213B74B1"/>
    <w:rsid w:val="215A2310"/>
    <w:rsid w:val="21DE318A"/>
    <w:rsid w:val="21EF5B80"/>
    <w:rsid w:val="221D51FB"/>
    <w:rsid w:val="2250150D"/>
    <w:rsid w:val="22576990"/>
    <w:rsid w:val="22F47480"/>
    <w:rsid w:val="235902A5"/>
    <w:rsid w:val="2383034F"/>
    <w:rsid w:val="23DE1C48"/>
    <w:rsid w:val="240210CD"/>
    <w:rsid w:val="24BF09F7"/>
    <w:rsid w:val="252D53FE"/>
    <w:rsid w:val="25447125"/>
    <w:rsid w:val="25AA25F3"/>
    <w:rsid w:val="25EC2D81"/>
    <w:rsid w:val="263476DA"/>
    <w:rsid w:val="26CC4669"/>
    <w:rsid w:val="26D3135F"/>
    <w:rsid w:val="27374BAF"/>
    <w:rsid w:val="277057A2"/>
    <w:rsid w:val="286F2755"/>
    <w:rsid w:val="29206EB8"/>
    <w:rsid w:val="29595666"/>
    <w:rsid w:val="2967203D"/>
    <w:rsid w:val="29874881"/>
    <w:rsid w:val="29E325E0"/>
    <w:rsid w:val="2A452503"/>
    <w:rsid w:val="2B4A1F72"/>
    <w:rsid w:val="2B710BE2"/>
    <w:rsid w:val="2B7D4FCE"/>
    <w:rsid w:val="2BA936A8"/>
    <w:rsid w:val="2BAD7C8B"/>
    <w:rsid w:val="2C315A5A"/>
    <w:rsid w:val="2C4B1C25"/>
    <w:rsid w:val="2CEC5597"/>
    <w:rsid w:val="2D5963BC"/>
    <w:rsid w:val="2D66473A"/>
    <w:rsid w:val="2D706518"/>
    <w:rsid w:val="2D9435B3"/>
    <w:rsid w:val="2D9E56F5"/>
    <w:rsid w:val="2E667F96"/>
    <w:rsid w:val="2E8226AB"/>
    <w:rsid w:val="2FD065E6"/>
    <w:rsid w:val="2FD96870"/>
    <w:rsid w:val="3001687A"/>
    <w:rsid w:val="30580BC9"/>
    <w:rsid w:val="30DA6C19"/>
    <w:rsid w:val="311E2ED7"/>
    <w:rsid w:val="312E0E2F"/>
    <w:rsid w:val="313A7C6B"/>
    <w:rsid w:val="315619EE"/>
    <w:rsid w:val="315C449C"/>
    <w:rsid w:val="316858A0"/>
    <w:rsid w:val="31B82709"/>
    <w:rsid w:val="31D05482"/>
    <w:rsid w:val="32400B34"/>
    <w:rsid w:val="3249175D"/>
    <w:rsid w:val="329E6876"/>
    <w:rsid w:val="331550D9"/>
    <w:rsid w:val="333015F2"/>
    <w:rsid w:val="334B6320"/>
    <w:rsid w:val="33782BA8"/>
    <w:rsid w:val="33D049E9"/>
    <w:rsid w:val="33D934D4"/>
    <w:rsid w:val="33F1329E"/>
    <w:rsid w:val="33FE2F6A"/>
    <w:rsid w:val="340E07E5"/>
    <w:rsid w:val="34140320"/>
    <w:rsid w:val="34235BF7"/>
    <w:rsid w:val="358C5FA8"/>
    <w:rsid w:val="35C15DF1"/>
    <w:rsid w:val="36074A7F"/>
    <w:rsid w:val="360A4B47"/>
    <w:rsid w:val="36923549"/>
    <w:rsid w:val="36B75FBF"/>
    <w:rsid w:val="36BD0C45"/>
    <w:rsid w:val="36E17879"/>
    <w:rsid w:val="376A0BCB"/>
    <w:rsid w:val="379238BB"/>
    <w:rsid w:val="37E00298"/>
    <w:rsid w:val="380C578D"/>
    <w:rsid w:val="38684A4A"/>
    <w:rsid w:val="38B302F9"/>
    <w:rsid w:val="38F12CD3"/>
    <w:rsid w:val="38F94775"/>
    <w:rsid w:val="392971ED"/>
    <w:rsid w:val="39325651"/>
    <w:rsid w:val="39804ECE"/>
    <w:rsid w:val="3A217B76"/>
    <w:rsid w:val="3A872856"/>
    <w:rsid w:val="3B3763D1"/>
    <w:rsid w:val="3C2F6E1E"/>
    <w:rsid w:val="3C4F64BA"/>
    <w:rsid w:val="3CDA245A"/>
    <w:rsid w:val="3D1E06B7"/>
    <w:rsid w:val="3D7E5EEE"/>
    <w:rsid w:val="3D910C45"/>
    <w:rsid w:val="3DD807FD"/>
    <w:rsid w:val="3E395603"/>
    <w:rsid w:val="3EBC2E6E"/>
    <w:rsid w:val="3ED75CE8"/>
    <w:rsid w:val="3EDA0523"/>
    <w:rsid w:val="40077B0C"/>
    <w:rsid w:val="4033339C"/>
    <w:rsid w:val="407A6407"/>
    <w:rsid w:val="40B339BC"/>
    <w:rsid w:val="40FB4B2B"/>
    <w:rsid w:val="410641B1"/>
    <w:rsid w:val="4200449D"/>
    <w:rsid w:val="423A3BCC"/>
    <w:rsid w:val="424E57D2"/>
    <w:rsid w:val="42AE0368"/>
    <w:rsid w:val="42B26C49"/>
    <w:rsid w:val="42C86039"/>
    <w:rsid w:val="432E3B57"/>
    <w:rsid w:val="43323C35"/>
    <w:rsid w:val="433A6FE6"/>
    <w:rsid w:val="43480868"/>
    <w:rsid w:val="4350713C"/>
    <w:rsid w:val="436653E0"/>
    <w:rsid w:val="43C4431A"/>
    <w:rsid w:val="44711459"/>
    <w:rsid w:val="44B951CC"/>
    <w:rsid w:val="44CD14E0"/>
    <w:rsid w:val="44F20B0B"/>
    <w:rsid w:val="452E5F4C"/>
    <w:rsid w:val="45476634"/>
    <w:rsid w:val="454B270A"/>
    <w:rsid w:val="45612018"/>
    <w:rsid w:val="457156C9"/>
    <w:rsid w:val="458946E9"/>
    <w:rsid w:val="45A47C0E"/>
    <w:rsid w:val="45C77E0A"/>
    <w:rsid w:val="46577FD6"/>
    <w:rsid w:val="46D955A7"/>
    <w:rsid w:val="47133957"/>
    <w:rsid w:val="472D5975"/>
    <w:rsid w:val="475A13D1"/>
    <w:rsid w:val="4794761B"/>
    <w:rsid w:val="47A07E0C"/>
    <w:rsid w:val="47CE2232"/>
    <w:rsid w:val="47F85C94"/>
    <w:rsid w:val="4846792E"/>
    <w:rsid w:val="486F6770"/>
    <w:rsid w:val="4870272E"/>
    <w:rsid w:val="496A1784"/>
    <w:rsid w:val="499626FF"/>
    <w:rsid w:val="49C67075"/>
    <w:rsid w:val="49DC7715"/>
    <w:rsid w:val="4A023139"/>
    <w:rsid w:val="4A2716E9"/>
    <w:rsid w:val="4A7B576F"/>
    <w:rsid w:val="4AEB4892"/>
    <w:rsid w:val="4AF40DEB"/>
    <w:rsid w:val="4AF561A9"/>
    <w:rsid w:val="4B8013B3"/>
    <w:rsid w:val="4BDA5DBA"/>
    <w:rsid w:val="4C1D5D6C"/>
    <w:rsid w:val="4C4A0649"/>
    <w:rsid w:val="4C5B4968"/>
    <w:rsid w:val="4C724B4D"/>
    <w:rsid w:val="4C7E5ECA"/>
    <w:rsid w:val="4C876AA5"/>
    <w:rsid w:val="4C9171A6"/>
    <w:rsid w:val="4D0E00FB"/>
    <w:rsid w:val="4D176606"/>
    <w:rsid w:val="4DD930FF"/>
    <w:rsid w:val="4DEC4FB0"/>
    <w:rsid w:val="4E075D8A"/>
    <w:rsid w:val="4E16513B"/>
    <w:rsid w:val="4E2732FE"/>
    <w:rsid w:val="4EC00FAD"/>
    <w:rsid w:val="4F9843DC"/>
    <w:rsid w:val="4FC62A8C"/>
    <w:rsid w:val="4FE20F0D"/>
    <w:rsid w:val="4FE51552"/>
    <w:rsid w:val="50504C4B"/>
    <w:rsid w:val="509C2DBA"/>
    <w:rsid w:val="509C6E7C"/>
    <w:rsid w:val="51157F90"/>
    <w:rsid w:val="5162104E"/>
    <w:rsid w:val="51847DBC"/>
    <w:rsid w:val="51E20C04"/>
    <w:rsid w:val="523C7E96"/>
    <w:rsid w:val="53A039CC"/>
    <w:rsid w:val="53A1505A"/>
    <w:rsid w:val="54063E08"/>
    <w:rsid w:val="543437E8"/>
    <w:rsid w:val="54573888"/>
    <w:rsid w:val="54911F22"/>
    <w:rsid w:val="54F73313"/>
    <w:rsid w:val="54F80955"/>
    <w:rsid w:val="555170A7"/>
    <w:rsid w:val="55693C74"/>
    <w:rsid w:val="5587536D"/>
    <w:rsid w:val="559B174B"/>
    <w:rsid w:val="55B20902"/>
    <w:rsid w:val="55CE0CF4"/>
    <w:rsid w:val="55FC1D1E"/>
    <w:rsid w:val="56771115"/>
    <w:rsid w:val="56B22A9C"/>
    <w:rsid w:val="57A20D92"/>
    <w:rsid w:val="57B72A76"/>
    <w:rsid w:val="57C3426C"/>
    <w:rsid w:val="57CE1F93"/>
    <w:rsid w:val="57E343F6"/>
    <w:rsid w:val="58117A3B"/>
    <w:rsid w:val="588743D1"/>
    <w:rsid w:val="5887701A"/>
    <w:rsid w:val="591300EB"/>
    <w:rsid w:val="59135A4A"/>
    <w:rsid w:val="5981499D"/>
    <w:rsid w:val="59C0439F"/>
    <w:rsid w:val="59E30C0C"/>
    <w:rsid w:val="59F223C4"/>
    <w:rsid w:val="5A142D51"/>
    <w:rsid w:val="5ABE2233"/>
    <w:rsid w:val="5B270E8C"/>
    <w:rsid w:val="5B95685F"/>
    <w:rsid w:val="5B9F39FA"/>
    <w:rsid w:val="5BDF5D95"/>
    <w:rsid w:val="5BF9792B"/>
    <w:rsid w:val="5BFE7528"/>
    <w:rsid w:val="5C312BBF"/>
    <w:rsid w:val="5C6068A6"/>
    <w:rsid w:val="5DED161F"/>
    <w:rsid w:val="5E2467F1"/>
    <w:rsid w:val="5E3861B8"/>
    <w:rsid w:val="5E8E6D0A"/>
    <w:rsid w:val="5F152598"/>
    <w:rsid w:val="5F1A2B43"/>
    <w:rsid w:val="5FB837BB"/>
    <w:rsid w:val="5FD03595"/>
    <w:rsid w:val="60485733"/>
    <w:rsid w:val="60A70834"/>
    <w:rsid w:val="60CC405A"/>
    <w:rsid w:val="61546A5C"/>
    <w:rsid w:val="61C24E3D"/>
    <w:rsid w:val="61E215D8"/>
    <w:rsid w:val="621B3775"/>
    <w:rsid w:val="62364782"/>
    <w:rsid w:val="626C3448"/>
    <w:rsid w:val="6394356A"/>
    <w:rsid w:val="63AA3121"/>
    <w:rsid w:val="63BD2C76"/>
    <w:rsid w:val="63C61B2C"/>
    <w:rsid w:val="63D40BE9"/>
    <w:rsid w:val="64102431"/>
    <w:rsid w:val="64210370"/>
    <w:rsid w:val="64395DF1"/>
    <w:rsid w:val="64A5243A"/>
    <w:rsid w:val="64F531DE"/>
    <w:rsid w:val="65332E77"/>
    <w:rsid w:val="65373578"/>
    <w:rsid w:val="65500A9D"/>
    <w:rsid w:val="65A04912"/>
    <w:rsid w:val="65D31C55"/>
    <w:rsid w:val="66534F79"/>
    <w:rsid w:val="668B3D26"/>
    <w:rsid w:val="671F124A"/>
    <w:rsid w:val="67281C2D"/>
    <w:rsid w:val="673952E2"/>
    <w:rsid w:val="677A33C6"/>
    <w:rsid w:val="67875211"/>
    <w:rsid w:val="67AD0AB3"/>
    <w:rsid w:val="67C6315E"/>
    <w:rsid w:val="67F83B4A"/>
    <w:rsid w:val="681F6961"/>
    <w:rsid w:val="685B6C70"/>
    <w:rsid w:val="68610A2F"/>
    <w:rsid w:val="68805514"/>
    <w:rsid w:val="691A5261"/>
    <w:rsid w:val="69316E2F"/>
    <w:rsid w:val="69410B62"/>
    <w:rsid w:val="694E2071"/>
    <w:rsid w:val="69766163"/>
    <w:rsid w:val="697A3B33"/>
    <w:rsid w:val="69B10127"/>
    <w:rsid w:val="69D44760"/>
    <w:rsid w:val="6A520EC7"/>
    <w:rsid w:val="6AF87E20"/>
    <w:rsid w:val="6B322639"/>
    <w:rsid w:val="6B411ED5"/>
    <w:rsid w:val="6B5B61DE"/>
    <w:rsid w:val="6B747300"/>
    <w:rsid w:val="6BBF083F"/>
    <w:rsid w:val="6BEB2009"/>
    <w:rsid w:val="6C185A48"/>
    <w:rsid w:val="6C636C38"/>
    <w:rsid w:val="6C98787B"/>
    <w:rsid w:val="6D7357D5"/>
    <w:rsid w:val="6DB34098"/>
    <w:rsid w:val="6DB36CDD"/>
    <w:rsid w:val="6DB545B6"/>
    <w:rsid w:val="6DE02FB4"/>
    <w:rsid w:val="6E1C1ADF"/>
    <w:rsid w:val="6E514CED"/>
    <w:rsid w:val="6EB10636"/>
    <w:rsid w:val="6EB563D5"/>
    <w:rsid w:val="6ED92677"/>
    <w:rsid w:val="6F225983"/>
    <w:rsid w:val="6F4B41AD"/>
    <w:rsid w:val="6F6D072A"/>
    <w:rsid w:val="6F866F03"/>
    <w:rsid w:val="6FFC5590"/>
    <w:rsid w:val="706D1DD0"/>
    <w:rsid w:val="70856B87"/>
    <w:rsid w:val="70913E12"/>
    <w:rsid w:val="70BE7AC0"/>
    <w:rsid w:val="70D527EE"/>
    <w:rsid w:val="715B5300"/>
    <w:rsid w:val="71D22913"/>
    <w:rsid w:val="71D27F8A"/>
    <w:rsid w:val="71E42F57"/>
    <w:rsid w:val="71F84C4E"/>
    <w:rsid w:val="72385185"/>
    <w:rsid w:val="72553024"/>
    <w:rsid w:val="725C3B6B"/>
    <w:rsid w:val="72FA1A39"/>
    <w:rsid w:val="73122968"/>
    <w:rsid w:val="731F5D5E"/>
    <w:rsid w:val="7383063E"/>
    <w:rsid w:val="73C51AD5"/>
    <w:rsid w:val="73FD73AE"/>
    <w:rsid w:val="741E793C"/>
    <w:rsid w:val="7445107F"/>
    <w:rsid w:val="745E3944"/>
    <w:rsid w:val="749F2435"/>
    <w:rsid w:val="74B77AFB"/>
    <w:rsid w:val="74C55D1E"/>
    <w:rsid w:val="74E44DED"/>
    <w:rsid w:val="75973B10"/>
    <w:rsid w:val="75B23EAA"/>
    <w:rsid w:val="7635099D"/>
    <w:rsid w:val="771663AA"/>
    <w:rsid w:val="77762421"/>
    <w:rsid w:val="77B56B1F"/>
    <w:rsid w:val="77EC1E64"/>
    <w:rsid w:val="780F09F4"/>
    <w:rsid w:val="78717FF1"/>
    <w:rsid w:val="78A90480"/>
    <w:rsid w:val="78C17DB7"/>
    <w:rsid w:val="791E55C6"/>
    <w:rsid w:val="7A364017"/>
    <w:rsid w:val="7A4E1115"/>
    <w:rsid w:val="7A5100AE"/>
    <w:rsid w:val="7A8265E1"/>
    <w:rsid w:val="7AB92366"/>
    <w:rsid w:val="7AFC4035"/>
    <w:rsid w:val="7B1D148C"/>
    <w:rsid w:val="7B3F2E54"/>
    <w:rsid w:val="7B686D42"/>
    <w:rsid w:val="7B7B42EB"/>
    <w:rsid w:val="7B841746"/>
    <w:rsid w:val="7BA70FF0"/>
    <w:rsid w:val="7C6C5AC7"/>
    <w:rsid w:val="7CC6544B"/>
    <w:rsid w:val="7CD27BC1"/>
    <w:rsid w:val="7D0239FF"/>
    <w:rsid w:val="7D3840D7"/>
    <w:rsid w:val="7D5E40CD"/>
    <w:rsid w:val="7DCD56F2"/>
    <w:rsid w:val="7E1C31A7"/>
    <w:rsid w:val="7E797BC3"/>
    <w:rsid w:val="7EC94B0B"/>
    <w:rsid w:val="7F001CE7"/>
    <w:rsid w:val="7F002606"/>
    <w:rsid w:val="7F0230E9"/>
    <w:rsid w:val="7F090647"/>
    <w:rsid w:val="7F0C7DE6"/>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9" w:semiHidden="0" w:name="heading 4" w:locked="1"/>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qFormat/>
    <w:locked/>
    <w:uiPriority w:val="0"/>
    <w:pPr>
      <w:keepNext/>
      <w:keepLines/>
      <w:spacing w:before="260" w:after="260" w:line="416" w:lineRule="auto"/>
      <w:outlineLvl w:val="2"/>
    </w:pPr>
    <w:rPr>
      <w:b/>
      <w:bCs/>
      <w:sz w:val="32"/>
      <w:szCs w:val="32"/>
    </w:rPr>
  </w:style>
  <w:style w:type="paragraph" w:styleId="5">
    <w:name w:val="heading 4"/>
    <w:basedOn w:val="1"/>
    <w:next w:val="1"/>
    <w:qFormat/>
    <w:locked/>
    <w:uiPriority w:val="9"/>
    <w:pPr>
      <w:keepNext/>
      <w:keepLines/>
      <w:spacing w:before="280" w:after="290" w:line="372" w:lineRule="auto"/>
      <w:outlineLvl w:val="3"/>
    </w:pPr>
    <w:rPr>
      <w:rFonts w:ascii="Arial" w:hAnsi="Arial" w:eastAsia="黑体"/>
      <w:b/>
    </w:rPr>
  </w:style>
  <w:style w:type="paragraph" w:styleId="6">
    <w:name w:val="heading 5"/>
    <w:basedOn w:val="1"/>
    <w:next w:val="1"/>
    <w:qFormat/>
    <w:locked/>
    <w:uiPriority w:val="1"/>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32"/>
    <w:qFormat/>
    <w:uiPriority w:val="0"/>
    <w:pPr>
      <w:widowControl/>
      <w:snapToGrid w:val="0"/>
      <w:spacing w:before="60" w:after="160" w:line="259" w:lineRule="auto"/>
      <w:ind w:right="113"/>
    </w:pPr>
    <w:rPr>
      <w:kern w:val="0"/>
      <w:sz w:val="18"/>
      <w:szCs w:val="20"/>
    </w:rPr>
  </w:style>
  <w:style w:type="paragraph" w:styleId="7">
    <w:name w:val="annotation subject"/>
    <w:basedOn w:val="8"/>
    <w:next w:val="8"/>
    <w:link w:val="31"/>
    <w:semiHidden/>
    <w:qFormat/>
    <w:uiPriority w:val="0"/>
    <w:rPr>
      <w:b/>
    </w:rPr>
  </w:style>
  <w:style w:type="paragraph" w:styleId="8">
    <w:name w:val="annotation text"/>
    <w:basedOn w:val="1"/>
    <w:link w:val="28"/>
    <w:semiHidden/>
    <w:qFormat/>
    <w:uiPriority w:val="0"/>
    <w:pPr>
      <w:jc w:val="left"/>
    </w:pPr>
    <w:rPr>
      <w:kern w:val="0"/>
      <w:sz w:val="24"/>
      <w:szCs w:val="20"/>
    </w:rPr>
  </w:style>
  <w:style w:type="paragraph" w:styleId="9">
    <w:name w:val="Normal Indent"/>
    <w:basedOn w:val="1"/>
    <w:qFormat/>
    <w:locked/>
    <w:uiPriority w:val="99"/>
    <w:pPr>
      <w:ind w:firstLine="420" w:firstLineChars="200"/>
    </w:pPr>
  </w:style>
  <w:style w:type="paragraph" w:styleId="10">
    <w:name w:val="caption"/>
    <w:basedOn w:val="1"/>
    <w:next w:val="1"/>
    <w:qFormat/>
    <w:locked/>
    <w:uiPriority w:val="0"/>
    <w:pPr>
      <w:spacing w:before="120" w:line="360" w:lineRule="auto"/>
      <w:jc w:val="center"/>
    </w:pPr>
    <w:rPr>
      <w:rFonts w:eastAsia="黑体"/>
      <w:szCs w:val="20"/>
    </w:rPr>
  </w:style>
  <w:style w:type="paragraph" w:styleId="11">
    <w:name w:val="Body Text Indent"/>
    <w:basedOn w:val="1"/>
    <w:next w:val="12"/>
    <w:link w:val="34"/>
    <w:qFormat/>
    <w:uiPriority w:val="0"/>
    <w:pPr>
      <w:spacing w:after="120"/>
      <w:ind w:left="420" w:leftChars="200"/>
    </w:pPr>
    <w:rPr>
      <w:kern w:val="0"/>
      <w:sz w:val="24"/>
      <w:szCs w:val="20"/>
    </w:rPr>
  </w:style>
  <w:style w:type="paragraph" w:styleId="12">
    <w:name w:val="Body Text Indent 2"/>
    <w:basedOn w:val="1"/>
    <w:next w:val="13"/>
    <w:qFormat/>
    <w:locked/>
    <w:uiPriority w:val="0"/>
    <w:pPr>
      <w:spacing w:line="400" w:lineRule="exact"/>
      <w:ind w:firstLine="573"/>
    </w:pPr>
    <w:rPr>
      <w:rFonts w:ascii="宋体" w:hAnsi="宋体"/>
      <w:sz w:val="28"/>
    </w:rPr>
  </w:style>
  <w:style w:type="paragraph" w:styleId="13">
    <w:name w:val="Body Text First Indent 2"/>
    <w:basedOn w:val="11"/>
    <w:next w:val="1"/>
    <w:qFormat/>
    <w:locked/>
    <w:uiPriority w:val="0"/>
    <w:pPr>
      <w:ind w:firstLine="420"/>
    </w:pPr>
  </w:style>
  <w:style w:type="paragraph" w:styleId="14">
    <w:name w:val="Date"/>
    <w:basedOn w:val="1"/>
    <w:next w:val="1"/>
    <w:link w:val="37"/>
    <w:qFormat/>
    <w:uiPriority w:val="0"/>
    <w:pPr>
      <w:ind w:left="100" w:leftChars="2500"/>
    </w:pPr>
    <w:rPr>
      <w:kern w:val="0"/>
      <w:sz w:val="24"/>
      <w:szCs w:val="20"/>
    </w:rPr>
  </w:style>
  <w:style w:type="paragraph" w:styleId="15">
    <w:name w:val="Balloon Text"/>
    <w:basedOn w:val="1"/>
    <w:link w:val="26"/>
    <w:semiHidden/>
    <w:qFormat/>
    <w:uiPriority w:val="0"/>
    <w:rPr>
      <w:kern w:val="0"/>
      <w:sz w:val="18"/>
      <w:szCs w:val="20"/>
    </w:rPr>
  </w:style>
  <w:style w:type="paragraph" w:styleId="16">
    <w:name w:val="footer"/>
    <w:basedOn w:val="1"/>
    <w:link w:val="35"/>
    <w:qFormat/>
    <w:uiPriority w:val="99"/>
    <w:pPr>
      <w:tabs>
        <w:tab w:val="center" w:pos="4153"/>
        <w:tab w:val="right" w:pos="8306"/>
      </w:tabs>
      <w:snapToGrid w:val="0"/>
      <w:jc w:val="left"/>
    </w:pPr>
    <w:rPr>
      <w:kern w:val="0"/>
      <w:sz w:val="18"/>
      <w:szCs w:val="20"/>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Normal (Web)"/>
    <w:basedOn w:val="1"/>
    <w:link w:val="25"/>
    <w:qFormat/>
    <w:uiPriority w:val="0"/>
    <w:pPr>
      <w:widowControl/>
      <w:spacing w:before="100" w:beforeAutospacing="1" w:after="100" w:afterAutospacing="1"/>
      <w:jc w:val="left"/>
    </w:pPr>
    <w:rPr>
      <w:rFonts w:ascii="宋体" w:hAnsi="宋体"/>
      <w:kern w:val="0"/>
      <w:sz w:val="24"/>
      <w:szCs w:val="20"/>
    </w:rPr>
  </w:style>
  <w:style w:type="character" w:styleId="20">
    <w:name w:val="page number"/>
    <w:basedOn w:val="19"/>
    <w:qFormat/>
    <w:locked/>
    <w:uiPriority w:val="0"/>
  </w:style>
  <w:style w:type="character" w:styleId="21">
    <w:name w:val="annotation reference"/>
    <w:semiHidden/>
    <w:qFormat/>
    <w:uiPriority w:val="0"/>
    <w:rPr>
      <w:sz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character" w:customStyle="1" w:styleId="25">
    <w:name w:val="普通(网站) 字符"/>
    <w:link w:val="18"/>
    <w:qFormat/>
    <w:locked/>
    <w:uiPriority w:val="0"/>
    <w:rPr>
      <w:rFonts w:ascii="宋体" w:hAnsi="宋体" w:eastAsia="宋体"/>
      <w:sz w:val="24"/>
    </w:rPr>
  </w:style>
  <w:style w:type="character" w:customStyle="1" w:styleId="26">
    <w:name w:val="批注框文本 字符"/>
    <w:link w:val="15"/>
    <w:semiHidden/>
    <w:qFormat/>
    <w:locked/>
    <w:uiPriority w:val="0"/>
    <w:rPr>
      <w:rFonts w:ascii="Times New Roman" w:hAnsi="Times New Roman" w:eastAsia="宋体"/>
      <w:sz w:val="18"/>
    </w:rPr>
  </w:style>
  <w:style w:type="character" w:customStyle="1" w:styleId="27">
    <w:name w:val="页脚 字符"/>
    <w:basedOn w:val="19"/>
    <w:qFormat/>
    <w:uiPriority w:val="99"/>
  </w:style>
  <w:style w:type="character" w:customStyle="1" w:styleId="28">
    <w:name w:val="批注文字 字符"/>
    <w:link w:val="8"/>
    <w:qFormat/>
    <w:locked/>
    <w:uiPriority w:val="0"/>
    <w:rPr>
      <w:rFonts w:ascii="Times New Roman" w:hAnsi="Times New Roman" w:eastAsia="宋体"/>
      <w:sz w:val="24"/>
    </w:rPr>
  </w:style>
  <w:style w:type="character" w:customStyle="1" w:styleId="29">
    <w:name w:val="正文文本 字符1"/>
    <w:semiHidden/>
    <w:qFormat/>
    <w:uiPriority w:val="0"/>
    <w:rPr>
      <w:rFonts w:ascii="Times New Roman" w:hAnsi="Times New Roman" w:eastAsia="宋体"/>
      <w:sz w:val="24"/>
    </w:rPr>
  </w:style>
  <w:style w:type="character" w:customStyle="1" w:styleId="30">
    <w:name w:val="日期 字符"/>
    <w:semiHidden/>
    <w:qFormat/>
    <w:uiPriority w:val="0"/>
    <w:rPr>
      <w:rFonts w:ascii="Times New Roman" w:hAnsi="Times New Roman" w:eastAsia="宋体"/>
      <w:sz w:val="24"/>
    </w:rPr>
  </w:style>
  <w:style w:type="character" w:customStyle="1" w:styleId="31">
    <w:name w:val="批注主题 字符"/>
    <w:link w:val="7"/>
    <w:semiHidden/>
    <w:qFormat/>
    <w:locked/>
    <w:uiPriority w:val="0"/>
    <w:rPr>
      <w:rFonts w:ascii="Times New Roman" w:hAnsi="Times New Roman" w:eastAsia="宋体"/>
      <w:b/>
      <w:kern w:val="2"/>
      <w:sz w:val="24"/>
    </w:rPr>
  </w:style>
  <w:style w:type="character" w:customStyle="1" w:styleId="32">
    <w:name w:val="正文文本 字符"/>
    <w:link w:val="2"/>
    <w:qFormat/>
    <w:locked/>
    <w:uiPriority w:val="0"/>
    <w:rPr>
      <w:sz w:val="18"/>
    </w:rPr>
  </w:style>
  <w:style w:type="character" w:customStyle="1" w:styleId="33">
    <w:name w:val="页眉 字符"/>
    <w:link w:val="17"/>
    <w:qFormat/>
    <w:locked/>
    <w:uiPriority w:val="0"/>
    <w:rPr>
      <w:sz w:val="18"/>
    </w:rPr>
  </w:style>
  <w:style w:type="character" w:customStyle="1" w:styleId="34">
    <w:name w:val="正文文本缩进 字符"/>
    <w:link w:val="11"/>
    <w:semiHidden/>
    <w:qFormat/>
    <w:locked/>
    <w:uiPriority w:val="0"/>
    <w:rPr>
      <w:rFonts w:ascii="Times New Roman" w:hAnsi="Times New Roman" w:eastAsia="宋体"/>
      <w:sz w:val="24"/>
    </w:rPr>
  </w:style>
  <w:style w:type="character" w:customStyle="1" w:styleId="35">
    <w:name w:val="页脚 字符1"/>
    <w:link w:val="16"/>
    <w:qFormat/>
    <w:locked/>
    <w:uiPriority w:val="99"/>
    <w:rPr>
      <w:sz w:val="18"/>
    </w:rPr>
  </w:style>
  <w:style w:type="character" w:customStyle="1" w:styleId="36">
    <w:name w:val="批注文字 字符1"/>
    <w:semiHidden/>
    <w:qFormat/>
    <w:uiPriority w:val="0"/>
    <w:rPr>
      <w:rFonts w:ascii="Times New Roman" w:hAnsi="Times New Roman" w:eastAsia="宋体"/>
      <w:sz w:val="24"/>
    </w:rPr>
  </w:style>
  <w:style w:type="character" w:customStyle="1" w:styleId="37">
    <w:name w:val="日期 字符1"/>
    <w:link w:val="14"/>
    <w:qFormat/>
    <w:locked/>
    <w:uiPriority w:val="0"/>
    <w:rPr>
      <w:rFonts w:ascii="Times New Roman" w:hAnsi="Times New Roman" w:eastAsia="宋体"/>
      <w:sz w:val="24"/>
    </w:rPr>
  </w:style>
  <w:style w:type="character" w:customStyle="1" w:styleId="38">
    <w:name w:val="表格 Char"/>
    <w:link w:val="39"/>
    <w:qFormat/>
    <w:locked/>
    <w:uiPriority w:val="0"/>
    <w:rPr>
      <w:rFonts w:ascii="宋体"/>
      <w:sz w:val="21"/>
    </w:rPr>
  </w:style>
  <w:style w:type="paragraph" w:customStyle="1" w:styleId="39">
    <w:name w:val="表格"/>
    <w:basedOn w:val="40"/>
    <w:next w:val="41"/>
    <w:link w:val="38"/>
    <w:qFormat/>
    <w:uiPriority w:val="0"/>
    <w:pPr>
      <w:adjustRightInd w:val="0"/>
      <w:snapToGrid w:val="0"/>
      <w:spacing w:beforeLines="10" w:afterLines="10" w:line="259" w:lineRule="auto"/>
      <w:jc w:val="center"/>
    </w:pPr>
    <w:rPr>
      <w:rFonts w:ascii="宋体"/>
      <w:kern w:val="0"/>
      <w:szCs w:val="20"/>
    </w:rPr>
  </w:style>
  <w:style w:type="paragraph" w:customStyle="1" w:styleId="40">
    <w:name w:val="表格文字"/>
    <w:basedOn w:val="2"/>
    <w:next w:val="2"/>
    <w:qFormat/>
    <w:uiPriority w:val="0"/>
    <w:pPr>
      <w:spacing w:after="0" w:line="360" w:lineRule="exact"/>
      <w:jc w:val="center"/>
    </w:pPr>
    <w:rPr>
      <w:spacing w:val="-4"/>
      <w:sz w:val="24"/>
      <w:szCs w:val="28"/>
    </w:rPr>
  </w:style>
  <w:style w:type="paragraph" w:customStyle="1" w:styleId="41">
    <w:name w:val="表格样式"/>
    <w:basedOn w:val="1"/>
    <w:qFormat/>
    <w:uiPriority w:val="0"/>
    <w:pPr>
      <w:shd w:val="clear" w:color="auto" w:fill="FFFFFF"/>
      <w:autoSpaceDE w:val="0"/>
      <w:jc w:val="center"/>
    </w:pPr>
    <w:rPr>
      <w:rFonts w:cs="宋体"/>
      <w:color w:val="FFFFFF"/>
      <w:spacing w:val="-1"/>
      <w:position w:val="-1"/>
      <w:szCs w:val="21"/>
    </w:rPr>
  </w:style>
  <w:style w:type="paragraph" w:customStyle="1" w:styleId="42">
    <w:name w:val="A标准格式"/>
    <w:basedOn w:val="1"/>
    <w:qFormat/>
    <w:uiPriority w:val="0"/>
    <w:pPr>
      <w:spacing w:line="440" w:lineRule="exact"/>
      <w:ind w:firstLine="480" w:firstLineChars="200"/>
    </w:pPr>
    <w:rPr>
      <w:sz w:val="24"/>
    </w:rPr>
  </w:style>
  <w:style w:type="paragraph" w:customStyle="1" w:styleId="43">
    <w:name w:val="表格内容"/>
    <w:basedOn w:val="1"/>
    <w:next w:val="1"/>
    <w:qFormat/>
    <w:uiPriority w:val="0"/>
    <w:pPr>
      <w:spacing w:line="240" w:lineRule="atLeast"/>
      <w:jc w:val="center"/>
    </w:pPr>
    <w:rPr>
      <w:szCs w:val="20"/>
    </w:rPr>
  </w:style>
  <w:style w:type="paragraph" w:customStyle="1" w:styleId="44">
    <w:name w:val="Table Paragraph"/>
    <w:basedOn w:val="1"/>
    <w:qFormat/>
    <w:uiPriority w:val="1"/>
    <w:pPr>
      <w:jc w:val="center"/>
    </w:pPr>
    <w:rPr>
      <w:rFonts w:ascii="宋体" w:hAnsi="宋体" w:cs="宋体"/>
      <w:lang w:val="zh-CN" w:bidi="zh-CN"/>
    </w:rPr>
  </w:style>
  <w:style w:type="paragraph" w:customStyle="1" w:styleId="45">
    <w:name w:val="正文文字"/>
    <w:basedOn w:val="1"/>
    <w:qFormat/>
    <w:uiPriority w:val="0"/>
    <w:pPr>
      <w:spacing w:line="560" w:lineRule="exact"/>
      <w:ind w:firstLine="200" w:firstLineChars="200"/>
    </w:pPr>
    <w:rPr>
      <w:sz w:val="24"/>
      <w:szCs w:val="20"/>
    </w:rPr>
  </w:style>
  <w:style w:type="paragraph" w:customStyle="1" w:styleId="4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
    <w:name w:val="24磅正文"/>
    <w:basedOn w:val="1"/>
    <w:qFormat/>
    <w:uiPriority w:val="0"/>
    <w:pPr>
      <w:spacing w:line="480" w:lineRule="exact"/>
      <w:ind w:firstLine="480" w:firstLineChars="200"/>
    </w:pPr>
    <w:rPr>
      <w:sz w:val="24"/>
    </w:rPr>
  </w:style>
  <w:style w:type="paragraph" w:customStyle="1" w:styleId="48">
    <w:name w:val="！正文"/>
    <w:basedOn w:val="1"/>
    <w:qFormat/>
    <w:uiPriority w:val="0"/>
    <w:pPr>
      <w:ind w:firstLine="480"/>
    </w:pPr>
    <w:rPr>
      <w:rFonts w:cs="宋体"/>
      <w:szCs w:val="20"/>
    </w:rPr>
  </w:style>
  <w:style w:type="paragraph" w:customStyle="1" w:styleId="49">
    <w:name w:val="[1]正文"/>
    <w:basedOn w:val="1"/>
    <w:qFormat/>
    <w:uiPriority w:val="0"/>
    <w:pPr>
      <w:autoSpaceDE w:val="0"/>
      <w:autoSpaceDN w:val="0"/>
      <w:ind w:firstLine="200" w:firstLineChars="200"/>
    </w:pPr>
    <w:rPr>
      <w:color w:val="000000"/>
      <w:kern w:val="0"/>
      <w:szCs w:val="22"/>
      <w:lang w:val="zh-CN"/>
    </w:rPr>
  </w:style>
  <w:style w:type="paragraph" w:customStyle="1" w:styleId="50">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首行缩进"/>
    <w:basedOn w:val="1"/>
    <w:qFormat/>
    <w:uiPriority w:val="0"/>
    <w:pPr>
      <w:widowControl/>
      <w:spacing w:line="360" w:lineRule="auto"/>
      <w:ind w:firstLine="480" w:firstLineChars="200"/>
      <w:jc w:val="left"/>
    </w:pPr>
    <w:rPr>
      <w:rFonts w:ascii="Calibri" w:hAnsi="Calibri"/>
      <w:kern w:val="0"/>
      <w:sz w:val="24"/>
      <w:lang w:eastAsia="en-US" w:bidi="en-US"/>
    </w:rPr>
  </w:style>
  <w:style w:type="paragraph" w:customStyle="1" w:styleId="5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3">
    <w:name w:val="表格内容自定"/>
    <w:basedOn w:val="1"/>
    <w:qFormat/>
    <w:uiPriority w:val="0"/>
    <w:pPr>
      <w:spacing w:line="280" w:lineRule="exact"/>
      <w:jc w:val="center"/>
    </w:pPr>
    <w:rPr>
      <w:kern w:val="0"/>
      <w:sz w:val="18"/>
      <w:szCs w:val="21"/>
    </w:rPr>
  </w:style>
  <w:style w:type="paragraph" w:customStyle="1" w:styleId="54">
    <w:name w:val="TW"/>
    <w:basedOn w:val="1"/>
    <w:qFormat/>
    <w:uiPriority w:val="0"/>
    <w:pPr>
      <w:ind w:firstLine="480"/>
    </w:pPr>
  </w:style>
  <w:style w:type="paragraph" w:customStyle="1" w:styleId="55">
    <w:name w:val="7表格内容"/>
    <w:basedOn w:val="56"/>
    <w:qFormat/>
    <w:uiPriority w:val="0"/>
    <w:pPr>
      <w:spacing w:line="240" w:lineRule="auto"/>
      <w:ind w:firstLine="0" w:firstLineChars="0"/>
      <w:jc w:val="center"/>
    </w:pPr>
    <w:rPr>
      <w:szCs w:val="21"/>
    </w:rPr>
  </w:style>
  <w:style w:type="paragraph" w:customStyle="1" w:styleId="56">
    <w:name w:val="5段落"/>
    <w:basedOn w:val="1"/>
    <w:qFormat/>
    <w:uiPriority w:val="0"/>
    <w:pPr>
      <w:spacing w:line="360" w:lineRule="auto"/>
      <w:ind w:firstLine="420" w:firstLineChars="200"/>
    </w:pPr>
  </w:style>
  <w:style w:type="paragraph" w:customStyle="1" w:styleId="57">
    <w:name w:val="4表格标题"/>
    <w:basedOn w:val="1"/>
    <w:qFormat/>
    <w:uiPriority w:val="0"/>
    <w:pPr>
      <w:numPr>
        <w:ilvl w:val="3"/>
        <w:numId w:val="1"/>
      </w:numPr>
      <w:spacing w:line="360" w:lineRule="auto"/>
      <w:jc w:val="center"/>
    </w:pPr>
    <w:rPr>
      <w:rFonts w:ascii="gbsnu54" w:hAnsi="gbsnu54" w:cs="gbsnu54"/>
      <w:b/>
      <w:bCs/>
      <w:color w:val="000000"/>
      <w:kern w:val="0"/>
      <w:szCs w:val="16"/>
    </w:rPr>
  </w:style>
  <w:style w:type="character" w:customStyle="1" w:styleId="58">
    <w:name w:val="font51"/>
    <w:basedOn w:val="19"/>
    <w:qFormat/>
    <w:uiPriority w:val="0"/>
    <w:rPr>
      <w:rFonts w:hint="eastAsia" w:ascii="宋体" w:hAnsi="宋体" w:eastAsia="宋体" w:cs="宋体"/>
      <w:color w:val="000000"/>
      <w:sz w:val="21"/>
      <w:szCs w:val="21"/>
      <w:u w:val="none"/>
    </w:rPr>
  </w:style>
  <w:style w:type="paragraph" w:customStyle="1" w:styleId="59">
    <w:name w:val="样式1"/>
    <w:basedOn w:val="1"/>
    <w:qFormat/>
    <w:uiPriority w:val="0"/>
    <w:pPr>
      <w:numPr>
        <w:ilvl w:val="0"/>
        <w:numId w:val="2"/>
      </w:numPr>
      <w:spacing w:line="360" w:lineRule="auto"/>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3.jpeg"/><Relationship Id="rId30" Type="http://schemas.openxmlformats.org/officeDocument/2006/relationships/image" Target="media/image22.jpeg"/><Relationship Id="rId3" Type="http://schemas.openxmlformats.org/officeDocument/2006/relationships/footer" Target="footer1.xml"/><Relationship Id="rId29" Type="http://schemas.openxmlformats.org/officeDocument/2006/relationships/image" Target="media/image21.jpeg"/><Relationship Id="rId28" Type="http://schemas.openxmlformats.org/officeDocument/2006/relationships/image" Target="media/image20.jpe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"/>
    </extobj>
    <extobj name="ECB019B1-382A-4266-B25C-5B523AA43C14-2">
      <extobjdata type="ECB019B1-382A-4266-B25C-5B523AA43C14" data="ewoJIkZpbGVJZCIgOiAiMTE5NTcyMjY4MTk5IiwKCSJHcm91cElkIiA6ICIzODk0NjU4NDAiLAoJIkltYWdlIiA6ICJpVkJPUncwS0dnb0FBQUFOU1VoRVVnQUFBVndBQUFKVkNBWUFBQUNTOFUxNUFBQUFDWEJJV1hNQUFBc1RBQUFMRXdFQW1wd1lBQUFnQUVsRVFWUjRuT3pkZTF4YjVmMEg4TStUa0JzSmtJUmJnWElMYU5PRzJ6blZWZDEwL3F5WGRkUFZlWnV1dWsyZDI5UlZuVHB0ZC9HeXFYUFR1Ym5mbk03OWZLbWJtOXJwbks2dTFWYnIvZEtWaEVKU3FFWEN0VnlhRWtJSUliZnovUDZBWUtCUW9JVUU2UGY5ZXZWVnpuT2U4NXp2S2VYTGsrYzh6emtB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"/>
    </extobj>
    <extobj name="ECB019B1-382A-4266-B25C-5B523AA43C14-3">
      <extobjdata type="ECB019B1-382A-4266-B25C-5B523AA43C14" data="ewoJIkZpbGVJZCIgOiAiMTYzMjAzODMzNzA2IiwKCSJHcm91cElkIiA6ICIzODk0NjU4NDAiLAoJIkltYWdlIiA6ICJpVkJPUncwS0dnb0FBQUFOU1VoRVVnQUFBRHdBQUFBOENBWUFBQUE2L05seUFBQUFDWEJJV1hNQUFBc1RBQUFMRXdFQW1wd1lBQUFBSkVsRVFWUm9nZTNCTVFFQUFBRENvUFZQN1drSm9BQUFBQUFBQUFBQUFBQUFBQUFBYmpoOEFBRnRlMTFqQUFBQUFFbEZUa1N1UW1DQyIsCgkiVGhlbWUiIDogIiIsCgkiVHlwZSIgOiAiZmxvdyIsCgkiVmVyc2lvbiIgOiAiIgp9Cg=="/>
    </extobj>
    <extobj name="ECB019B1-382A-4266-B25C-5B523AA43C14-4">
      <extobjdata type="ECB019B1-382A-4266-B25C-5B523AA43C14" data="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23634</Words>
  <Characters>27443</Characters>
  <Lines>200</Lines>
  <Paragraphs>56</Paragraphs>
  <TotalTime>2</TotalTime>
  <ScaleCrop>false</ScaleCrop>
  <LinksUpToDate>false</LinksUpToDate>
  <CharactersWithSpaces>27670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2021-03-27T00:45:00Z</cp:lastPrinted>
  <dcterms:modified xsi:type="dcterms:W3CDTF">2022-08-08T02:17:02Z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BEA012D3AAB74BF489D7664161DF8C94</vt:lpwstr>
  </property>
</Properties>
</file>