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592" w:lineRule="exact"/>
        <w:jc w:val="center"/>
        <w:textAlignment w:val="auto"/>
        <w:rPr>
          <w:rFonts w:hint="default" w:ascii="Times New Roman" w:hAnsi="Times New Roman" w:eastAsia="方正小标宋简体" w:cs="Times New Roman"/>
          <w:b w:val="0"/>
          <w:bCs/>
          <w:sz w:val="44"/>
          <w:szCs w:val="44"/>
        </w:rPr>
      </w:pPr>
      <w:r>
        <w:rPr>
          <w:rFonts w:hint="default" w:ascii="Times New Roman" w:hAnsi="Times New Roman" w:eastAsia="方正小标宋简体" w:cs="Times New Roman"/>
          <w:b w:val="0"/>
          <w:bCs/>
          <w:sz w:val="44"/>
          <w:szCs w:val="44"/>
        </w:rPr>
        <w:t>关于泗县2021年财政决算及2022年上半年</w:t>
      </w:r>
    </w:p>
    <w:p>
      <w:pPr>
        <w:keepNext w:val="0"/>
        <w:keepLines w:val="0"/>
        <w:pageBreakBefore w:val="0"/>
        <w:widowControl w:val="0"/>
        <w:kinsoku/>
        <w:wordWrap/>
        <w:overflowPunct/>
        <w:topLinePunct w:val="0"/>
        <w:autoSpaceDE/>
        <w:autoSpaceDN/>
        <w:bidi w:val="0"/>
        <w:adjustRightInd w:val="0"/>
        <w:snapToGrid w:val="0"/>
        <w:spacing w:line="592" w:lineRule="exact"/>
        <w:jc w:val="center"/>
        <w:textAlignment w:val="auto"/>
        <w:rPr>
          <w:rFonts w:hint="default" w:ascii="Times New Roman" w:hAnsi="Times New Roman" w:eastAsia="方正小标宋简体" w:cs="Times New Roman"/>
          <w:b w:val="0"/>
          <w:bCs/>
        </w:rPr>
      </w:pPr>
      <w:r>
        <w:rPr>
          <w:rFonts w:hint="default" w:ascii="Times New Roman" w:hAnsi="Times New Roman" w:eastAsia="方正小标宋简体" w:cs="Times New Roman"/>
          <w:b w:val="0"/>
          <w:bCs/>
          <w:sz w:val="44"/>
          <w:szCs w:val="44"/>
        </w:rPr>
        <w:t>预算执行情况的报告</w:t>
      </w:r>
    </w:p>
    <w:p>
      <w:pPr>
        <w:pStyle w:val="2"/>
        <w:keepNext w:val="0"/>
        <w:keepLines w:val="0"/>
        <w:pageBreakBefore w:val="0"/>
        <w:widowControl w:val="0"/>
        <w:kinsoku/>
        <w:wordWrap/>
        <w:overflowPunct/>
        <w:topLinePunct w:val="0"/>
        <w:autoSpaceDE/>
        <w:autoSpaceDN/>
        <w:bidi w:val="0"/>
        <w:spacing w:line="592" w:lineRule="exact"/>
        <w:ind w:left="0" w:leftChars="0" w:firstLine="0" w:firstLineChars="0"/>
        <w:jc w:val="center"/>
        <w:textAlignment w:val="auto"/>
        <w:rPr>
          <w:rFonts w:hint="default" w:ascii="Times New Roman" w:hAnsi="Times New Roman" w:eastAsia="楷体_GB2312" w:cs="Times New Roman"/>
          <w:color w:val="000000"/>
          <w:sz w:val="32"/>
          <w:szCs w:val="32"/>
          <w:lang w:eastAsia="zh-CN"/>
        </w:rPr>
      </w:pPr>
      <w:r>
        <w:rPr>
          <w:rFonts w:hint="default" w:ascii="Times New Roman" w:hAnsi="Times New Roman" w:eastAsia="楷体_GB2312" w:cs="Times New Roman"/>
          <w:color w:val="000000"/>
          <w:sz w:val="32"/>
          <w:szCs w:val="32"/>
          <w:lang w:eastAsia="zh-CN"/>
        </w:rPr>
        <w:t>202</w:t>
      </w:r>
      <w:r>
        <w:rPr>
          <w:rFonts w:hint="default" w:ascii="Times New Roman" w:hAnsi="Times New Roman" w:cs="Times New Roman"/>
          <w:color w:val="000000"/>
          <w:sz w:val="32"/>
          <w:szCs w:val="32"/>
          <w:lang w:val="en-US" w:eastAsia="zh-CN"/>
        </w:rPr>
        <w:t>2年8</w:t>
      </w:r>
      <w:r>
        <w:rPr>
          <w:rFonts w:hint="default" w:ascii="Times New Roman" w:hAnsi="Times New Roman" w:eastAsia="楷体_GB2312" w:cs="Times New Roman"/>
          <w:color w:val="000000"/>
          <w:sz w:val="32"/>
          <w:szCs w:val="32"/>
          <w:lang w:eastAsia="zh-CN"/>
        </w:rPr>
        <w:t>月</w:t>
      </w:r>
      <w:r>
        <w:rPr>
          <w:rFonts w:hint="eastAsia" w:ascii="Times New Roman" w:hAnsi="Times New Roman" w:cs="Times New Roman"/>
          <w:color w:val="000000"/>
          <w:sz w:val="32"/>
          <w:szCs w:val="32"/>
          <w:lang w:val="en-US" w:eastAsia="zh-CN"/>
        </w:rPr>
        <w:t>25</w:t>
      </w:r>
      <w:r>
        <w:rPr>
          <w:rFonts w:hint="default" w:ascii="Times New Roman" w:hAnsi="Times New Roman" w:eastAsia="楷体_GB2312" w:cs="Times New Roman"/>
          <w:color w:val="000000"/>
          <w:sz w:val="32"/>
          <w:szCs w:val="32"/>
          <w:lang w:eastAsia="zh-CN"/>
        </w:rPr>
        <w:t>日在泗县十</w:t>
      </w:r>
      <w:r>
        <w:rPr>
          <w:rFonts w:hint="default" w:ascii="Times New Roman" w:hAnsi="Times New Roman" w:cs="Times New Roman"/>
          <w:color w:val="000000"/>
          <w:sz w:val="32"/>
          <w:szCs w:val="32"/>
          <w:lang w:val="en-US" w:eastAsia="zh-CN"/>
        </w:rPr>
        <w:t>八</w:t>
      </w:r>
      <w:r>
        <w:rPr>
          <w:rFonts w:hint="default" w:ascii="Times New Roman" w:hAnsi="Times New Roman" w:eastAsia="楷体_GB2312" w:cs="Times New Roman"/>
          <w:color w:val="000000"/>
          <w:sz w:val="32"/>
          <w:szCs w:val="32"/>
          <w:lang w:eastAsia="zh-CN"/>
        </w:rPr>
        <w:t>届人大常委会</w:t>
      </w:r>
    </w:p>
    <w:p>
      <w:pPr>
        <w:pStyle w:val="2"/>
        <w:keepNext w:val="0"/>
        <w:keepLines w:val="0"/>
        <w:pageBreakBefore w:val="0"/>
        <w:widowControl w:val="0"/>
        <w:kinsoku/>
        <w:wordWrap/>
        <w:overflowPunct/>
        <w:topLinePunct w:val="0"/>
        <w:autoSpaceDE/>
        <w:autoSpaceDN/>
        <w:bidi w:val="0"/>
        <w:spacing w:line="592" w:lineRule="exact"/>
        <w:ind w:left="0" w:leftChars="0" w:firstLine="0" w:firstLineChars="0"/>
        <w:jc w:val="center"/>
        <w:textAlignment w:val="auto"/>
        <w:rPr>
          <w:rFonts w:hint="default" w:ascii="Times New Roman" w:hAnsi="Times New Roman" w:eastAsia="楷体_GB2312" w:cs="Times New Roman"/>
          <w:color w:val="000000"/>
          <w:sz w:val="32"/>
          <w:szCs w:val="32"/>
          <w:lang w:eastAsia="zh-CN"/>
        </w:rPr>
      </w:pPr>
      <w:r>
        <w:rPr>
          <w:rFonts w:hint="default" w:ascii="Times New Roman" w:hAnsi="Times New Roman" w:eastAsia="楷体_GB2312" w:cs="Times New Roman"/>
          <w:color w:val="000000"/>
          <w:sz w:val="32"/>
          <w:szCs w:val="32"/>
          <w:lang w:eastAsia="zh-CN"/>
        </w:rPr>
        <w:t>第</w:t>
      </w:r>
      <w:r>
        <w:rPr>
          <w:rFonts w:hint="default" w:ascii="Times New Roman" w:hAnsi="Times New Roman" w:cs="Times New Roman"/>
          <w:color w:val="000000"/>
          <w:sz w:val="32"/>
          <w:szCs w:val="32"/>
          <w:lang w:val="en-US" w:eastAsia="zh-CN"/>
        </w:rPr>
        <w:t>四</w:t>
      </w:r>
      <w:r>
        <w:rPr>
          <w:rFonts w:hint="default" w:ascii="Times New Roman" w:hAnsi="Times New Roman" w:eastAsia="楷体_GB2312" w:cs="Times New Roman"/>
          <w:color w:val="000000"/>
          <w:sz w:val="32"/>
          <w:szCs w:val="32"/>
          <w:lang w:eastAsia="zh-CN"/>
        </w:rPr>
        <w:t>次会议上</w:t>
      </w:r>
    </w:p>
    <w:p>
      <w:pPr>
        <w:pStyle w:val="2"/>
        <w:keepNext w:val="0"/>
        <w:keepLines w:val="0"/>
        <w:pageBreakBefore w:val="0"/>
        <w:widowControl w:val="0"/>
        <w:kinsoku/>
        <w:wordWrap/>
        <w:overflowPunct/>
        <w:topLinePunct w:val="0"/>
        <w:autoSpaceDE/>
        <w:autoSpaceDN/>
        <w:bidi w:val="0"/>
        <w:spacing w:line="592" w:lineRule="exact"/>
        <w:ind w:left="0" w:leftChars="0" w:firstLine="0" w:firstLineChars="0"/>
        <w:jc w:val="center"/>
        <w:textAlignment w:val="auto"/>
        <w:rPr>
          <w:rFonts w:hint="default" w:ascii="Times New Roman" w:hAnsi="Times New Roman" w:eastAsia="楷体_GB2312" w:cs="Times New Roman"/>
          <w:color w:val="000000"/>
          <w:sz w:val="32"/>
          <w:szCs w:val="32"/>
          <w:lang w:eastAsia="zh-CN"/>
        </w:rPr>
      </w:pPr>
      <w:r>
        <w:rPr>
          <w:rFonts w:hint="default" w:ascii="Times New Roman" w:hAnsi="Times New Roman" w:eastAsia="楷体_GB2312" w:cs="Times New Roman"/>
          <w:color w:val="000000"/>
          <w:sz w:val="32"/>
          <w:szCs w:val="32"/>
          <w:lang w:eastAsia="zh-CN"/>
        </w:rPr>
        <w:t xml:space="preserve">泗县财政局局长  </w:t>
      </w:r>
      <w:r>
        <w:rPr>
          <w:rFonts w:hint="default" w:ascii="Times New Roman" w:hAnsi="Times New Roman" w:cs="Times New Roman"/>
          <w:color w:val="000000"/>
          <w:sz w:val="32"/>
          <w:szCs w:val="32"/>
          <w:lang w:val="en-US" w:eastAsia="zh-CN"/>
        </w:rPr>
        <w:t>曹飞</w:t>
      </w:r>
    </w:p>
    <w:p>
      <w:pPr>
        <w:keepNext w:val="0"/>
        <w:keepLines w:val="0"/>
        <w:pageBreakBefore w:val="0"/>
        <w:widowControl w:val="0"/>
        <w:kinsoku/>
        <w:wordWrap/>
        <w:overflowPunct/>
        <w:topLinePunct w:val="0"/>
        <w:autoSpaceDE/>
        <w:autoSpaceDN/>
        <w:bidi w:val="0"/>
        <w:spacing w:line="592" w:lineRule="exact"/>
        <w:textAlignment w:val="auto"/>
        <w:rPr>
          <w:rFonts w:hint="default" w:ascii="Times New Roman" w:hAnsi="Times New Roman" w:eastAsia="仿宋_GB2312" w:cs="Times New Roman"/>
          <w:color w:val="000000"/>
          <w:sz w:val="32"/>
          <w:szCs w:val="32"/>
        </w:rPr>
      </w:pPr>
    </w:p>
    <w:p>
      <w:pPr>
        <w:keepNext w:val="0"/>
        <w:keepLines w:val="0"/>
        <w:pageBreakBefore w:val="0"/>
        <w:widowControl w:val="0"/>
        <w:kinsoku/>
        <w:wordWrap/>
        <w:overflowPunct/>
        <w:topLinePunct w:val="0"/>
        <w:autoSpaceDE/>
        <w:autoSpaceDN/>
        <w:bidi w:val="0"/>
        <w:spacing w:line="592" w:lineRule="exac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主任、各位副主任、各位委员：</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受县政府委托，现将我县2021年财政决算及2022年上半年预算执行情况报告如下，请予审议。</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一、2021年财政决算情况</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楷体_GB2312" w:cs="Times New Roman"/>
          <w:color w:val="000000"/>
          <w:sz w:val="32"/>
          <w:szCs w:val="32"/>
        </w:rPr>
      </w:pPr>
      <w:r>
        <w:rPr>
          <w:rFonts w:hint="default" w:ascii="Times New Roman" w:hAnsi="Times New Roman" w:eastAsia="楷体_GB2312" w:cs="Times New Roman"/>
          <w:color w:val="000000"/>
          <w:sz w:val="32"/>
          <w:szCs w:val="32"/>
        </w:rPr>
        <w:t>（一）2021年一般公共预算收支情况</w:t>
      </w:r>
    </w:p>
    <w:p>
      <w:pPr>
        <w:keepNext w:val="0"/>
        <w:keepLines w:val="0"/>
        <w:pageBreakBefore w:val="0"/>
        <w:widowControl w:val="0"/>
        <w:kinsoku/>
        <w:wordWrap/>
        <w:overflowPunct/>
        <w:topLinePunct w:val="0"/>
        <w:autoSpaceDE/>
        <w:autoSpaceDN/>
        <w:bidi w:val="0"/>
        <w:adjustRightInd/>
        <w:snapToGrid/>
        <w:spacing w:line="592"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2021年全县一般公共预算收入完成14.55亿元，为预算的103.3%，</w:t>
      </w:r>
      <w:r>
        <w:rPr>
          <w:rFonts w:hint="default" w:ascii="Times New Roman" w:hAnsi="Times New Roman" w:eastAsia="仿宋_GB2312" w:cs="Times New Roman"/>
          <w:color w:val="000000"/>
          <w:sz w:val="32"/>
          <w:szCs w:val="32"/>
          <w:lang w:val="en-US" w:eastAsia="zh-CN"/>
        </w:rPr>
        <w:t>同比</w:t>
      </w:r>
      <w:r>
        <w:rPr>
          <w:rFonts w:hint="default" w:ascii="Times New Roman" w:hAnsi="Times New Roman" w:eastAsia="仿宋_GB2312" w:cs="Times New Roman"/>
          <w:color w:val="000000"/>
          <w:sz w:val="32"/>
          <w:szCs w:val="32"/>
        </w:rPr>
        <w:t>增长10.6%。加上级补助收入37.84亿元、上年结余0.65亿元、调入资金6.54亿元、债务转贷收入3.85亿元、动用预算稳定调节基金3.59亿元，收入合计67.02亿元。</w:t>
      </w:r>
    </w:p>
    <w:p>
      <w:pPr>
        <w:keepNext w:val="0"/>
        <w:keepLines w:val="0"/>
        <w:pageBreakBefore w:val="0"/>
        <w:widowControl w:val="0"/>
        <w:kinsoku/>
        <w:wordWrap/>
        <w:overflowPunct/>
        <w:topLinePunct w:val="0"/>
        <w:autoSpaceDE/>
        <w:autoSpaceDN/>
        <w:bidi w:val="0"/>
        <w:adjustRightInd/>
        <w:snapToGrid/>
        <w:spacing w:line="592"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2021年全县一般公共预算支出完成60.52亿元，为年初预算的135.9%，</w:t>
      </w:r>
      <w:r>
        <w:rPr>
          <w:rFonts w:hint="default" w:ascii="Times New Roman" w:hAnsi="Times New Roman" w:eastAsia="仿宋_GB2312" w:cs="Times New Roman"/>
          <w:color w:val="000000"/>
          <w:sz w:val="32"/>
          <w:szCs w:val="32"/>
          <w:lang w:val="en-US" w:eastAsia="zh-CN"/>
        </w:rPr>
        <w:t>同比</w:t>
      </w:r>
      <w:r>
        <w:rPr>
          <w:rFonts w:hint="default" w:ascii="Times New Roman" w:hAnsi="Times New Roman" w:eastAsia="仿宋_GB2312" w:cs="Times New Roman"/>
          <w:color w:val="000000"/>
          <w:sz w:val="32"/>
          <w:szCs w:val="32"/>
        </w:rPr>
        <w:t>下降5.6%。加上解上级支出0.28亿元、债务还本支出2.53亿元、安排预算稳定调节基金1.41亿元，支出合计64.74亿元。收支相抵，</w:t>
      </w:r>
      <w:r>
        <w:rPr>
          <w:rFonts w:hint="default" w:ascii="Times New Roman" w:hAnsi="Times New Roman" w:eastAsia="仿宋_GB2312" w:cs="Times New Roman"/>
          <w:color w:val="000000"/>
          <w:sz w:val="32"/>
          <w:szCs w:val="32"/>
          <w:lang w:eastAsia="zh-CN"/>
        </w:rPr>
        <w:t>结转下年</w:t>
      </w:r>
      <w:r>
        <w:rPr>
          <w:rFonts w:hint="default" w:ascii="Times New Roman" w:hAnsi="Times New Roman" w:eastAsia="仿宋_GB2312" w:cs="Times New Roman"/>
          <w:color w:val="000000"/>
          <w:sz w:val="32"/>
          <w:szCs w:val="32"/>
        </w:rPr>
        <w:t>2.28亿元。</w:t>
      </w:r>
    </w:p>
    <w:p>
      <w:pPr>
        <w:keepNext w:val="0"/>
        <w:keepLines w:val="0"/>
        <w:pageBreakBefore w:val="0"/>
        <w:widowControl w:val="0"/>
        <w:kinsoku/>
        <w:wordWrap/>
        <w:overflowPunct/>
        <w:topLinePunct w:val="0"/>
        <w:autoSpaceDE/>
        <w:autoSpaceDN/>
        <w:bidi w:val="0"/>
        <w:adjustRightInd/>
        <w:snapToGrid/>
        <w:spacing w:line="592"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2021年全县上级补助收入情况。2021年省对我县补助收入37.84亿元，下降7.3%。其中：返还性收入1.02亿元，与上年持平；一般性转移支付33.18亿元，比上年减少3.69亿元，</w:t>
      </w:r>
      <w:r>
        <w:rPr>
          <w:rFonts w:hint="default" w:ascii="Times New Roman" w:hAnsi="Times New Roman" w:eastAsia="仿宋_GB2312" w:cs="Times New Roman"/>
          <w:color w:val="000000"/>
          <w:sz w:val="32"/>
          <w:szCs w:val="32"/>
          <w:lang w:val="en-US" w:eastAsia="zh-CN"/>
        </w:rPr>
        <w:t>同比</w:t>
      </w:r>
      <w:r>
        <w:rPr>
          <w:rFonts w:hint="default" w:ascii="Times New Roman" w:hAnsi="Times New Roman" w:eastAsia="仿宋_GB2312" w:cs="Times New Roman"/>
          <w:color w:val="000000"/>
          <w:sz w:val="32"/>
          <w:szCs w:val="32"/>
        </w:rPr>
        <w:t>下降10%；专项转移支付3.64亿元，比上年增加0.71亿元，</w:t>
      </w:r>
      <w:r>
        <w:rPr>
          <w:rFonts w:hint="default" w:ascii="Times New Roman" w:hAnsi="Times New Roman" w:eastAsia="仿宋_GB2312" w:cs="Times New Roman"/>
          <w:color w:val="000000"/>
          <w:sz w:val="32"/>
          <w:szCs w:val="32"/>
          <w:lang w:val="en-US" w:eastAsia="zh-CN"/>
        </w:rPr>
        <w:t>同比</w:t>
      </w:r>
      <w:r>
        <w:rPr>
          <w:rFonts w:hint="default" w:ascii="Times New Roman" w:hAnsi="Times New Roman" w:eastAsia="仿宋_GB2312" w:cs="Times New Roman"/>
          <w:color w:val="000000"/>
          <w:sz w:val="32"/>
          <w:szCs w:val="32"/>
        </w:rPr>
        <w:t>增长24.2%。</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2021年县本级一般公共预算收入完成12.05亿元，加上级补助收入37.84亿元、上年结余0.55亿元、调入资金6.54亿元、债务转贷收入3.85亿元、动用预算稳定调节基金3.59亿元，县本级收入合计64.42亿元。</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2021年县本级一般公共预算支出完成55.79亿元，为预算的</w:t>
      </w:r>
      <w:r>
        <w:rPr>
          <w:rFonts w:hint="default" w:ascii="Times New Roman" w:hAnsi="Times New Roman" w:eastAsia="仿宋_GB2312" w:cs="Times New Roman"/>
          <w:color w:val="000000"/>
          <w:sz w:val="32"/>
          <w:szCs w:val="32"/>
          <w:lang w:val="en-US" w:eastAsia="zh-CN"/>
        </w:rPr>
        <w:t>133.7</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eastAsia="zh-CN"/>
        </w:rPr>
        <w:t>同比下降</w:t>
      </w:r>
      <w:r>
        <w:rPr>
          <w:rFonts w:hint="default" w:ascii="Times New Roman" w:hAnsi="Times New Roman" w:eastAsia="仿宋_GB2312" w:cs="Times New Roman"/>
          <w:color w:val="000000"/>
          <w:sz w:val="32"/>
          <w:szCs w:val="32"/>
          <w:lang w:val="en-US" w:eastAsia="zh-CN"/>
        </w:rPr>
        <w:t>5.6</w:t>
      </w:r>
      <w:r>
        <w:rPr>
          <w:rFonts w:hint="default" w:ascii="Times New Roman" w:hAnsi="Times New Roman" w:eastAsia="仿宋_GB2312" w:cs="Times New Roman"/>
          <w:color w:val="000000"/>
          <w:sz w:val="32"/>
          <w:szCs w:val="32"/>
        </w:rPr>
        <w:t>%。加上解上级支出0.28亿元，债券还本支出2.53亿元，安排预算稳定调节基金1.42亿元，支出合计60.02亿元，补助乡镇支出2.23亿元，县本级支出合计62.25亿元。收支相抵，</w:t>
      </w:r>
      <w:r>
        <w:rPr>
          <w:rFonts w:hint="default" w:ascii="Times New Roman" w:hAnsi="Times New Roman" w:eastAsia="仿宋_GB2312" w:cs="Times New Roman"/>
          <w:color w:val="000000"/>
          <w:sz w:val="32"/>
          <w:szCs w:val="32"/>
          <w:lang w:eastAsia="zh-CN"/>
        </w:rPr>
        <w:t>结转下年</w:t>
      </w:r>
      <w:r>
        <w:rPr>
          <w:rFonts w:hint="default" w:ascii="Times New Roman" w:hAnsi="Times New Roman" w:eastAsia="仿宋_GB2312" w:cs="Times New Roman"/>
          <w:color w:val="000000"/>
          <w:sz w:val="32"/>
          <w:szCs w:val="32"/>
        </w:rPr>
        <w:t>2.17亿元。</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楷体_GB2312" w:cs="Times New Roman"/>
          <w:color w:val="000000"/>
          <w:sz w:val="32"/>
          <w:szCs w:val="32"/>
        </w:rPr>
      </w:pPr>
      <w:r>
        <w:rPr>
          <w:rFonts w:hint="default" w:ascii="Times New Roman" w:hAnsi="Times New Roman" w:eastAsia="楷体_GB2312" w:cs="Times New Roman"/>
          <w:color w:val="000000"/>
          <w:sz w:val="32"/>
          <w:szCs w:val="32"/>
        </w:rPr>
        <w:t>（二）2021年政府性基金收支情况</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2021年，全县政府性基金收入37.88亿元，完成预算124.2%，</w:t>
      </w:r>
      <w:r>
        <w:rPr>
          <w:rFonts w:hint="default" w:ascii="Times New Roman" w:hAnsi="Times New Roman" w:eastAsia="仿宋_GB2312" w:cs="Times New Roman"/>
          <w:color w:val="000000"/>
          <w:sz w:val="32"/>
          <w:szCs w:val="32"/>
          <w:lang w:val="en-US" w:eastAsia="zh-CN"/>
        </w:rPr>
        <w:t>同比</w:t>
      </w:r>
      <w:r>
        <w:rPr>
          <w:rFonts w:hint="default" w:ascii="Times New Roman" w:hAnsi="Times New Roman" w:eastAsia="仿宋_GB2312" w:cs="Times New Roman"/>
          <w:color w:val="000000"/>
          <w:sz w:val="32"/>
          <w:szCs w:val="32"/>
        </w:rPr>
        <w:t>下降6.2%，其中：国有土地使用权出让收入36.97亿元，</w:t>
      </w:r>
      <w:r>
        <w:rPr>
          <w:rFonts w:hint="default" w:ascii="Times New Roman" w:hAnsi="Times New Roman" w:eastAsia="仿宋_GB2312" w:cs="Times New Roman"/>
          <w:color w:val="000000"/>
          <w:sz w:val="32"/>
          <w:szCs w:val="32"/>
          <w:lang w:val="en-US" w:eastAsia="zh-CN"/>
        </w:rPr>
        <w:t>同比</w:t>
      </w:r>
      <w:r>
        <w:rPr>
          <w:rFonts w:hint="default" w:ascii="Times New Roman" w:hAnsi="Times New Roman" w:eastAsia="仿宋_GB2312" w:cs="Times New Roman"/>
          <w:color w:val="000000"/>
          <w:sz w:val="32"/>
          <w:szCs w:val="32"/>
        </w:rPr>
        <w:t>下降7%。加上级补助收入1.13亿元、上年结余0.48亿元、调入资金0.50亿元、债务转贷收入16.54亿元，政府性基金收入合计56.53亿元。</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2021年政府性基金支出50.27亿元，完成预算190.5%，</w:t>
      </w:r>
      <w:r>
        <w:rPr>
          <w:rFonts w:hint="default" w:ascii="Times New Roman" w:hAnsi="Times New Roman" w:eastAsia="仿宋_GB2312" w:cs="Times New Roman"/>
          <w:color w:val="000000"/>
          <w:sz w:val="32"/>
          <w:szCs w:val="32"/>
          <w:lang w:val="en-US" w:eastAsia="zh-CN"/>
        </w:rPr>
        <w:t>同比</w:t>
      </w:r>
      <w:r>
        <w:rPr>
          <w:rFonts w:hint="default" w:ascii="Times New Roman" w:hAnsi="Times New Roman" w:eastAsia="仿宋_GB2312" w:cs="Times New Roman"/>
          <w:color w:val="000000"/>
          <w:sz w:val="32"/>
          <w:szCs w:val="32"/>
        </w:rPr>
        <w:t>增长7%，其中：国有土地使用权出让支出31.82亿元，</w:t>
      </w:r>
      <w:r>
        <w:rPr>
          <w:rFonts w:hint="default" w:ascii="Times New Roman" w:hAnsi="Times New Roman" w:eastAsia="仿宋_GB2312" w:cs="Times New Roman"/>
          <w:color w:val="000000"/>
          <w:sz w:val="32"/>
          <w:szCs w:val="32"/>
          <w:lang w:val="en-US" w:eastAsia="zh-CN"/>
        </w:rPr>
        <w:t>同比</w:t>
      </w:r>
      <w:r>
        <w:rPr>
          <w:rFonts w:hint="default" w:ascii="Times New Roman" w:hAnsi="Times New Roman" w:eastAsia="仿宋_GB2312" w:cs="Times New Roman"/>
          <w:color w:val="000000"/>
          <w:sz w:val="32"/>
          <w:szCs w:val="32"/>
        </w:rPr>
        <w:t>增长13%；加调出资金4.32亿元、债务还本支出0.62亿元，支出合计55.21亿元，收支相抵</w:t>
      </w:r>
      <w:r>
        <w:rPr>
          <w:rFonts w:hint="default" w:ascii="Times New Roman" w:hAnsi="Times New Roman" w:eastAsia="仿宋_GB2312" w:cs="Times New Roman"/>
          <w:color w:val="000000"/>
          <w:sz w:val="32"/>
          <w:szCs w:val="32"/>
          <w:lang w:eastAsia="zh-CN"/>
        </w:rPr>
        <w:t>结转下年</w:t>
      </w:r>
      <w:r>
        <w:rPr>
          <w:rFonts w:hint="default" w:ascii="Times New Roman" w:hAnsi="Times New Roman" w:eastAsia="仿宋_GB2312" w:cs="Times New Roman"/>
          <w:color w:val="000000"/>
          <w:sz w:val="32"/>
          <w:szCs w:val="32"/>
        </w:rPr>
        <w:t>1.32亿元。</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楷体_GB2312" w:cs="Times New Roman"/>
          <w:color w:val="000000"/>
          <w:sz w:val="32"/>
          <w:szCs w:val="32"/>
        </w:rPr>
      </w:pPr>
      <w:r>
        <w:rPr>
          <w:rFonts w:hint="default" w:ascii="Times New Roman" w:hAnsi="Times New Roman" w:eastAsia="楷体_GB2312" w:cs="Times New Roman"/>
          <w:color w:val="000000"/>
          <w:sz w:val="32"/>
          <w:szCs w:val="32"/>
        </w:rPr>
        <w:t>（三）2021年社会保险基金收支情况</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2021年，全县城乡居民基本养老</w:t>
      </w:r>
      <w:r>
        <w:rPr>
          <w:rFonts w:hint="default" w:ascii="Times New Roman" w:hAnsi="Times New Roman" w:eastAsia="仿宋_GB2312" w:cs="Times New Roman"/>
          <w:color w:val="000000"/>
          <w:sz w:val="32"/>
          <w:szCs w:val="32"/>
          <w:lang w:val="en-US" w:eastAsia="zh-CN"/>
        </w:rPr>
        <w:t>保险</w:t>
      </w:r>
      <w:r>
        <w:rPr>
          <w:rFonts w:hint="default" w:ascii="Times New Roman" w:hAnsi="Times New Roman" w:eastAsia="仿宋_GB2312" w:cs="Times New Roman"/>
          <w:color w:val="000000"/>
          <w:sz w:val="32"/>
          <w:szCs w:val="32"/>
        </w:rPr>
        <w:t>基金收入3.33亿元</w:t>
      </w:r>
      <w:r>
        <w:rPr>
          <w:rFonts w:hint="default" w:ascii="Times New Roman" w:hAnsi="Times New Roman" w:eastAsia="仿宋_GB2312" w:cs="Times New Roman"/>
          <w:color w:val="000000"/>
          <w:sz w:val="32"/>
          <w:szCs w:val="32"/>
          <w:lang w:val="en-US" w:eastAsia="zh-CN"/>
        </w:rPr>
        <w:t>,同比</w:t>
      </w:r>
      <w:r>
        <w:rPr>
          <w:rFonts w:hint="default" w:ascii="Times New Roman" w:hAnsi="Times New Roman" w:eastAsia="仿宋_GB2312" w:cs="Times New Roman"/>
          <w:color w:val="000000"/>
          <w:sz w:val="32"/>
          <w:szCs w:val="32"/>
        </w:rPr>
        <w:t>增长7.1%；全县城乡居民基本养老</w:t>
      </w:r>
      <w:r>
        <w:rPr>
          <w:rFonts w:hint="default" w:ascii="Times New Roman" w:hAnsi="Times New Roman" w:eastAsia="仿宋_GB2312" w:cs="Times New Roman"/>
          <w:color w:val="000000"/>
          <w:sz w:val="32"/>
          <w:szCs w:val="32"/>
          <w:lang w:val="en-US" w:eastAsia="zh-CN"/>
        </w:rPr>
        <w:t>保险</w:t>
      </w:r>
      <w:r>
        <w:rPr>
          <w:rFonts w:hint="default" w:ascii="Times New Roman" w:hAnsi="Times New Roman" w:eastAsia="仿宋_GB2312" w:cs="Times New Roman"/>
          <w:color w:val="000000"/>
          <w:sz w:val="32"/>
          <w:szCs w:val="32"/>
        </w:rPr>
        <w:t>基金支出2.04亿元，</w:t>
      </w:r>
      <w:r>
        <w:rPr>
          <w:rFonts w:hint="default" w:ascii="Times New Roman" w:hAnsi="Times New Roman" w:eastAsia="仿宋_GB2312" w:cs="Times New Roman"/>
          <w:color w:val="000000"/>
          <w:sz w:val="32"/>
          <w:szCs w:val="32"/>
          <w:lang w:val="en-US" w:eastAsia="zh-CN"/>
        </w:rPr>
        <w:t>同比</w:t>
      </w:r>
      <w:r>
        <w:rPr>
          <w:rFonts w:hint="default" w:ascii="Times New Roman" w:hAnsi="Times New Roman" w:eastAsia="仿宋_GB2312" w:cs="Times New Roman"/>
          <w:color w:val="000000"/>
          <w:sz w:val="32"/>
          <w:szCs w:val="32"/>
        </w:rPr>
        <w:t>增长5.7%；本年收支相抵结余1.29亿元。年末滚存结余8.85亿元，</w:t>
      </w:r>
      <w:r>
        <w:rPr>
          <w:rFonts w:hint="default" w:ascii="Times New Roman" w:hAnsi="Times New Roman" w:eastAsia="仿宋_GB2312" w:cs="Times New Roman"/>
          <w:color w:val="000000"/>
          <w:sz w:val="32"/>
          <w:szCs w:val="32"/>
          <w:lang w:val="en-US" w:eastAsia="zh-CN"/>
        </w:rPr>
        <w:t>同比</w:t>
      </w:r>
      <w:r>
        <w:rPr>
          <w:rFonts w:hint="default" w:ascii="Times New Roman" w:hAnsi="Times New Roman" w:eastAsia="仿宋_GB2312" w:cs="Times New Roman"/>
          <w:color w:val="000000"/>
          <w:sz w:val="32"/>
          <w:szCs w:val="32"/>
        </w:rPr>
        <w:t>增长17.1%。（注：因统计口径不一致，与审计数据不同。目前只有城乡居民基本养老</w:t>
      </w:r>
      <w:r>
        <w:rPr>
          <w:rFonts w:hint="default" w:ascii="Times New Roman" w:hAnsi="Times New Roman" w:eastAsia="仿宋_GB2312" w:cs="Times New Roman"/>
          <w:color w:val="000000"/>
          <w:sz w:val="32"/>
          <w:szCs w:val="32"/>
          <w:lang w:val="en-US" w:eastAsia="zh-CN"/>
        </w:rPr>
        <w:t>保险</w:t>
      </w:r>
      <w:r>
        <w:rPr>
          <w:rFonts w:hint="default" w:ascii="Times New Roman" w:hAnsi="Times New Roman" w:eastAsia="仿宋_GB2312" w:cs="Times New Roman"/>
          <w:color w:val="000000"/>
          <w:sz w:val="32"/>
          <w:szCs w:val="32"/>
        </w:rPr>
        <w:t>基金为县级管理，其他基金全部为市级统筹，不纳入县级预决算。）</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楷体_GB2312" w:cs="Times New Roman"/>
          <w:color w:val="000000"/>
          <w:sz w:val="32"/>
          <w:szCs w:val="32"/>
        </w:rPr>
      </w:pPr>
      <w:r>
        <w:rPr>
          <w:rFonts w:hint="default" w:ascii="Times New Roman" w:hAnsi="Times New Roman" w:eastAsia="楷体_GB2312" w:cs="Times New Roman"/>
          <w:color w:val="000000"/>
          <w:sz w:val="32"/>
          <w:szCs w:val="32"/>
        </w:rPr>
        <w:t>（四）2021年国有资本经营预算收支情况</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2021年，县级国有资本经营预算收入2.37亿元，预算支出0.09亿元，调出资金2.13亿元，</w:t>
      </w:r>
      <w:r>
        <w:rPr>
          <w:rFonts w:hint="default" w:ascii="Times New Roman" w:hAnsi="Times New Roman" w:eastAsia="仿宋_GB2312" w:cs="Times New Roman"/>
          <w:color w:val="000000"/>
          <w:sz w:val="32"/>
          <w:szCs w:val="32"/>
          <w:lang w:eastAsia="zh-CN"/>
        </w:rPr>
        <w:t>结转下年</w:t>
      </w:r>
      <w:r>
        <w:rPr>
          <w:rFonts w:hint="default" w:ascii="Times New Roman" w:hAnsi="Times New Roman" w:eastAsia="仿宋_GB2312" w:cs="Times New Roman"/>
          <w:color w:val="000000"/>
          <w:sz w:val="32"/>
          <w:szCs w:val="32"/>
        </w:rPr>
        <w:t>0.15</w:t>
      </w:r>
      <w:r>
        <w:rPr>
          <w:rFonts w:hint="default" w:ascii="Times New Roman" w:hAnsi="Times New Roman" w:eastAsia="仿宋_GB2312" w:cs="Times New Roman"/>
          <w:color w:val="000000"/>
          <w:sz w:val="32"/>
          <w:szCs w:val="32"/>
          <w:lang w:eastAsia="zh-CN"/>
        </w:rPr>
        <w:t>亿</w:t>
      </w:r>
      <w:r>
        <w:rPr>
          <w:rFonts w:hint="default" w:ascii="Times New Roman" w:hAnsi="Times New Roman" w:eastAsia="仿宋_GB2312" w:cs="Times New Roman"/>
          <w:color w:val="000000"/>
          <w:sz w:val="32"/>
          <w:szCs w:val="32"/>
        </w:rPr>
        <w:t>元。</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楷体_GB2312" w:cs="Times New Roman"/>
          <w:color w:val="000000"/>
          <w:sz w:val="32"/>
          <w:szCs w:val="32"/>
        </w:rPr>
      </w:pPr>
      <w:r>
        <w:rPr>
          <w:rFonts w:hint="default" w:ascii="Times New Roman" w:hAnsi="Times New Roman" w:eastAsia="楷体_GB2312" w:cs="Times New Roman"/>
          <w:color w:val="000000"/>
          <w:sz w:val="32"/>
          <w:szCs w:val="32"/>
        </w:rPr>
        <w:t>（五）2021年预算执行效果</w:t>
      </w:r>
    </w:p>
    <w:p>
      <w:pPr>
        <w:keepNext w:val="0"/>
        <w:keepLines w:val="0"/>
        <w:pageBreakBefore w:val="0"/>
        <w:widowControl w:val="0"/>
        <w:kinsoku/>
        <w:wordWrap/>
        <w:overflowPunct/>
        <w:topLinePunct w:val="0"/>
        <w:autoSpaceDE/>
        <w:autoSpaceDN/>
        <w:bidi w:val="0"/>
        <w:spacing w:line="592" w:lineRule="exact"/>
        <w:ind w:firstLine="643" w:firstLineChars="200"/>
        <w:textAlignment w:val="auto"/>
        <w:rPr>
          <w:rFonts w:hint="default" w:ascii="Times New Roman" w:hAnsi="Times New Roman" w:eastAsia="仿宋_GB2312" w:cs="Times New Roman"/>
          <w:color w:val="000000"/>
          <w:sz w:val="32"/>
          <w:szCs w:val="32"/>
        </w:rPr>
      </w:pPr>
      <w:r>
        <w:rPr>
          <w:rFonts w:hint="eastAsia" w:ascii="仿宋_GB2312" w:hAnsi="仿宋_GB2312" w:eastAsia="仿宋_GB2312" w:cs="仿宋_GB2312"/>
          <w:b/>
          <w:bCs/>
          <w:sz w:val="32"/>
          <w:szCs w:val="32"/>
        </w:rPr>
        <w:t>一是财政</w:t>
      </w:r>
      <w:r>
        <w:rPr>
          <w:rFonts w:hint="eastAsia" w:ascii="仿宋_GB2312" w:hAnsi="仿宋_GB2312" w:eastAsia="仿宋_GB2312" w:cs="仿宋_GB2312"/>
          <w:b/>
          <w:bCs/>
          <w:sz w:val="32"/>
          <w:szCs w:val="32"/>
          <w:lang w:val="en-US" w:eastAsia="zh-CN"/>
        </w:rPr>
        <w:t>运行总体平稳</w:t>
      </w:r>
      <w:r>
        <w:rPr>
          <w:rFonts w:hint="eastAsia" w:ascii="仿宋_GB2312" w:hAnsi="仿宋_GB2312" w:eastAsia="仿宋_GB2312" w:cs="仿宋_GB2312"/>
          <w:b/>
          <w:bCs/>
          <w:sz w:val="32"/>
          <w:szCs w:val="32"/>
        </w:rPr>
        <w:t>。</w:t>
      </w:r>
      <w:r>
        <w:rPr>
          <w:rFonts w:hint="default" w:ascii="Times New Roman" w:hAnsi="Times New Roman" w:eastAsia="仿宋_GB2312" w:cs="Times New Roman"/>
          <w:color w:val="000000"/>
          <w:sz w:val="32"/>
          <w:szCs w:val="32"/>
        </w:rPr>
        <w:t>加强财政收入管理，努力克服支柱税源少、工业企业规模小及国家减税降费政策等因素的影响，积极主动作为，强化收入征管，充分挖掘增收潜力，财政收入实现平稳增长，收入质量明显提升。加强财政支出管理，始终坚守“保工资、保运转、保基本民生”底线，及时下达预算资金，督促预算部门加快预算执行进度，就业、教育、医疗、社会保障等重点领域支出得到有力保障。</w:t>
      </w:r>
    </w:p>
    <w:p>
      <w:pPr>
        <w:keepNext w:val="0"/>
        <w:keepLines w:val="0"/>
        <w:pageBreakBefore w:val="0"/>
        <w:widowControl w:val="0"/>
        <w:kinsoku/>
        <w:wordWrap/>
        <w:overflowPunct/>
        <w:topLinePunct w:val="0"/>
        <w:autoSpaceDE/>
        <w:autoSpaceDN/>
        <w:bidi w:val="0"/>
        <w:spacing w:line="592" w:lineRule="exact"/>
        <w:ind w:firstLine="643" w:firstLineChars="200"/>
        <w:textAlignment w:val="auto"/>
        <w:rPr>
          <w:rFonts w:hint="default" w:ascii="Times New Roman" w:hAnsi="Times New Roman" w:eastAsia="仿宋_GB2312" w:cs="Times New Roman"/>
          <w:color w:val="000000"/>
          <w:sz w:val="32"/>
          <w:szCs w:val="32"/>
        </w:rPr>
      </w:pPr>
      <w:r>
        <w:rPr>
          <w:rFonts w:hint="default" w:ascii="仿宋_GB2312" w:hAnsi="仿宋_GB2312" w:eastAsia="仿宋_GB2312" w:cs="仿宋_GB2312"/>
          <w:b/>
          <w:bCs/>
          <w:sz w:val="32"/>
          <w:szCs w:val="32"/>
        </w:rPr>
        <w:t>二是</w:t>
      </w:r>
      <w:r>
        <w:rPr>
          <w:rFonts w:hint="default" w:ascii="仿宋_GB2312" w:hAnsi="仿宋_GB2312" w:eastAsia="仿宋_GB2312" w:cs="仿宋_GB2312"/>
          <w:b/>
          <w:bCs/>
          <w:sz w:val="32"/>
          <w:szCs w:val="32"/>
          <w:lang w:val="en-US" w:eastAsia="zh-CN"/>
        </w:rPr>
        <w:t>支持发展积极有效</w:t>
      </w:r>
      <w:r>
        <w:rPr>
          <w:rFonts w:hint="default" w:ascii="仿宋_GB2312" w:hAnsi="仿宋_GB2312" w:eastAsia="仿宋_GB2312" w:cs="仿宋_GB2312"/>
          <w:b/>
          <w:bCs/>
          <w:sz w:val="32"/>
          <w:szCs w:val="32"/>
        </w:rPr>
        <w:t>。</w:t>
      </w:r>
      <w:r>
        <w:rPr>
          <w:rFonts w:hint="default" w:ascii="Times New Roman" w:hAnsi="Times New Roman" w:eastAsia="仿宋_GB2312" w:cs="Times New Roman"/>
          <w:color w:val="000000"/>
          <w:sz w:val="32"/>
          <w:szCs w:val="32"/>
        </w:rPr>
        <w:t>继续实施积极财政政策，2021年累计兑现各项涉企奖补资金1.5亿元。积极为企业申报各项补助资金，同时做好资金拨付及监管工作。全年共为15家企业拨付各类专项资金0.33亿元。进一步优化融资担保服务，全年新增担保业务9.14亿元，在保余额15.36亿元，较上年增长71.82%，担保放大倍数5.79倍；为67户在保企业提供过桥资金3.28亿元，较大程度缓解了企业贷款到期续贷压力，降低担保费率。</w:t>
      </w:r>
    </w:p>
    <w:p>
      <w:pPr>
        <w:keepNext w:val="0"/>
        <w:keepLines w:val="0"/>
        <w:pageBreakBefore w:val="0"/>
        <w:widowControl w:val="0"/>
        <w:kinsoku/>
        <w:wordWrap/>
        <w:overflowPunct/>
        <w:topLinePunct w:val="0"/>
        <w:autoSpaceDE/>
        <w:autoSpaceDN/>
        <w:bidi w:val="0"/>
        <w:spacing w:line="592" w:lineRule="exact"/>
        <w:ind w:firstLine="643" w:firstLineChars="200"/>
        <w:textAlignment w:val="auto"/>
        <w:rPr>
          <w:rFonts w:hint="default" w:ascii="Times New Roman" w:hAnsi="Times New Roman" w:eastAsia="仿宋_GB2312" w:cs="Times New Roman"/>
          <w:color w:val="000000"/>
          <w:sz w:val="32"/>
          <w:szCs w:val="32"/>
        </w:rPr>
      </w:pPr>
      <w:r>
        <w:rPr>
          <w:rFonts w:hint="default" w:ascii="仿宋_GB2312" w:hAnsi="仿宋_GB2312" w:eastAsia="仿宋_GB2312" w:cs="仿宋_GB2312"/>
          <w:b/>
          <w:bCs/>
          <w:sz w:val="32"/>
          <w:szCs w:val="32"/>
        </w:rPr>
        <w:t>三是民生福祉不断增进。</w:t>
      </w:r>
      <w:r>
        <w:rPr>
          <w:rFonts w:hint="default" w:ascii="Times New Roman" w:hAnsi="Times New Roman" w:eastAsia="仿宋_GB2312" w:cs="Times New Roman"/>
          <w:color w:val="000000"/>
          <w:sz w:val="32"/>
          <w:szCs w:val="32"/>
        </w:rPr>
        <w:t>2021年，全县财政累计投入衔接推进乡村振兴补助资金5.38亿元</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有力保障了脱贫攻坚和乡村振兴有效衔接</w:t>
      </w:r>
      <w:r>
        <w:rPr>
          <w:rFonts w:hint="default" w:ascii="Times New Roman" w:hAnsi="Times New Roman" w:eastAsia="仿宋_GB2312" w:cs="Times New Roman"/>
          <w:color w:val="000000"/>
          <w:sz w:val="32"/>
          <w:szCs w:val="32"/>
        </w:rPr>
        <w:t>。开展“防贫保”综合保险试点工作，动员20878户参保对象积极参保，收缴保费0.02亿元，财政补助0.02亿元，为有效防范脱贫人口和农村低收入人口返贫致贫提供了强有力的保障。投入22.8亿元继续组织实施好33项民生工程，不断提升就业、教育、医疗、社会保障、文化等公共服务供给能力。继续做好惠农补贴资金发放工作，全县通过“一卡通”累计发放补贴资金7.</w:t>
      </w:r>
      <w:r>
        <w:rPr>
          <w:rFonts w:hint="default" w:ascii="Times New Roman" w:hAnsi="Times New Roman" w:eastAsia="仿宋_GB2312" w:cs="Times New Roman"/>
          <w:color w:val="000000"/>
          <w:sz w:val="32"/>
          <w:szCs w:val="32"/>
          <w:lang w:val="en-US" w:eastAsia="zh-CN"/>
        </w:rPr>
        <w:t>81</w:t>
      </w:r>
      <w:r>
        <w:rPr>
          <w:rFonts w:hint="default" w:ascii="Times New Roman" w:hAnsi="Times New Roman" w:eastAsia="仿宋_GB2312" w:cs="Times New Roman"/>
          <w:color w:val="000000"/>
          <w:sz w:val="32"/>
          <w:szCs w:val="32"/>
        </w:rPr>
        <w:t>亿元，涉及2</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大项、4</w:t>
      </w:r>
      <w:r>
        <w:rPr>
          <w:rFonts w:hint="default" w:ascii="Times New Roman" w:hAnsi="Times New Roman" w:eastAsia="仿宋_GB2312" w:cs="Times New Roman"/>
          <w:color w:val="000000"/>
          <w:sz w:val="32"/>
          <w:szCs w:val="32"/>
          <w:lang w:val="en-US" w:eastAsia="zh-CN"/>
        </w:rPr>
        <w:t>9</w:t>
      </w:r>
      <w:r>
        <w:rPr>
          <w:rFonts w:hint="default" w:ascii="Times New Roman" w:hAnsi="Times New Roman" w:eastAsia="仿宋_GB2312" w:cs="Times New Roman"/>
          <w:color w:val="000000"/>
          <w:sz w:val="32"/>
          <w:szCs w:val="32"/>
        </w:rPr>
        <w:t>小项，受益农户19.3</w:t>
      </w:r>
      <w:r>
        <w:rPr>
          <w:rFonts w:hint="default" w:ascii="Times New Roman" w:hAnsi="Times New Roman" w:eastAsia="仿宋_GB2312" w:cs="Times New Roman"/>
          <w:color w:val="000000"/>
          <w:sz w:val="32"/>
          <w:szCs w:val="32"/>
          <w:lang w:val="en-US" w:eastAsia="zh-CN"/>
        </w:rPr>
        <w:t>9</w:t>
      </w:r>
      <w:r>
        <w:rPr>
          <w:rFonts w:hint="default" w:ascii="Times New Roman" w:hAnsi="Times New Roman" w:eastAsia="仿宋_GB2312" w:cs="Times New Roman"/>
          <w:color w:val="000000"/>
          <w:sz w:val="32"/>
          <w:szCs w:val="32"/>
        </w:rPr>
        <w:t>万户。</w:t>
      </w:r>
    </w:p>
    <w:p>
      <w:pPr>
        <w:keepNext w:val="0"/>
        <w:keepLines w:val="0"/>
        <w:pageBreakBefore w:val="0"/>
        <w:widowControl w:val="0"/>
        <w:kinsoku/>
        <w:wordWrap/>
        <w:overflowPunct/>
        <w:topLinePunct w:val="0"/>
        <w:autoSpaceDE/>
        <w:autoSpaceDN/>
        <w:bidi w:val="0"/>
        <w:spacing w:line="592" w:lineRule="exact"/>
        <w:ind w:firstLine="643" w:firstLineChars="200"/>
        <w:textAlignment w:val="auto"/>
        <w:rPr>
          <w:rFonts w:hint="default" w:ascii="Times New Roman" w:hAnsi="Times New Roman" w:eastAsia="仿宋_GB2312" w:cs="Times New Roman"/>
          <w:color w:val="000000"/>
          <w:sz w:val="32"/>
          <w:szCs w:val="32"/>
        </w:rPr>
      </w:pPr>
      <w:r>
        <w:rPr>
          <w:rFonts w:hint="default" w:ascii="仿宋_GB2312" w:hAnsi="仿宋_GB2312" w:eastAsia="仿宋_GB2312" w:cs="仿宋_GB2312"/>
          <w:b/>
          <w:bCs/>
          <w:sz w:val="32"/>
          <w:szCs w:val="32"/>
        </w:rPr>
        <w:t>四是风险防控</w:t>
      </w:r>
      <w:r>
        <w:rPr>
          <w:rFonts w:hint="default" w:ascii="仿宋_GB2312" w:hAnsi="仿宋_GB2312" w:eastAsia="仿宋_GB2312" w:cs="仿宋_GB2312"/>
          <w:b/>
          <w:bCs/>
          <w:sz w:val="32"/>
          <w:szCs w:val="32"/>
          <w:lang w:val="en-US" w:eastAsia="zh-CN"/>
        </w:rPr>
        <w:t>持续加强</w:t>
      </w:r>
      <w:r>
        <w:rPr>
          <w:rFonts w:hint="default" w:ascii="仿宋_GB2312" w:hAnsi="仿宋_GB2312" w:eastAsia="仿宋_GB2312" w:cs="仿宋_GB2312"/>
          <w:b/>
          <w:bCs/>
          <w:sz w:val="32"/>
          <w:szCs w:val="32"/>
        </w:rPr>
        <w:t>。</w:t>
      </w:r>
      <w:r>
        <w:rPr>
          <w:rFonts w:hint="default" w:ascii="Times New Roman" w:hAnsi="Times New Roman" w:eastAsia="仿宋_GB2312" w:cs="Times New Roman"/>
          <w:color w:val="000000"/>
          <w:sz w:val="32"/>
          <w:szCs w:val="32"/>
        </w:rPr>
        <w:t>聚焦预算管理、资金划拨等重点领域和重要环节，从规章制度、业务衔接和主观因素等方面制定完善内控制度体系，堵塞制度漏洞，清除管理隐患。加大隐性债务风险监管力度，坚决遏制隐性债务增量，切实防范化解隐性债务风险。截至2021年底，全县政府债务余额99.4亿元，债务限额105.5亿元，债务余额低于债务限额，债务风险总体可控。</w:t>
      </w:r>
    </w:p>
    <w:p>
      <w:pPr>
        <w:keepNext w:val="0"/>
        <w:keepLines w:val="0"/>
        <w:pageBreakBefore w:val="0"/>
        <w:widowControl w:val="0"/>
        <w:kinsoku/>
        <w:wordWrap/>
        <w:overflowPunct/>
        <w:topLinePunct w:val="0"/>
        <w:autoSpaceDE/>
        <w:autoSpaceDN/>
        <w:bidi w:val="0"/>
        <w:spacing w:line="592" w:lineRule="exact"/>
        <w:ind w:firstLine="643" w:firstLineChars="200"/>
        <w:textAlignment w:val="auto"/>
        <w:rPr>
          <w:rFonts w:hint="default" w:ascii="Times New Roman" w:hAnsi="Times New Roman" w:eastAsia="仿宋_GB2312" w:cs="Times New Roman"/>
          <w:color w:val="000000"/>
          <w:sz w:val="32"/>
          <w:szCs w:val="32"/>
        </w:rPr>
      </w:pPr>
      <w:bookmarkStart w:id="0" w:name="_GoBack"/>
      <w:r>
        <w:rPr>
          <w:rFonts w:hint="default" w:ascii="仿宋_GB2312" w:hAnsi="仿宋_GB2312" w:eastAsia="仿宋_GB2312" w:cs="仿宋_GB2312"/>
          <w:b/>
          <w:bCs/>
          <w:sz w:val="32"/>
          <w:szCs w:val="32"/>
        </w:rPr>
        <w:t>五是财政管理规范高效。</w:t>
      </w:r>
      <w:bookmarkEnd w:id="0"/>
      <w:r>
        <w:rPr>
          <w:rFonts w:hint="default" w:ascii="Times New Roman" w:hAnsi="Times New Roman" w:eastAsia="仿宋_GB2312" w:cs="Times New Roman"/>
          <w:color w:val="000000"/>
          <w:sz w:val="32"/>
          <w:szCs w:val="32"/>
        </w:rPr>
        <w:t>加强存量资金管理，对超过规定使用期限的结转结余资金，一律按规定收回预算，统筹用于基本民生等重点领域。加强财政预算管理，强化预算约束，严控预算追加事项，做到无大事要事急事不追加。加强国有资产管理，全年共公开竞租机关事业单位国有经营性资产61处，协议租赁56处，缴纳国有资本经营预算收入0.11亿元。加强预算绩效管理，编制2021年预算绩效项目2</w:t>
      </w:r>
      <w:r>
        <w:rPr>
          <w:rFonts w:hint="default" w:ascii="Times New Roman" w:hAnsi="Times New Roman" w:eastAsia="仿宋_GB2312" w:cs="Times New Roman"/>
          <w:color w:val="000000"/>
          <w:sz w:val="32"/>
          <w:szCs w:val="32"/>
          <w:lang w:val="en-US" w:eastAsia="zh-CN"/>
        </w:rPr>
        <w:t>41</w:t>
      </w:r>
      <w:r>
        <w:rPr>
          <w:rFonts w:hint="default" w:ascii="Times New Roman" w:hAnsi="Times New Roman" w:eastAsia="仿宋_GB2312" w:cs="Times New Roman"/>
          <w:color w:val="000000"/>
          <w:sz w:val="32"/>
          <w:szCs w:val="32"/>
        </w:rPr>
        <w:t>个，涉及金额</w:t>
      </w:r>
      <w:r>
        <w:rPr>
          <w:rFonts w:hint="default" w:ascii="Times New Roman" w:hAnsi="Times New Roman" w:eastAsia="仿宋_GB2312" w:cs="Times New Roman"/>
          <w:color w:val="000000"/>
          <w:sz w:val="32"/>
          <w:szCs w:val="32"/>
          <w:lang w:val="en-US" w:eastAsia="zh-CN"/>
        </w:rPr>
        <w:t>3.61</w:t>
      </w:r>
      <w:r>
        <w:rPr>
          <w:rFonts w:hint="default" w:ascii="Times New Roman" w:hAnsi="Times New Roman" w:eastAsia="仿宋_GB2312" w:cs="Times New Roman"/>
          <w:color w:val="000000"/>
          <w:sz w:val="32"/>
          <w:szCs w:val="32"/>
        </w:rPr>
        <w:t>亿元。加强政府采购管理，全年共计采购货物、服务、工程共296批次，计划使用资金14.14亿元，实际使用资金13.12亿元，节约资金1.02亿元，资金节约率为7.2%。加强中央直达资金管理，严格执行特殊转移支付机制，加快资金支出进度，确保资金迅速惠企利民。加强财政监督管理，持续做好“小金库”专项整治、会计信息质量检查、预决算公开检查、津补贴专项清理、惠民惠农“一卡通”专项核查等监督检查工作，进一步规范了财经秩序，保证了财政资金安全运行和规范高效。</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二、2022年上半年预算执行情况及下半年工作安排</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（一）一般公共预算收支情况</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仿宋_GB2312" w:cs="Times New Roman"/>
          <w:color w:val="000000"/>
          <w:sz w:val="32"/>
          <w:szCs w:val="32"/>
          <w:lang w:val="en-GB"/>
        </w:rPr>
      </w:pPr>
      <w:r>
        <w:rPr>
          <w:rFonts w:hint="default" w:ascii="Times New Roman" w:hAnsi="Times New Roman" w:eastAsia="仿宋_GB2312" w:cs="Times New Roman"/>
          <w:color w:val="000000"/>
          <w:sz w:val="32"/>
          <w:szCs w:val="32"/>
        </w:rPr>
        <w:t>2022年1-</w:t>
      </w:r>
      <w:r>
        <w:rPr>
          <w:rFonts w:hint="default" w:ascii="Times New Roman" w:hAnsi="Times New Roman" w:eastAsia="仿宋_GB2312" w:cs="Times New Roman"/>
          <w:color w:val="000000"/>
          <w:sz w:val="32"/>
          <w:szCs w:val="32"/>
          <w:lang w:val="en-US" w:eastAsia="zh-CN"/>
        </w:rPr>
        <w:t>6</w:t>
      </w:r>
      <w:r>
        <w:rPr>
          <w:rFonts w:hint="default" w:ascii="Times New Roman" w:hAnsi="Times New Roman" w:eastAsia="仿宋_GB2312" w:cs="Times New Roman"/>
          <w:color w:val="000000"/>
          <w:sz w:val="32"/>
          <w:szCs w:val="32"/>
        </w:rPr>
        <w:t>月份</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lang w:val="en-US" w:eastAsia="zh-CN"/>
        </w:rPr>
        <w:t>全县</w:t>
      </w:r>
      <w:r>
        <w:rPr>
          <w:rFonts w:hint="default" w:ascii="Times New Roman" w:hAnsi="Times New Roman" w:eastAsia="仿宋_GB2312" w:cs="Times New Roman"/>
          <w:color w:val="000000"/>
          <w:sz w:val="32"/>
          <w:szCs w:val="32"/>
        </w:rPr>
        <w:t>一般公共预算收入完成</w:t>
      </w:r>
      <w:r>
        <w:rPr>
          <w:rFonts w:hint="default" w:ascii="Times New Roman" w:hAnsi="Times New Roman" w:eastAsia="仿宋_GB2312" w:cs="Times New Roman"/>
          <w:color w:val="000000"/>
          <w:sz w:val="32"/>
          <w:szCs w:val="32"/>
          <w:lang w:val="en-US" w:eastAsia="zh-CN"/>
        </w:rPr>
        <w:t>7.17亿</w:t>
      </w:r>
      <w:r>
        <w:rPr>
          <w:rFonts w:hint="default" w:ascii="Times New Roman" w:hAnsi="Times New Roman" w:eastAsia="仿宋_GB2312" w:cs="Times New Roman"/>
          <w:color w:val="000000"/>
          <w:sz w:val="32"/>
          <w:szCs w:val="32"/>
        </w:rPr>
        <w:t>元，完成年度预算的</w:t>
      </w:r>
      <w:r>
        <w:rPr>
          <w:rFonts w:hint="default" w:ascii="Times New Roman" w:hAnsi="Times New Roman" w:eastAsia="仿宋_GB2312" w:cs="Times New Roman"/>
          <w:color w:val="000000"/>
          <w:sz w:val="32"/>
          <w:szCs w:val="32"/>
          <w:lang w:val="en-US" w:eastAsia="zh-CN"/>
        </w:rPr>
        <w:t>44.5</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同比</w:t>
      </w:r>
      <w:r>
        <w:rPr>
          <w:rFonts w:hint="default" w:ascii="Times New Roman" w:hAnsi="Times New Roman" w:eastAsia="仿宋_GB2312" w:cs="Times New Roman"/>
          <w:color w:val="000000"/>
          <w:sz w:val="32"/>
          <w:szCs w:val="32"/>
          <w:lang w:eastAsia="zh-CN"/>
        </w:rPr>
        <w:t>下降</w:t>
      </w:r>
      <w:r>
        <w:rPr>
          <w:rFonts w:hint="default" w:ascii="Times New Roman" w:hAnsi="Times New Roman" w:eastAsia="仿宋_GB2312" w:cs="Times New Roman"/>
          <w:color w:val="000000"/>
          <w:sz w:val="32"/>
          <w:szCs w:val="32"/>
          <w:lang w:val="en-US" w:eastAsia="zh-CN"/>
        </w:rPr>
        <w:t>11.9</w:t>
      </w:r>
      <w:r>
        <w:rPr>
          <w:rFonts w:hint="default" w:ascii="Times New Roman" w:hAnsi="Times New Roman" w:eastAsia="仿宋_GB2312" w:cs="Times New Roman"/>
          <w:color w:val="000000"/>
          <w:sz w:val="32"/>
          <w:szCs w:val="32"/>
        </w:rPr>
        <w:t>%。其中：</w:t>
      </w:r>
      <w:r>
        <w:rPr>
          <w:rFonts w:hint="default" w:ascii="Times New Roman" w:hAnsi="Times New Roman" w:eastAsia="仿宋_GB2312" w:cs="Times New Roman"/>
          <w:color w:val="000000"/>
          <w:sz w:val="32"/>
          <w:szCs w:val="32"/>
          <w:lang w:val="en-GB"/>
        </w:rPr>
        <w:t>税收收入完成</w:t>
      </w:r>
      <w:r>
        <w:rPr>
          <w:rFonts w:hint="default" w:ascii="Times New Roman" w:hAnsi="Times New Roman" w:eastAsia="仿宋_GB2312" w:cs="Times New Roman"/>
          <w:color w:val="000000"/>
          <w:sz w:val="32"/>
          <w:szCs w:val="32"/>
          <w:lang w:val="en-US" w:eastAsia="zh-CN"/>
        </w:rPr>
        <w:t>3.33亿</w:t>
      </w:r>
      <w:r>
        <w:rPr>
          <w:rFonts w:hint="default" w:ascii="Times New Roman" w:hAnsi="Times New Roman" w:eastAsia="仿宋_GB2312" w:cs="Times New Roman"/>
          <w:color w:val="000000"/>
          <w:sz w:val="32"/>
          <w:szCs w:val="32"/>
          <w:lang w:val="en-GB"/>
        </w:rPr>
        <w:t>元，完成年度预算的</w:t>
      </w:r>
      <w:r>
        <w:rPr>
          <w:rFonts w:hint="default" w:ascii="Times New Roman" w:hAnsi="Times New Roman" w:eastAsia="仿宋_GB2312" w:cs="Times New Roman"/>
          <w:color w:val="000000"/>
          <w:sz w:val="32"/>
          <w:szCs w:val="32"/>
          <w:lang w:val="en-US" w:eastAsia="zh-CN"/>
        </w:rPr>
        <w:t>32.9</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GB"/>
        </w:rPr>
        <w:t>同比下降</w:t>
      </w:r>
      <w:r>
        <w:rPr>
          <w:rFonts w:hint="default" w:ascii="Times New Roman" w:hAnsi="Times New Roman" w:eastAsia="仿宋_GB2312" w:cs="Times New Roman"/>
          <w:color w:val="000000"/>
          <w:sz w:val="32"/>
          <w:szCs w:val="32"/>
          <w:lang w:val="en-US" w:eastAsia="zh-CN"/>
        </w:rPr>
        <w:t>33</w:t>
      </w:r>
      <w:r>
        <w:rPr>
          <w:rFonts w:hint="default" w:ascii="Times New Roman" w:hAnsi="Times New Roman" w:eastAsia="仿宋_GB2312" w:cs="Times New Roman"/>
          <w:color w:val="000000"/>
          <w:sz w:val="32"/>
          <w:szCs w:val="32"/>
        </w:rPr>
        <w:t>.9</w:t>
      </w:r>
      <w:r>
        <w:rPr>
          <w:rFonts w:hint="default" w:ascii="Times New Roman" w:hAnsi="Times New Roman" w:eastAsia="仿宋_GB2312" w:cs="Times New Roman"/>
          <w:color w:val="000000"/>
          <w:sz w:val="32"/>
          <w:szCs w:val="32"/>
          <w:lang w:val="en-GB"/>
        </w:rPr>
        <w:t>%，占一般预算收入的</w:t>
      </w:r>
      <w:r>
        <w:rPr>
          <w:rFonts w:hint="default" w:ascii="Times New Roman" w:hAnsi="Times New Roman" w:eastAsia="仿宋_GB2312" w:cs="Times New Roman"/>
          <w:color w:val="000000"/>
          <w:sz w:val="32"/>
          <w:szCs w:val="32"/>
        </w:rPr>
        <w:t>4</w:t>
      </w:r>
      <w:r>
        <w:rPr>
          <w:rFonts w:hint="default" w:ascii="Times New Roman" w:hAnsi="Times New Roman" w:eastAsia="仿宋_GB2312" w:cs="Times New Roman"/>
          <w:color w:val="000000"/>
          <w:sz w:val="32"/>
          <w:szCs w:val="32"/>
          <w:lang w:val="en-US" w:eastAsia="zh-CN"/>
        </w:rPr>
        <w:t>6.4</w:t>
      </w:r>
      <w:r>
        <w:rPr>
          <w:rFonts w:hint="default" w:ascii="Times New Roman" w:hAnsi="Times New Roman" w:eastAsia="仿宋_GB2312" w:cs="Times New Roman"/>
          <w:color w:val="000000"/>
          <w:sz w:val="32"/>
          <w:szCs w:val="32"/>
          <w:lang w:val="en-GB"/>
        </w:rPr>
        <w:t>％，主要税种收入情况如下：增值税</w:t>
      </w:r>
      <w:r>
        <w:rPr>
          <w:rFonts w:hint="default" w:ascii="Times New Roman" w:hAnsi="Times New Roman" w:eastAsia="仿宋_GB2312" w:cs="Times New Roman"/>
          <w:color w:val="000000"/>
          <w:sz w:val="32"/>
          <w:szCs w:val="32"/>
          <w:lang w:val="en-US" w:eastAsia="zh-CN"/>
        </w:rPr>
        <w:t>1.06亿</w:t>
      </w:r>
      <w:r>
        <w:rPr>
          <w:rFonts w:hint="default" w:ascii="Times New Roman" w:hAnsi="Times New Roman" w:eastAsia="仿宋_GB2312" w:cs="Times New Roman"/>
          <w:color w:val="000000"/>
          <w:sz w:val="32"/>
          <w:szCs w:val="32"/>
          <w:lang w:val="en-GB"/>
        </w:rPr>
        <w:t>元，同比下降</w:t>
      </w:r>
      <w:r>
        <w:rPr>
          <w:rFonts w:hint="default" w:ascii="Times New Roman" w:hAnsi="Times New Roman" w:eastAsia="仿宋_GB2312" w:cs="Times New Roman"/>
          <w:color w:val="000000"/>
          <w:sz w:val="32"/>
          <w:szCs w:val="32"/>
          <w:lang w:val="en-US" w:eastAsia="zh-CN"/>
        </w:rPr>
        <w:t>49.8</w:t>
      </w:r>
      <w:r>
        <w:rPr>
          <w:rFonts w:hint="default" w:ascii="Times New Roman" w:hAnsi="Times New Roman" w:eastAsia="仿宋_GB2312" w:cs="Times New Roman"/>
          <w:color w:val="000000"/>
          <w:sz w:val="32"/>
          <w:szCs w:val="32"/>
          <w:lang w:val="en-GB"/>
        </w:rPr>
        <w:t>%；企业所得税</w:t>
      </w:r>
      <w:r>
        <w:rPr>
          <w:rFonts w:hint="default" w:ascii="Times New Roman" w:hAnsi="Times New Roman" w:eastAsia="仿宋_GB2312" w:cs="Times New Roman"/>
          <w:color w:val="000000"/>
          <w:sz w:val="32"/>
          <w:szCs w:val="32"/>
          <w:lang w:val="en-US" w:eastAsia="zh-CN"/>
        </w:rPr>
        <w:t>0.25亿</w:t>
      </w:r>
      <w:r>
        <w:rPr>
          <w:rFonts w:hint="default" w:ascii="Times New Roman" w:hAnsi="Times New Roman" w:eastAsia="仿宋_GB2312" w:cs="Times New Roman"/>
          <w:color w:val="000000"/>
          <w:sz w:val="32"/>
          <w:szCs w:val="32"/>
          <w:lang w:val="en-GB"/>
        </w:rPr>
        <w:t>元，同比下降</w:t>
      </w:r>
      <w:r>
        <w:rPr>
          <w:rFonts w:hint="default" w:ascii="Times New Roman" w:hAnsi="Times New Roman" w:eastAsia="仿宋_GB2312" w:cs="Times New Roman"/>
          <w:color w:val="000000"/>
          <w:sz w:val="32"/>
          <w:szCs w:val="32"/>
          <w:lang w:val="en-US" w:eastAsia="zh-CN"/>
        </w:rPr>
        <w:t>39.9</w:t>
      </w:r>
      <w:r>
        <w:rPr>
          <w:rFonts w:hint="default" w:ascii="Times New Roman" w:hAnsi="Times New Roman" w:eastAsia="仿宋_GB2312" w:cs="Times New Roman"/>
          <w:color w:val="000000"/>
          <w:sz w:val="32"/>
          <w:szCs w:val="32"/>
          <w:lang w:val="en-GB"/>
        </w:rPr>
        <w:t>%;契税</w:t>
      </w:r>
      <w:r>
        <w:rPr>
          <w:rFonts w:hint="default" w:ascii="Times New Roman" w:hAnsi="Times New Roman" w:eastAsia="仿宋_GB2312" w:cs="Times New Roman"/>
          <w:color w:val="000000"/>
          <w:sz w:val="32"/>
          <w:szCs w:val="32"/>
          <w:lang w:val="en-US" w:eastAsia="zh-CN"/>
        </w:rPr>
        <w:t>0.79亿</w:t>
      </w:r>
      <w:r>
        <w:rPr>
          <w:rFonts w:hint="default" w:ascii="Times New Roman" w:hAnsi="Times New Roman" w:eastAsia="仿宋_GB2312" w:cs="Times New Roman"/>
          <w:color w:val="000000"/>
          <w:sz w:val="32"/>
          <w:szCs w:val="32"/>
          <w:lang w:val="en-GB"/>
        </w:rPr>
        <w:t>元，同比下降</w:t>
      </w:r>
      <w:r>
        <w:rPr>
          <w:rFonts w:hint="default" w:ascii="Times New Roman" w:hAnsi="Times New Roman" w:eastAsia="仿宋_GB2312" w:cs="Times New Roman"/>
          <w:color w:val="000000"/>
          <w:sz w:val="32"/>
          <w:szCs w:val="32"/>
          <w:lang w:val="en-US" w:eastAsia="zh-CN"/>
        </w:rPr>
        <w:t>28.3</w:t>
      </w:r>
      <w:r>
        <w:rPr>
          <w:rFonts w:hint="default" w:ascii="Times New Roman" w:hAnsi="Times New Roman" w:eastAsia="仿宋_GB2312" w:cs="Times New Roman"/>
          <w:color w:val="000000"/>
          <w:sz w:val="32"/>
          <w:szCs w:val="32"/>
          <w:lang w:val="en-GB"/>
        </w:rPr>
        <w:t>%。非税收入完成</w:t>
      </w:r>
      <w:r>
        <w:rPr>
          <w:rFonts w:hint="default" w:ascii="Times New Roman" w:hAnsi="Times New Roman" w:eastAsia="仿宋_GB2312" w:cs="Times New Roman"/>
          <w:color w:val="000000"/>
          <w:sz w:val="32"/>
          <w:szCs w:val="32"/>
          <w:lang w:val="en-US" w:eastAsia="zh-CN"/>
        </w:rPr>
        <w:t>3.84亿</w:t>
      </w:r>
      <w:r>
        <w:rPr>
          <w:rFonts w:hint="default" w:ascii="Times New Roman" w:hAnsi="Times New Roman" w:eastAsia="仿宋_GB2312" w:cs="Times New Roman"/>
          <w:color w:val="000000"/>
          <w:sz w:val="32"/>
          <w:szCs w:val="32"/>
          <w:lang w:val="en-GB"/>
        </w:rPr>
        <w:t>元，完成预算的</w:t>
      </w:r>
      <w:r>
        <w:rPr>
          <w:rFonts w:hint="default" w:ascii="Times New Roman" w:hAnsi="Times New Roman" w:eastAsia="仿宋_GB2312" w:cs="Times New Roman"/>
          <w:color w:val="000000"/>
          <w:sz w:val="32"/>
          <w:szCs w:val="32"/>
          <w:lang w:val="en-US" w:eastAsia="zh-CN"/>
        </w:rPr>
        <w:t>64.2</w:t>
      </w:r>
      <w:r>
        <w:rPr>
          <w:rFonts w:hint="default" w:ascii="Times New Roman" w:hAnsi="Times New Roman" w:eastAsia="仿宋_GB2312" w:cs="Times New Roman"/>
          <w:color w:val="000000"/>
          <w:sz w:val="32"/>
          <w:szCs w:val="32"/>
          <w:lang w:val="en-GB"/>
        </w:rPr>
        <w:t>%，同比增长</w:t>
      </w:r>
      <w:r>
        <w:rPr>
          <w:rFonts w:hint="default" w:ascii="Times New Roman" w:hAnsi="Times New Roman" w:eastAsia="仿宋_GB2312" w:cs="Times New Roman"/>
          <w:color w:val="000000"/>
          <w:sz w:val="32"/>
          <w:szCs w:val="32"/>
          <w:lang w:val="en-US" w:eastAsia="zh-CN"/>
        </w:rPr>
        <w:t>24.2</w:t>
      </w:r>
      <w:r>
        <w:rPr>
          <w:rFonts w:hint="default" w:ascii="Times New Roman" w:hAnsi="Times New Roman" w:eastAsia="仿宋_GB2312" w:cs="Times New Roman"/>
          <w:color w:val="000000"/>
          <w:sz w:val="32"/>
          <w:szCs w:val="32"/>
          <w:lang w:val="en-GB"/>
        </w:rPr>
        <w:t>%，占一般预算收入的</w:t>
      </w:r>
      <w:r>
        <w:rPr>
          <w:rFonts w:hint="default" w:ascii="Times New Roman" w:hAnsi="Times New Roman" w:eastAsia="仿宋_GB2312" w:cs="Times New Roman"/>
          <w:color w:val="000000"/>
          <w:sz w:val="32"/>
          <w:szCs w:val="32"/>
        </w:rPr>
        <w:t>5</w:t>
      </w:r>
      <w:r>
        <w:rPr>
          <w:rFonts w:hint="default" w:ascii="Times New Roman" w:hAnsi="Times New Roman" w:eastAsia="仿宋_GB2312" w:cs="Times New Roman"/>
          <w:color w:val="000000"/>
          <w:sz w:val="32"/>
          <w:szCs w:val="32"/>
          <w:lang w:val="en-US" w:eastAsia="zh-CN"/>
        </w:rPr>
        <w:t>3.6</w:t>
      </w:r>
      <w:r>
        <w:rPr>
          <w:rFonts w:hint="default" w:ascii="Times New Roman" w:hAnsi="Times New Roman" w:eastAsia="仿宋_GB2312" w:cs="Times New Roman"/>
          <w:color w:val="000000"/>
          <w:sz w:val="32"/>
          <w:szCs w:val="32"/>
          <w:lang w:val="en-GB"/>
        </w:rPr>
        <w:t>％。</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w:t>
      </w:r>
      <w:r>
        <w:rPr>
          <w:rFonts w:hint="default" w:ascii="Times New Roman" w:hAnsi="Times New Roman" w:eastAsia="仿宋_GB2312" w:cs="Times New Roman"/>
          <w:color w:val="000000"/>
          <w:sz w:val="32"/>
          <w:szCs w:val="32"/>
          <w:lang w:val="en-US" w:eastAsia="zh-CN"/>
        </w:rPr>
        <w:t>6</w:t>
      </w:r>
      <w:r>
        <w:rPr>
          <w:rFonts w:hint="default" w:ascii="Times New Roman" w:hAnsi="Times New Roman" w:eastAsia="仿宋_GB2312" w:cs="Times New Roman"/>
          <w:color w:val="000000"/>
          <w:sz w:val="32"/>
          <w:szCs w:val="32"/>
        </w:rPr>
        <w:t>月份</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一般公共预算支出完成</w:t>
      </w:r>
      <w:r>
        <w:rPr>
          <w:rFonts w:hint="default" w:ascii="Times New Roman" w:hAnsi="Times New Roman" w:eastAsia="仿宋_GB2312" w:cs="Times New Roman"/>
          <w:color w:val="000000"/>
          <w:sz w:val="32"/>
          <w:szCs w:val="32"/>
          <w:lang w:val="en-US" w:eastAsia="zh-CN"/>
        </w:rPr>
        <w:t>37.04亿</w:t>
      </w:r>
      <w:r>
        <w:rPr>
          <w:rFonts w:hint="default" w:ascii="Times New Roman" w:hAnsi="Times New Roman" w:eastAsia="仿宋_GB2312" w:cs="Times New Roman"/>
          <w:color w:val="000000"/>
          <w:sz w:val="32"/>
          <w:szCs w:val="32"/>
        </w:rPr>
        <w:t>元，完成年度预算的</w:t>
      </w:r>
      <w:r>
        <w:rPr>
          <w:rFonts w:hint="default" w:ascii="Times New Roman" w:hAnsi="Times New Roman" w:eastAsia="仿宋_GB2312" w:cs="Times New Roman"/>
          <w:color w:val="000000"/>
          <w:sz w:val="32"/>
          <w:szCs w:val="32"/>
          <w:lang w:val="en-US" w:eastAsia="zh-CN"/>
        </w:rPr>
        <w:t>78.5</w:t>
      </w:r>
      <w:r>
        <w:rPr>
          <w:rFonts w:hint="default" w:ascii="Times New Roman" w:hAnsi="Times New Roman" w:eastAsia="仿宋_GB2312" w:cs="Times New Roman"/>
          <w:color w:val="000000"/>
          <w:sz w:val="32"/>
          <w:szCs w:val="32"/>
        </w:rPr>
        <w:t>%，同比增长</w:t>
      </w:r>
      <w:r>
        <w:rPr>
          <w:rFonts w:hint="default" w:ascii="Times New Roman" w:hAnsi="Times New Roman" w:eastAsia="仿宋_GB2312" w:cs="Times New Roman"/>
          <w:color w:val="000000"/>
          <w:sz w:val="32"/>
          <w:szCs w:val="32"/>
          <w:lang w:val="en-US" w:eastAsia="zh-CN"/>
        </w:rPr>
        <w:t>24.9</w:t>
      </w:r>
      <w:r>
        <w:rPr>
          <w:rFonts w:hint="default" w:ascii="Times New Roman" w:hAnsi="Times New Roman" w:eastAsia="仿宋_GB2312" w:cs="Times New Roman"/>
          <w:color w:val="000000"/>
          <w:sz w:val="32"/>
          <w:szCs w:val="32"/>
        </w:rPr>
        <w:t>%。主要支出项目</w:t>
      </w:r>
      <w:r>
        <w:rPr>
          <w:rFonts w:hint="default" w:ascii="Times New Roman" w:hAnsi="Times New Roman" w:eastAsia="仿宋_GB2312" w:cs="Times New Roman"/>
          <w:color w:val="000000"/>
          <w:sz w:val="32"/>
          <w:szCs w:val="32"/>
          <w:lang w:val="en-US" w:eastAsia="zh-CN"/>
        </w:rPr>
        <w:t>包括</w:t>
      </w:r>
      <w:r>
        <w:rPr>
          <w:rFonts w:hint="default" w:ascii="Times New Roman" w:hAnsi="Times New Roman" w:eastAsia="仿宋_GB2312" w:cs="Times New Roman"/>
          <w:color w:val="000000"/>
          <w:sz w:val="32"/>
          <w:szCs w:val="32"/>
        </w:rPr>
        <w:t>：一般公共服务支出3</w:t>
      </w:r>
      <w:r>
        <w:rPr>
          <w:rFonts w:hint="default" w:ascii="Times New Roman" w:hAnsi="Times New Roman" w:eastAsia="仿宋_GB2312" w:cs="Times New Roman"/>
          <w:color w:val="000000"/>
          <w:sz w:val="32"/>
          <w:szCs w:val="32"/>
          <w:lang w:val="en-US" w:eastAsia="zh-CN"/>
        </w:rPr>
        <w:t>.50亿</w:t>
      </w:r>
      <w:r>
        <w:rPr>
          <w:rFonts w:hint="default" w:ascii="Times New Roman" w:hAnsi="Times New Roman" w:eastAsia="仿宋_GB2312" w:cs="Times New Roman"/>
          <w:color w:val="000000"/>
          <w:sz w:val="32"/>
          <w:szCs w:val="32"/>
        </w:rPr>
        <w:t>元，同比增长30.1%</w:t>
      </w:r>
      <w:r>
        <w:rPr>
          <w:rFonts w:hint="default" w:ascii="Times New Roman" w:hAnsi="Times New Roman" w:eastAsia="仿宋_GB2312" w:cs="Times New Roman"/>
          <w:color w:val="000000"/>
          <w:sz w:val="32"/>
          <w:szCs w:val="32"/>
          <w:lang w:eastAsia="zh-CN"/>
        </w:rPr>
        <w:t>，增长原因主要是兑现企业奖补</w:t>
      </w:r>
      <w:r>
        <w:rPr>
          <w:rFonts w:hint="default" w:ascii="Times New Roman" w:hAnsi="Times New Roman" w:eastAsia="仿宋_GB2312" w:cs="Times New Roman"/>
          <w:color w:val="000000"/>
          <w:sz w:val="32"/>
          <w:szCs w:val="32"/>
        </w:rPr>
        <w:t>；公共安全支出1</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6</w:t>
      </w:r>
      <w:r>
        <w:rPr>
          <w:rFonts w:hint="default" w:ascii="Times New Roman" w:hAnsi="Times New Roman" w:eastAsia="仿宋_GB2312" w:cs="Times New Roman"/>
          <w:color w:val="000000"/>
          <w:sz w:val="32"/>
          <w:szCs w:val="32"/>
          <w:lang w:val="en-US" w:eastAsia="zh-CN"/>
        </w:rPr>
        <w:t>4亿</w:t>
      </w:r>
      <w:r>
        <w:rPr>
          <w:rFonts w:hint="default" w:ascii="Times New Roman" w:hAnsi="Times New Roman" w:eastAsia="仿宋_GB2312" w:cs="Times New Roman"/>
          <w:color w:val="000000"/>
          <w:sz w:val="32"/>
          <w:szCs w:val="32"/>
        </w:rPr>
        <w:t>元，同比增长33.9%</w:t>
      </w:r>
      <w:r>
        <w:rPr>
          <w:rFonts w:hint="default" w:ascii="Times New Roman" w:hAnsi="Times New Roman" w:eastAsia="仿宋_GB2312" w:cs="Times New Roman"/>
          <w:color w:val="000000"/>
          <w:sz w:val="32"/>
          <w:szCs w:val="32"/>
          <w:lang w:eastAsia="zh-CN"/>
        </w:rPr>
        <w:t>，增长原因主要是公安、法院建设等支出增加</w:t>
      </w:r>
      <w:r>
        <w:rPr>
          <w:rFonts w:hint="default" w:ascii="Times New Roman" w:hAnsi="Times New Roman" w:eastAsia="仿宋_GB2312" w:cs="Times New Roman"/>
          <w:color w:val="000000"/>
          <w:sz w:val="32"/>
          <w:szCs w:val="32"/>
        </w:rPr>
        <w:t>；教育支出6</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2</w:t>
      </w:r>
      <w:r>
        <w:rPr>
          <w:rFonts w:hint="default" w:ascii="Times New Roman" w:hAnsi="Times New Roman" w:eastAsia="仿宋_GB2312" w:cs="Times New Roman"/>
          <w:color w:val="000000"/>
          <w:sz w:val="32"/>
          <w:szCs w:val="32"/>
          <w:lang w:val="en-US" w:eastAsia="zh-CN"/>
        </w:rPr>
        <w:t>9亿</w:t>
      </w:r>
      <w:r>
        <w:rPr>
          <w:rFonts w:hint="default" w:ascii="Times New Roman" w:hAnsi="Times New Roman" w:eastAsia="仿宋_GB2312" w:cs="Times New Roman"/>
          <w:color w:val="000000"/>
          <w:sz w:val="32"/>
          <w:szCs w:val="32"/>
        </w:rPr>
        <w:t>元，同比增长19.4%；社会保障和就业支出6</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14</w:t>
      </w:r>
      <w:r>
        <w:rPr>
          <w:rFonts w:hint="default" w:ascii="Times New Roman" w:hAnsi="Times New Roman" w:eastAsia="仿宋_GB2312" w:cs="Times New Roman"/>
          <w:color w:val="000000"/>
          <w:sz w:val="32"/>
          <w:szCs w:val="32"/>
          <w:lang w:eastAsia="zh-CN"/>
        </w:rPr>
        <w:t>亿</w:t>
      </w:r>
      <w:r>
        <w:rPr>
          <w:rFonts w:hint="default" w:ascii="Times New Roman" w:hAnsi="Times New Roman" w:eastAsia="仿宋_GB2312" w:cs="Times New Roman"/>
          <w:color w:val="000000"/>
          <w:sz w:val="32"/>
          <w:szCs w:val="32"/>
        </w:rPr>
        <w:t>元，同比增长26.1%；卫生健康支出2</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44</w:t>
      </w:r>
      <w:r>
        <w:rPr>
          <w:rFonts w:hint="default" w:ascii="Times New Roman" w:hAnsi="Times New Roman" w:eastAsia="仿宋_GB2312" w:cs="Times New Roman"/>
          <w:color w:val="000000"/>
          <w:sz w:val="32"/>
          <w:szCs w:val="32"/>
          <w:lang w:eastAsia="zh-CN"/>
        </w:rPr>
        <w:t>亿</w:t>
      </w:r>
      <w:r>
        <w:rPr>
          <w:rFonts w:hint="default" w:ascii="Times New Roman" w:hAnsi="Times New Roman" w:eastAsia="仿宋_GB2312" w:cs="Times New Roman"/>
          <w:color w:val="000000"/>
          <w:sz w:val="32"/>
          <w:szCs w:val="32"/>
        </w:rPr>
        <w:t>元，同比下降14.4%；城乡社区支出4</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11</w:t>
      </w:r>
      <w:r>
        <w:rPr>
          <w:rFonts w:hint="default" w:ascii="Times New Roman" w:hAnsi="Times New Roman" w:eastAsia="仿宋_GB2312" w:cs="Times New Roman"/>
          <w:color w:val="000000"/>
          <w:sz w:val="32"/>
          <w:szCs w:val="32"/>
          <w:lang w:eastAsia="zh-CN"/>
        </w:rPr>
        <w:t>亿</w:t>
      </w:r>
      <w:r>
        <w:rPr>
          <w:rFonts w:hint="default" w:ascii="Times New Roman" w:hAnsi="Times New Roman" w:eastAsia="仿宋_GB2312" w:cs="Times New Roman"/>
          <w:color w:val="000000"/>
          <w:sz w:val="32"/>
          <w:szCs w:val="32"/>
        </w:rPr>
        <w:t>元，同比增长32.9%</w:t>
      </w:r>
      <w:r>
        <w:rPr>
          <w:rFonts w:hint="default" w:ascii="Times New Roman" w:hAnsi="Times New Roman" w:eastAsia="仿宋_GB2312" w:cs="Times New Roman"/>
          <w:color w:val="000000"/>
          <w:sz w:val="32"/>
          <w:szCs w:val="32"/>
          <w:lang w:eastAsia="zh-CN"/>
        </w:rPr>
        <w:t>，增长原因主要是城市基础设施建设支出</w:t>
      </w:r>
      <w:r>
        <w:rPr>
          <w:rFonts w:hint="default" w:ascii="Times New Roman" w:hAnsi="Times New Roman" w:eastAsia="仿宋_GB2312" w:cs="Times New Roman"/>
          <w:color w:val="000000"/>
          <w:sz w:val="32"/>
          <w:szCs w:val="32"/>
        </w:rPr>
        <w:t>；农林水支出7</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1</w:t>
      </w:r>
      <w:r>
        <w:rPr>
          <w:rFonts w:hint="default" w:ascii="Times New Roman" w:hAnsi="Times New Roman" w:eastAsia="仿宋_GB2312" w:cs="Times New Roman"/>
          <w:color w:val="000000"/>
          <w:sz w:val="32"/>
          <w:szCs w:val="32"/>
          <w:lang w:val="en-US" w:eastAsia="zh-CN"/>
        </w:rPr>
        <w:t>8亿</w:t>
      </w:r>
      <w:r>
        <w:rPr>
          <w:rFonts w:hint="default" w:ascii="Times New Roman" w:hAnsi="Times New Roman" w:eastAsia="仿宋_GB2312" w:cs="Times New Roman"/>
          <w:color w:val="000000"/>
          <w:sz w:val="32"/>
          <w:szCs w:val="32"/>
        </w:rPr>
        <w:t>元，同比增长57.1%，主要是新增高标准农田建设、水利工程等支出；住房保障支出1</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85</w:t>
      </w:r>
      <w:r>
        <w:rPr>
          <w:rFonts w:hint="default" w:ascii="Times New Roman" w:hAnsi="Times New Roman" w:eastAsia="仿宋_GB2312" w:cs="Times New Roman"/>
          <w:color w:val="000000"/>
          <w:sz w:val="32"/>
          <w:szCs w:val="32"/>
          <w:lang w:eastAsia="zh-CN"/>
        </w:rPr>
        <w:t>亿</w:t>
      </w:r>
      <w:r>
        <w:rPr>
          <w:rFonts w:hint="default" w:ascii="Times New Roman" w:hAnsi="Times New Roman" w:eastAsia="仿宋_GB2312" w:cs="Times New Roman"/>
          <w:color w:val="000000"/>
          <w:sz w:val="32"/>
          <w:szCs w:val="32"/>
        </w:rPr>
        <w:t>元，同比下降13.2%。</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楷体_GB2312" w:cs="Times New Roman"/>
          <w:sz w:val="32"/>
          <w:szCs w:val="32"/>
          <w:lang w:val="en-GB"/>
        </w:rPr>
      </w:pPr>
      <w:r>
        <w:rPr>
          <w:rFonts w:hint="default" w:ascii="Times New Roman" w:hAnsi="Times New Roman" w:eastAsia="楷体_GB2312" w:cs="Times New Roman"/>
          <w:sz w:val="32"/>
          <w:szCs w:val="32"/>
          <w:lang w:val="en-GB"/>
        </w:rPr>
        <w:t>（二）政府性基金预算收支情况</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1-6月份，全县政府性基金收入7.71亿元，完成年度预算的24.8%，同比下降63.1%，其中：土地出让金收入7.71亿元，同比下降63.1%。1-6月份，政府性基金支出26.94亿元，完成年度预算的71.1%，同比下降5.9%，其中：土地出让金支出6.40亿元，同比下降67.8%；专项债券相关支出19.59亿元，主要用于棚改、合新高铁泗县段建设、运河小镇（一期）、人民医院及中医院迁建、货运物流园等项目。</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楷体_GB2312" w:cs="Times New Roman"/>
          <w:color w:val="000000"/>
          <w:sz w:val="32"/>
          <w:szCs w:val="32"/>
          <w:lang w:eastAsia="zh-CN"/>
        </w:rPr>
      </w:pPr>
      <w:r>
        <w:rPr>
          <w:rFonts w:hint="default" w:ascii="Times New Roman" w:hAnsi="Times New Roman" w:eastAsia="楷体_GB2312" w:cs="Times New Roman"/>
          <w:color w:val="000000"/>
          <w:sz w:val="32"/>
          <w:szCs w:val="32"/>
        </w:rPr>
        <w:t>（三）</w:t>
      </w:r>
      <w:r>
        <w:rPr>
          <w:rFonts w:hint="default" w:ascii="Times New Roman" w:hAnsi="Times New Roman" w:eastAsia="楷体_GB2312" w:cs="Times New Roman"/>
          <w:color w:val="000000"/>
          <w:sz w:val="32"/>
          <w:szCs w:val="32"/>
          <w:lang w:eastAsia="zh-CN"/>
        </w:rPr>
        <w:t>社会保险基金预算收支情况</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1-6月，全县城乡居民基本养老保险基金收入3.88亿元,同比增长46%；全县城乡居民基本养老保险基金支出1.07亿元，同比增长9.2%；本年收支相抵结余1.23亿元。到6月末累计滚存结余10.00亿元，同比增长9.3%。</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楷体_GB2312" w:cs="Times New Roman"/>
          <w:color w:val="000000"/>
          <w:sz w:val="32"/>
          <w:szCs w:val="32"/>
        </w:rPr>
      </w:pPr>
      <w:r>
        <w:rPr>
          <w:rFonts w:hint="default" w:ascii="Times New Roman" w:hAnsi="Times New Roman" w:eastAsia="楷体_GB2312" w:cs="Times New Roman"/>
          <w:color w:val="000000"/>
          <w:sz w:val="32"/>
          <w:szCs w:val="32"/>
          <w:lang w:eastAsia="zh-CN"/>
        </w:rPr>
        <w:t>（四）</w:t>
      </w:r>
      <w:r>
        <w:rPr>
          <w:rFonts w:hint="default" w:ascii="Times New Roman" w:hAnsi="Times New Roman" w:eastAsia="楷体_GB2312" w:cs="Times New Roman"/>
          <w:color w:val="000000"/>
          <w:sz w:val="32"/>
          <w:szCs w:val="32"/>
        </w:rPr>
        <w:t>2022年上半年预算执行主要特点</w:t>
      </w:r>
    </w:p>
    <w:p>
      <w:pPr>
        <w:keepNext w:val="0"/>
        <w:keepLines w:val="0"/>
        <w:pageBreakBefore w:val="0"/>
        <w:widowControl w:val="0"/>
        <w:kinsoku/>
        <w:wordWrap/>
        <w:overflowPunct/>
        <w:topLinePunct w:val="0"/>
        <w:autoSpaceDE/>
        <w:autoSpaceDN/>
        <w:bidi w:val="0"/>
        <w:spacing w:line="592" w:lineRule="exact"/>
        <w:ind w:firstLine="630" w:firstLineChars="196"/>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b/>
          <w:bCs/>
          <w:color w:val="000000"/>
          <w:sz w:val="32"/>
          <w:szCs w:val="32"/>
          <w:lang w:val="en-US" w:eastAsia="zh-CN"/>
        </w:rPr>
        <w:t>一是增收节支保障“三保”。</w:t>
      </w:r>
      <w:r>
        <w:rPr>
          <w:rFonts w:hint="default" w:ascii="Times New Roman" w:hAnsi="Times New Roman" w:eastAsia="仿宋_GB2312" w:cs="Times New Roman"/>
          <w:color w:val="000000"/>
          <w:sz w:val="32"/>
          <w:szCs w:val="32"/>
          <w:lang w:val="en-US" w:eastAsia="zh-CN"/>
        </w:rPr>
        <w:t>努力克服经济下行、减税降费和新冠肺炎疫情等不利因素的影响，积极主动作为，充分挖掘增收潜力，切实强化收入征管。认真贯彻落实省财政厅《关于进一步厉行节约坚持过紧日子的若干举措的通知》要求，大力压减一般性支出，从严控制“三公”经费，优先保障“三保”支出，切实削减低效无效支出，集中财力保障经济社会发展重点领域和关键环节。</w:t>
      </w:r>
    </w:p>
    <w:p>
      <w:pPr>
        <w:keepNext w:val="0"/>
        <w:keepLines w:val="0"/>
        <w:pageBreakBefore w:val="0"/>
        <w:widowControl w:val="0"/>
        <w:kinsoku/>
        <w:wordWrap/>
        <w:overflowPunct/>
        <w:topLinePunct w:val="0"/>
        <w:autoSpaceDE/>
        <w:autoSpaceDN/>
        <w:bidi w:val="0"/>
        <w:spacing w:line="592" w:lineRule="exact"/>
        <w:ind w:firstLine="630" w:firstLineChars="196"/>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b/>
          <w:bCs/>
          <w:color w:val="000000"/>
          <w:sz w:val="32"/>
          <w:szCs w:val="32"/>
          <w:lang w:val="en-US" w:eastAsia="zh-CN"/>
        </w:rPr>
        <w:t>二是优化服务支持发展。</w:t>
      </w:r>
      <w:r>
        <w:rPr>
          <w:rFonts w:hint="default" w:ascii="Times New Roman" w:hAnsi="Times New Roman" w:eastAsia="仿宋_GB2312" w:cs="Times New Roman"/>
          <w:color w:val="000000"/>
          <w:sz w:val="32"/>
          <w:szCs w:val="32"/>
          <w:lang w:val="en-US" w:eastAsia="zh-CN"/>
        </w:rPr>
        <w:t>按照“一改两为五做到”要求，进一步优化财政服务，今年以来，累计兑现涉企奖补资金0.87亿元。配合相关部门积极为企业申请制造强省建设等涉企项目资金0.07亿元，及时做好资金拨付及监管工作，以财政责任担当提振企业发展信心。认真落实促进市场主体提质扩量增效意见，有序做好县属国有企业（投资公司）和相关单位国有产权房屋免收租金工作，今年以来，共计免收租金0.13亿元，惠及302户中小企业及个体工商户，切实减轻了中小企业经营压力。搭建银企对接平台，常态化开展银企对接活动，1-6月份，新增担保业务8.24亿元，在保余额14.39亿元，为63户企业提供续贷过桥资金3.04亿元，提升了企业融资效率、降低了融资成本，为实体经济发展增添了动力。</w:t>
      </w:r>
    </w:p>
    <w:p>
      <w:pPr>
        <w:keepNext w:val="0"/>
        <w:keepLines w:val="0"/>
        <w:pageBreakBefore w:val="0"/>
        <w:widowControl w:val="0"/>
        <w:kinsoku/>
        <w:wordWrap/>
        <w:overflowPunct/>
        <w:topLinePunct w:val="0"/>
        <w:autoSpaceDE/>
        <w:autoSpaceDN/>
        <w:bidi w:val="0"/>
        <w:spacing w:line="592" w:lineRule="exact"/>
        <w:ind w:firstLine="630" w:firstLineChars="196"/>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b/>
          <w:bCs/>
          <w:color w:val="000000"/>
          <w:sz w:val="32"/>
          <w:szCs w:val="32"/>
          <w:lang w:val="en-US" w:eastAsia="zh-CN"/>
        </w:rPr>
        <w:t>三是民生为先增进福祉。</w:t>
      </w:r>
      <w:r>
        <w:rPr>
          <w:rFonts w:hint="default" w:ascii="Times New Roman" w:hAnsi="Times New Roman" w:eastAsia="仿宋_GB2312" w:cs="Times New Roman"/>
          <w:color w:val="000000"/>
          <w:sz w:val="32"/>
          <w:szCs w:val="32"/>
          <w:lang w:val="en-US" w:eastAsia="zh-CN"/>
        </w:rPr>
        <w:t>投入17.94亿元着力推进20项民生实事和10项暖民心行动，解决好群众牵肠挂肚的民生大事和天天有感的关键小事。强化社会保障力度，今年以来，累计拨付困难群众社会救助资金1.63亿元、疫情防控资金0.33亿元、就业资金0.11亿元、城乡医疗救助资金0.11亿元、残疾人事业发展资金0.08亿元、拥军优抚资金0.26元、小额创业担保贷款贴息0.02亿元。大力宣传推广安徽财政惠民惠农补贴（一卡通）二维码，让农民群众通过手机扫码随时随地了解惠农政策信息及惠农补贴发放情况，提升惠农补贴政策的知晓率和资金发放的透明度。</w:t>
      </w:r>
    </w:p>
    <w:p>
      <w:pPr>
        <w:keepNext w:val="0"/>
        <w:keepLines w:val="0"/>
        <w:pageBreakBefore w:val="0"/>
        <w:widowControl w:val="0"/>
        <w:kinsoku/>
        <w:wordWrap/>
        <w:overflowPunct/>
        <w:topLinePunct w:val="0"/>
        <w:autoSpaceDE/>
        <w:autoSpaceDN/>
        <w:bidi w:val="0"/>
        <w:spacing w:line="592" w:lineRule="exact"/>
        <w:ind w:firstLine="630" w:firstLineChars="196"/>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b/>
          <w:bCs/>
          <w:color w:val="000000"/>
          <w:sz w:val="32"/>
          <w:szCs w:val="32"/>
          <w:lang w:val="en-US" w:eastAsia="zh-CN"/>
        </w:rPr>
        <w:t>四是加大投入强化保障。</w:t>
      </w:r>
      <w:r>
        <w:rPr>
          <w:rFonts w:hint="default" w:ascii="Times New Roman" w:hAnsi="Times New Roman" w:eastAsia="仿宋_GB2312" w:cs="Times New Roman"/>
          <w:color w:val="000000"/>
          <w:sz w:val="32"/>
          <w:szCs w:val="32"/>
          <w:lang w:val="en-US" w:eastAsia="zh-CN"/>
        </w:rPr>
        <w:t>今年以来，全县累计投入乡村振兴资金5.43亿元，其中：衔接资金2.89亿元、整合涉农资金1.8亿元、一般债券资金0.58亿元、当涂县对口帮扶资金0.153亿元。规范资金管理，保证乡村振兴资金安全高效使用。用好用足小额信贷惠农政策，帮助农户发展产业经营，促进脱贫人口稳定增收，助力全面推进乡村振兴，今年以来，新增发放脱贫人口小额贷款325户、0.13亿元。</w:t>
      </w:r>
    </w:p>
    <w:p>
      <w:pPr>
        <w:keepNext w:val="0"/>
        <w:keepLines w:val="0"/>
        <w:pageBreakBefore w:val="0"/>
        <w:widowControl w:val="0"/>
        <w:kinsoku/>
        <w:wordWrap/>
        <w:overflowPunct/>
        <w:topLinePunct w:val="0"/>
        <w:autoSpaceDE/>
        <w:autoSpaceDN/>
        <w:bidi w:val="0"/>
        <w:spacing w:line="592" w:lineRule="exact"/>
        <w:ind w:firstLine="630" w:firstLineChars="196"/>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b/>
          <w:bCs/>
          <w:color w:val="000000"/>
          <w:sz w:val="32"/>
          <w:szCs w:val="32"/>
          <w:lang w:val="en-US" w:eastAsia="zh-CN"/>
        </w:rPr>
        <w:t>五是规范管理依法理财。</w:t>
      </w:r>
      <w:r>
        <w:rPr>
          <w:rFonts w:hint="default" w:ascii="Times New Roman" w:hAnsi="Times New Roman" w:eastAsia="仿宋_GB2312" w:cs="Times New Roman"/>
          <w:color w:val="000000"/>
          <w:sz w:val="32"/>
          <w:szCs w:val="32"/>
          <w:lang w:val="en-US" w:eastAsia="zh-CN"/>
        </w:rPr>
        <w:t>严格预算绩效管理，规范绩效目标设定和绩效评价过程，评价考核结果作为预算安排的重要参考，切实提升财政资金使用效益。加强国有资产管理，今年以来，共计审批到期租赁资产57处，其中：公开竞租17处、协议租赁40处。牵头制定《泗县县属国有企业运营管理办法（试行）》，进一步规范县属国有企业运营管理，促进县属国有企业市场化转型发展。认真做好人大代表建议和政协委员提案办理工作，切实提升办理实效和办理质量。</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楷体_GB2312" w:cs="Times New Roman"/>
          <w:color w:val="000000"/>
          <w:sz w:val="32"/>
          <w:szCs w:val="32"/>
        </w:rPr>
      </w:pPr>
      <w:r>
        <w:rPr>
          <w:rFonts w:hint="default" w:ascii="Times New Roman" w:hAnsi="Times New Roman" w:eastAsia="楷体_GB2312" w:cs="Times New Roman"/>
          <w:color w:val="000000"/>
          <w:sz w:val="32"/>
          <w:szCs w:val="32"/>
        </w:rPr>
        <w:t>（</w:t>
      </w:r>
      <w:r>
        <w:rPr>
          <w:rFonts w:hint="default" w:ascii="Times New Roman" w:hAnsi="Times New Roman" w:eastAsia="楷体_GB2312" w:cs="Times New Roman"/>
          <w:color w:val="000000"/>
          <w:sz w:val="32"/>
          <w:szCs w:val="32"/>
          <w:lang w:eastAsia="zh-CN"/>
        </w:rPr>
        <w:t>五</w:t>
      </w:r>
      <w:r>
        <w:rPr>
          <w:rFonts w:hint="default" w:ascii="Times New Roman" w:hAnsi="Times New Roman" w:eastAsia="楷体_GB2312" w:cs="Times New Roman"/>
          <w:color w:val="000000"/>
          <w:sz w:val="32"/>
          <w:szCs w:val="32"/>
        </w:rPr>
        <w:t>）2022年下半年财政工作重点</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今年以来，全县财政系统面对多种压力，齐心协力，攻坚克难，以扎实的行动和务实的作风推动县委、县政府决策部署落实，工作取得了一定的成绩。同时，我们也清醒地认识到，财政运行中还存在一些不容忽视的困难和问题，财政收入方面：我县经济基础较弱，工业企业规模小、支柱税源少，财政收入总量不大且税收收入占比较低，收入的总量和质量亟待提高。受经济结构调整、市场需求收缩和经济增长预期下降等因素影响，全县财政收入增长放缓。近期实施的小微企业增值税留抵退税政策，也给县级财政收入带来一定的影响。财政支出方面：今年全县“三保”支出预算占综合财力比重为75%，另外民生工程配套、乡村振兴、农村环境治理等刚性支出持续增长，加上政府债务到期偿还及隐性债务化解等支出事项，财政收支平衡压力较大，等等。我们将高度重视，积极采取切实有效措施努力加以解决。</w:t>
      </w:r>
    </w:p>
    <w:p>
      <w:pPr>
        <w:keepNext w:val="0"/>
        <w:keepLines w:val="0"/>
        <w:pageBreakBefore w:val="0"/>
        <w:widowControl w:val="0"/>
        <w:kinsoku/>
        <w:wordWrap/>
        <w:overflowPunct/>
        <w:topLinePunct w:val="0"/>
        <w:autoSpaceDE/>
        <w:autoSpaceDN/>
        <w:bidi w:val="0"/>
        <w:spacing w:line="592" w:lineRule="exact"/>
        <w:ind w:firstLine="630" w:firstLineChars="196"/>
        <w:textAlignment w:val="auto"/>
        <w:rPr>
          <w:rFonts w:hint="default" w:ascii="Times New Roman" w:hAnsi="Times New Roman" w:eastAsia="仿宋_GB2312" w:cs="Times New Roman"/>
          <w:color w:val="000000"/>
          <w:sz w:val="32"/>
          <w:szCs w:val="32"/>
          <w:lang w:val="en-US" w:eastAsia="zh-CN"/>
        </w:rPr>
      </w:pPr>
      <w:r>
        <w:rPr>
          <w:rFonts w:hint="eastAsia" w:ascii="仿宋_GB2312" w:hAnsi="仿宋_GB2312" w:eastAsia="仿宋_GB2312" w:cs="仿宋_GB2312"/>
          <w:b/>
          <w:bCs w:val="0"/>
          <w:sz w:val="32"/>
          <w:szCs w:val="32"/>
        </w:rPr>
        <w:t>一是加强财政预期管理。</w:t>
      </w:r>
      <w:r>
        <w:rPr>
          <w:rFonts w:hint="default" w:ascii="Times New Roman" w:hAnsi="Times New Roman" w:eastAsia="仿宋_GB2312" w:cs="Times New Roman"/>
          <w:color w:val="000000"/>
          <w:sz w:val="32"/>
          <w:szCs w:val="32"/>
          <w:lang w:val="en-US" w:eastAsia="zh-CN"/>
        </w:rPr>
        <w:t>结合当前复杂的经济形势和疫情变化，坚持组织收入和落实减税降费政策的有机统一，努力提高收入质量，确保财政收入应收尽收、应减尽减。加强对各项税源变化分析监测，及时全面掌握税源状况及其变化趋势，不断提高组织收入水平。</w:t>
      </w:r>
    </w:p>
    <w:p>
      <w:pPr>
        <w:pStyle w:val="2"/>
        <w:keepNext w:val="0"/>
        <w:keepLines w:val="0"/>
        <w:pageBreakBefore w:val="0"/>
        <w:widowControl w:val="0"/>
        <w:kinsoku/>
        <w:wordWrap/>
        <w:overflowPunct/>
        <w:topLinePunct w:val="0"/>
        <w:autoSpaceDE/>
        <w:autoSpaceDN/>
        <w:bidi w:val="0"/>
        <w:spacing w:line="592" w:lineRule="exact"/>
        <w:textAlignment w:val="auto"/>
        <w:rPr>
          <w:rFonts w:hint="default" w:ascii="Times New Roman" w:hAnsi="Times New Roman" w:eastAsia="仿宋_GB2312" w:cs="Times New Roman"/>
          <w:color w:val="000000"/>
          <w:kern w:val="2"/>
          <w:sz w:val="32"/>
          <w:szCs w:val="32"/>
          <w:lang w:val="en-US" w:eastAsia="zh-CN" w:bidi="ar-SA"/>
        </w:rPr>
      </w:pPr>
      <w:r>
        <w:rPr>
          <w:rFonts w:hint="default" w:ascii="仿宋_GB2312" w:hAnsi="仿宋_GB2312" w:eastAsia="仿宋_GB2312" w:cs="仿宋_GB2312"/>
          <w:b/>
          <w:bCs w:val="0"/>
          <w:kern w:val="2"/>
          <w:sz w:val="32"/>
          <w:szCs w:val="32"/>
          <w:lang w:val="en-US" w:eastAsia="zh-CN" w:bidi="ar-SA"/>
        </w:rPr>
        <w:t>二是全力加强财源建设。</w:t>
      </w:r>
      <w:r>
        <w:rPr>
          <w:rFonts w:hint="default" w:ascii="Times New Roman" w:hAnsi="Times New Roman" w:eastAsia="仿宋_GB2312" w:cs="Times New Roman"/>
          <w:color w:val="000000"/>
          <w:kern w:val="2"/>
          <w:sz w:val="32"/>
          <w:szCs w:val="32"/>
          <w:lang w:val="en-US" w:eastAsia="zh-CN" w:bidi="ar-SA"/>
        </w:rPr>
        <w:t>认真落实积极财政政策，高效兑现各项涉企优惠政策。优化财政金融服务，及时解决企业融资难题。通过加大财政金融支持，进一步提振企业发展信心，增强企业发展动力，减少企业经营压力，夯实地方财源增长基础。</w:t>
      </w:r>
    </w:p>
    <w:p>
      <w:pPr>
        <w:keepNext w:val="0"/>
        <w:keepLines w:val="0"/>
        <w:pageBreakBefore w:val="0"/>
        <w:widowControl w:val="0"/>
        <w:kinsoku/>
        <w:wordWrap/>
        <w:overflowPunct/>
        <w:topLinePunct w:val="0"/>
        <w:autoSpaceDE/>
        <w:autoSpaceDN/>
        <w:bidi w:val="0"/>
        <w:spacing w:line="592" w:lineRule="exact"/>
        <w:ind w:firstLine="630" w:firstLineChars="196"/>
        <w:textAlignment w:val="auto"/>
        <w:rPr>
          <w:rFonts w:hint="default" w:ascii="Times New Roman" w:hAnsi="Times New Roman" w:eastAsia="仿宋_GB2312" w:cs="Times New Roman"/>
          <w:color w:val="000000"/>
          <w:sz w:val="32"/>
          <w:szCs w:val="32"/>
          <w:lang w:val="en-US" w:eastAsia="zh-CN"/>
        </w:rPr>
      </w:pPr>
      <w:r>
        <w:rPr>
          <w:rFonts w:hint="default" w:ascii="仿宋_GB2312" w:hAnsi="仿宋_GB2312" w:eastAsia="仿宋_GB2312" w:cs="仿宋_GB2312"/>
          <w:b/>
          <w:bCs w:val="0"/>
          <w:sz w:val="32"/>
          <w:szCs w:val="32"/>
          <w:lang w:val="en-US" w:eastAsia="zh-CN"/>
        </w:rPr>
        <w:t>三</w:t>
      </w:r>
      <w:r>
        <w:rPr>
          <w:rFonts w:hint="default" w:ascii="仿宋_GB2312" w:hAnsi="仿宋_GB2312" w:eastAsia="仿宋_GB2312" w:cs="仿宋_GB2312"/>
          <w:b/>
          <w:bCs w:val="0"/>
          <w:sz w:val="32"/>
          <w:szCs w:val="32"/>
        </w:rPr>
        <w:t>是提升依法理财水平。</w:t>
      </w:r>
      <w:r>
        <w:rPr>
          <w:rFonts w:hint="default" w:ascii="Times New Roman" w:hAnsi="Times New Roman" w:eastAsia="仿宋_GB2312" w:cs="Times New Roman"/>
          <w:color w:val="000000"/>
          <w:sz w:val="32"/>
          <w:szCs w:val="32"/>
          <w:lang w:val="en-US" w:eastAsia="zh-CN"/>
        </w:rPr>
        <w:t>规范县本级追加（调剂）支出审核拨付流程，严格控制预算追加，加快资金支出进度。加大存量资金清理盘活力度，对超过规定使用期限的结转结余资金，一律按规定收回预算，统筹用于基本民生等重点领域。</w:t>
      </w:r>
    </w:p>
    <w:p>
      <w:pPr>
        <w:pStyle w:val="2"/>
        <w:keepNext w:val="0"/>
        <w:keepLines w:val="0"/>
        <w:pageBreakBefore w:val="0"/>
        <w:widowControl w:val="0"/>
        <w:kinsoku/>
        <w:wordWrap/>
        <w:overflowPunct/>
        <w:topLinePunct w:val="0"/>
        <w:autoSpaceDE/>
        <w:autoSpaceDN/>
        <w:bidi w:val="0"/>
        <w:spacing w:line="592" w:lineRule="exact"/>
        <w:textAlignment w:val="auto"/>
        <w:rPr>
          <w:rFonts w:hint="default" w:ascii="Times New Roman" w:hAnsi="Times New Roman" w:eastAsia="仿宋_GB2312" w:cs="Times New Roman"/>
          <w:color w:val="000000"/>
          <w:kern w:val="2"/>
          <w:sz w:val="32"/>
          <w:szCs w:val="32"/>
          <w:lang w:val="en-US" w:eastAsia="zh-CN" w:bidi="ar-SA"/>
        </w:rPr>
      </w:pPr>
      <w:r>
        <w:rPr>
          <w:rFonts w:hint="default" w:ascii="仿宋_GB2312" w:hAnsi="仿宋_GB2312" w:eastAsia="仿宋_GB2312" w:cs="仿宋_GB2312"/>
          <w:b/>
          <w:bCs w:val="0"/>
          <w:kern w:val="2"/>
          <w:sz w:val="32"/>
          <w:szCs w:val="32"/>
          <w:lang w:val="en-US" w:eastAsia="zh-CN" w:bidi="ar-SA"/>
        </w:rPr>
        <w:t>四是抓好预算编制工作。</w:t>
      </w:r>
      <w:r>
        <w:rPr>
          <w:rFonts w:hint="default" w:ascii="Times New Roman" w:hAnsi="Times New Roman" w:eastAsia="仿宋_GB2312" w:cs="Times New Roman"/>
          <w:color w:val="000000"/>
          <w:kern w:val="2"/>
          <w:sz w:val="32"/>
          <w:szCs w:val="32"/>
          <w:lang w:val="en-US" w:eastAsia="zh-CN" w:bidi="ar-SA"/>
        </w:rPr>
        <w:t>严格落实预算管理一体化规范，贯彻零基预算改革要求，全面、系统梳理各部门基础信息和项目储备，加强财政资源统筹，坚持量入为出，进一步优化支出结构，切实提高预算编制的规范化、科学化、精细化水平。</w:t>
      </w:r>
    </w:p>
    <w:p>
      <w:pPr>
        <w:keepNext w:val="0"/>
        <w:keepLines w:val="0"/>
        <w:pageBreakBefore w:val="0"/>
        <w:widowControl w:val="0"/>
        <w:kinsoku/>
        <w:wordWrap/>
        <w:overflowPunct/>
        <w:topLinePunct w:val="0"/>
        <w:autoSpaceDE/>
        <w:autoSpaceDN/>
        <w:bidi w:val="0"/>
        <w:spacing w:line="592" w:lineRule="exact"/>
        <w:ind w:firstLine="630" w:firstLineChars="196"/>
        <w:textAlignment w:val="auto"/>
        <w:rPr>
          <w:rFonts w:hint="default" w:ascii="Times New Roman" w:hAnsi="Times New Roman" w:eastAsia="仿宋_GB2312" w:cs="Times New Roman"/>
          <w:color w:val="000000"/>
          <w:sz w:val="32"/>
          <w:szCs w:val="32"/>
          <w:lang w:val="en-US" w:eastAsia="zh-CN"/>
        </w:rPr>
      </w:pPr>
      <w:r>
        <w:rPr>
          <w:rFonts w:hint="default" w:ascii="仿宋_GB2312" w:hAnsi="仿宋_GB2312" w:eastAsia="仿宋_GB2312" w:cs="仿宋_GB2312"/>
          <w:b/>
          <w:bCs w:val="0"/>
          <w:sz w:val="32"/>
          <w:szCs w:val="32"/>
          <w:lang w:val="en-US" w:eastAsia="zh-CN"/>
        </w:rPr>
        <w:t>五</w:t>
      </w:r>
      <w:r>
        <w:rPr>
          <w:rFonts w:hint="default" w:ascii="仿宋_GB2312" w:hAnsi="仿宋_GB2312" w:eastAsia="仿宋_GB2312" w:cs="仿宋_GB2312"/>
          <w:b/>
          <w:bCs w:val="0"/>
          <w:sz w:val="32"/>
          <w:szCs w:val="32"/>
        </w:rPr>
        <w:t>是加强财政风险防控。</w:t>
      </w:r>
      <w:r>
        <w:rPr>
          <w:rFonts w:hint="default" w:ascii="Times New Roman" w:hAnsi="Times New Roman" w:eastAsia="仿宋_GB2312" w:cs="Times New Roman"/>
          <w:color w:val="000000"/>
          <w:sz w:val="32"/>
          <w:szCs w:val="32"/>
          <w:lang w:val="en-US" w:eastAsia="zh-CN"/>
        </w:rPr>
        <w:t>强化财政库款管理，严格财政支出次序，科学组织调度资金，优先保障“三保”等重点刚性支出。加强政府性债务管理，严格落实政府性债务限额管理要求，稳妥有序化解政府存量债务。</w:t>
      </w:r>
    </w:p>
    <w:p>
      <w:pPr>
        <w:keepNext w:val="0"/>
        <w:keepLines w:val="0"/>
        <w:pageBreakBefore w:val="0"/>
        <w:widowControl w:val="0"/>
        <w:kinsoku/>
        <w:wordWrap/>
        <w:overflowPunct/>
        <w:topLinePunct w:val="0"/>
        <w:autoSpaceDE/>
        <w:autoSpaceDN/>
        <w:bidi w:val="0"/>
        <w:spacing w:line="592" w:lineRule="exact"/>
        <w:ind w:firstLine="630" w:firstLineChars="196"/>
        <w:textAlignment w:val="auto"/>
        <w:rPr>
          <w:rFonts w:hint="default" w:ascii="Times New Roman" w:hAnsi="Times New Roman" w:eastAsia="仿宋_GB2312" w:cs="Times New Roman"/>
          <w:color w:val="000000"/>
          <w:sz w:val="32"/>
          <w:szCs w:val="32"/>
          <w:lang w:val="en-US" w:eastAsia="zh-CN"/>
        </w:rPr>
      </w:pPr>
      <w:r>
        <w:rPr>
          <w:rFonts w:hint="default" w:ascii="仿宋_GB2312" w:hAnsi="仿宋_GB2312" w:eastAsia="仿宋_GB2312" w:cs="仿宋_GB2312"/>
          <w:b/>
          <w:bCs w:val="0"/>
          <w:sz w:val="32"/>
          <w:szCs w:val="32"/>
          <w:lang w:val="en-US" w:eastAsia="zh-CN"/>
        </w:rPr>
        <w:t>六</w:t>
      </w:r>
      <w:r>
        <w:rPr>
          <w:rFonts w:hint="default" w:ascii="仿宋_GB2312" w:hAnsi="仿宋_GB2312" w:eastAsia="仿宋_GB2312" w:cs="仿宋_GB2312"/>
          <w:b/>
          <w:bCs w:val="0"/>
          <w:sz w:val="32"/>
          <w:szCs w:val="32"/>
        </w:rPr>
        <w:t>是抓好财政监督检查。</w:t>
      </w:r>
      <w:r>
        <w:rPr>
          <w:rFonts w:hint="default" w:ascii="Times New Roman" w:hAnsi="Times New Roman" w:eastAsia="仿宋_GB2312" w:cs="Times New Roman"/>
          <w:color w:val="000000"/>
          <w:sz w:val="32"/>
          <w:szCs w:val="32"/>
          <w:lang w:val="en-US" w:eastAsia="zh-CN"/>
        </w:rPr>
        <w:t>进一步严肃财经纪律，认真组织开展“小金库”专项整治、会计信息质量检查、预决算信息公开检查、惠民惠农“一卡通”专项核查等各项执法检查，依法依规严肃查处违规违纪问题。</w:t>
      </w:r>
    </w:p>
    <w:p>
      <w:pPr>
        <w:keepNext w:val="0"/>
        <w:keepLines w:val="0"/>
        <w:pageBreakBefore w:val="0"/>
        <w:widowControl w:val="0"/>
        <w:kinsoku/>
        <w:wordWrap/>
        <w:overflowPunct/>
        <w:topLinePunct w:val="0"/>
        <w:autoSpaceDE/>
        <w:autoSpaceDN/>
        <w:bidi w:val="0"/>
        <w:spacing w:line="592" w:lineRule="exact"/>
        <w:ind w:firstLine="643" w:firstLineChars="200"/>
        <w:textAlignment w:val="auto"/>
        <w:rPr>
          <w:rFonts w:hint="default" w:ascii="Times New Roman" w:hAnsi="Times New Roman" w:eastAsia="仿宋_GB2312" w:cs="Times New Roman"/>
          <w:color w:val="000000"/>
          <w:sz w:val="32"/>
          <w:szCs w:val="32"/>
          <w:lang w:val="en-US" w:eastAsia="zh-CN"/>
        </w:rPr>
      </w:pPr>
      <w:r>
        <w:rPr>
          <w:rFonts w:hint="default" w:ascii="仿宋_GB2312" w:hAnsi="仿宋_GB2312" w:eastAsia="仿宋_GB2312" w:cs="仿宋_GB2312"/>
          <w:b/>
          <w:bCs w:val="0"/>
          <w:sz w:val="32"/>
          <w:szCs w:val="32"/>
          <w:lang w:val="en-US" w:eastAsia="zh-CN"/>
        </w:rPr>
        <w:t>七</w:t>
      </w:r>
      <w:r>
        <w:rPr>
          <w:rFonts w:hint="default" w:ascii="仿宋_GB2312" w:hAnsi="仿宋_GB2312" w:eastAsia="仿宋_GB2312" w:cs="仿宋_GB2312"/>
          <w:b/>
          <w:bCs w:val="0"/>
          <w:sz w:val="32"/>
          <w:szCs w:val="32"/>
        </w:rPr>
        <w:t>是着力保障改善民生。</w:t>
      </w:r>
      <w:r>
        <w:rPr>
          <w:rFonts w:hint="default" w:ascii="Times New Roman" w:hAnsi="Times New Roman" w:eastAsia="仿宋_GB2312" w:cs="Times New Roman"/>
          <w:color w:val="000000"/>
          <w:sz w:val="32"/>
          <w:szCs w:val="32"/>
          <w:lang w:val="en-US" w:eastAsia="zh-CN"/>
        </w:rPr>
        <w:t>加强资金统筹，保障20项民生实事和10项暖民心行动落地见效，不断提升民生福祉。继续做好乡村振兴资金监管和绩效评价工作，保证资金和项目落实落地，提升资金使用效益。</w:t>
      </w:r>
    </w:p>
    <w:p>
      <w:pPr>
        <w:keepNext w:val="0"/>
        <w:keepLines w:val="0"/>
        <w:pageBreakBefore w:val="0"/>
        <w:widowControl w:val="0"/>
        <w:kinsoku/>
        <w:wordWrap/>
        <w:overflowPunct/>
        <w:topLinePunct w:val="0"/>
        <w:autoSpaceDE/>
        <w:autoSpaceDN/>
        <w:bidi w:val="0"/>
        <w:spacing w:line="592" w:lineRule="exact"/>
        <w:ind w:firstLine="640" w:firstLineChars="20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以上报告，请予审议。</w:t>
      </w:r>
    </w:p>
    <w:sectPr>
      <w:headerReference r:id="rId5" w:type="first"/>
      <w:footerReference r:id="rId8" w:type="first"/>
      <w:headerReference r:id="rId3" w:type="default"/>
      <w:footerReference r:id="rId6" w:type="default"/>
      <w:headerReference r:id="rId4" w:type="even"/>
      <w:footerReference r:id="rId7" w:type="even"/>
      <w:pgSz w:w="11906" w:h="16838"/>
      <w:pgMar w:top="2098" w:right="1474" w:bottom="1985" w:left="1588"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琥珀">
    <w:panose1 w:val="02010800040101010101"/>
    <w:charset w:val="86"/>
    <w:family w:val="auto"/>
    <w:pitch w:val="default"/>
    <w:sig w:usb0="00000001" w:usb1="080F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outside" w:y="1"/>
      <w:rPr>
        <w:rStyle w:val="14"/>
        <w:sz w:val="28"/>
        <w:szCs w:val="28"/>
      </w:rPr>
    </w:pPr>
    <w:r>
      <w:rPr>
        <w:rStyle w:val="14"/>
        <w:rFonts w:hint="eastAsia"/>
        <w:sz w:val="28"/>
        <w:szCs w:val="28"/>
      </w:rPr>
      <w:t>－</w:t>
    </w:r>
    <w:r>
      <w:rPr>
        <w:sz w:val="28"/>
        <w:szCs w:val="28"/>
      </w:rPr>
      <w:fldChar w:fldCharType="begin"/>
    </w:r>
    <w:r>
      <w:rPr>
        <w:rStyle w:val="14"/>
        <w:sz w:val="28"/>
        <w:szCs w:val="28"/>
      </w:rPr>
      <w:instrText xml:space="preserve">PAGE  </w:instrText>
    </w:r>
    <w:r>
      <w:rPr>
        <w:sz w:val="28"/>
        <w:szCs w:val="28"/>
      </w:rPr>
      <w:fldChar w:fldCharType="separate"/>
    </w:r>
    <w:r>
      <w:rPr>
        <w:rStyle w:val="14"/>
        <w:sz w:val="28"/>
        <w:szCs w:val="28"/>
      </w:rPr>
      <w:t>15</w:t>
    </w:r>
    <w:r>
      <w:rPr>
        <w:sz w:val="28"/>
        <w:szCs w:val="28"/>
      </w:rPr>
      <w:fldChar w:fldCharType="end"/>
    </w:r>
    <w:r>
      <w:rPr>
        <w:rStyle w:val="14"/>
        <w:rFonts w:hint="eastAsia"/>
        <w:sz w:val="28"/>
        <w:szCs w:val="28"/>
      </w:rPr>
      <w:t>－</w:t>
    </w:r>
  </w:p>
  <w:p>
    <w:pPr>
      <w:pStyle w:val="8"/>
      <w:tabs>
        <w:tab w:val="left" w:pos="6660"/>
        <w:tab w:val="clear" w:pos="4153"/>
        <w:tab w:val="clear" w:pos="8306"/>
      </w:tabs>
      <w:ind w:right="360"/>
      <w:jc w:val="both"/>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outside" w:y="1"/>
      <w:rPr>
        <w:rStyle w:val="14"/>
      </w:rPr>
    </w:pPr>
    <w:r>
      <w:fldChar w:fldCharType="begin"/>
    </w:r>
    <w:r>
      <w:rPr>
        <w:rStyle w:val="14"/>
      </w:rPr>
      <w:instrText xml:space="preserve">PAGE  </w:instrText>
    </w:r>
    <w:r>
      <w:fldChar w:fldCharType="end"/>
    </w:r>
  </w:p>
  <w:p>
    <w:pPr>
      <w:pStyle w:val="8"/>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VkMWM3OTQ1YTNiM2JjN2QzYzY2NmVlNWYwMGJjM2IifQ=="/>
  </w:docVars>
  <w:rsids>
    <w:rsidRoot w:val="00A610B0"/>
    <w:rsid w:val="00007D7C"/>
    <w:rsid w:val="000146F9"/>
    <w:rsid w:val="00014BCD"/>
    <w:rsid w:val="00014C0C"/>
    <w:rsid w:val="00016A73"/>
    <w:rsid w:val="00017FB4"/>
    <w:rsid w:val="000202C2"/>
    <w:rsid w:val="00021133"/>
    <w:rsid w:val="00021AFC"/>
    <w:rsid w:val="000273C7"/>
    <w:rsid w:val="000310B2"/>
    <w:rsid w:val="000322C0"/>
    <w:rsid w:val="000335D6"/>
    <w:rsid w:val="0004024F"/>
    <w:rsid w:val="00042209"/>
    <w:rsid w:val="00042DB3"/>
    <w:rsid w:val="00047AA5"/>
    <w:rsid w:val="0005108C"/>
    <w:rsid w:val="00052FDF"/>
    <w:rsid w:val="00054693"/>
    <w:rsid w:val="00064101"/>
    <w:rsid w:val="00071A68"/>
    <w:rsid w:val="000760F8"/>
    <w:rsid w:val="000829F8"/>
    <w:rsid w:val="000859AE"/>
    <w:rsid w:val="000859FE"/>
    <w:rsid w:val="00086CDF"/>
    <w:rsid w:val="00090CC0"/>
    <w:rsid w:val="000960D2"/>
    <w:rsid w:val="000973D8"/>
    <w:rsid w:val="000A13E8"/>
    <w:rsid w:val="000A4085"/>
    <w:rsid w:val="000A4AC2"/>
    <w:rsid w:val="000B1FBF"/>
    <w:rsid w:val="000B43B9"/>
    <w:rsid w:val="000C2C17"/>
    <w:rsid w:val="000C2D30"/>
    <w:rsid w:val="000D6A4C"/>
    <w:rsid w:val="000D70D5"/>
    <w:rsid w:val="000D71F7"/>
    <w:rsid w:val="000E08BC"/>
    <w:rsid w:val="000E10E8"/>
    <w:rsid w:val="000F0B18"/>
    <w:rsid w:val="000F2487"/>
    <w:rsid w:val="000F47B2"/>
    <w:rsid w:val="000F61B4"/>
    <w:rsid w:val="00101128"/>
    <w:rsid w:val="001047B6"/>
    <w:rsid w:val="001047B7"/>
    <w:rsid w:val="00106449"/>
    <w:rsid w:val="00106A48"/>
    <w:rsid w:val="001070A8"/>
    <w:rsid w:val="00107BCF"/>
    <w:rsid w:val="00113368"/>
    <w:rsid w:val="00114265"/>
    <w:rsid w:val="0011625A"/>
    <w:rsid w:val="00117501"/>
    <w:rsid w:val="00120EBC"/>
    <w:rsid w:val="0012142D"/>
    <w:rsid w:val="001237B2"/>
    <w:rsid w:val="00123ACF"/>
    <w:rsid w:val="0012401A"/>
    <w:rsid w:val="001241F6"/>
    <w:rsid w:val="001250CE"/>
    <w:rsid w:val="00125789"/>
    <w:rsid w:val="00131BDA"/>
    <w:rsid w:val="001325D6"/>
    <w:rsid w:val="00132EC5"/>
    <w:rsid w:val="00134916"/>
    <w:rsid w:val="00135A78"/>
    <w:rsid w:val="0013642A"/>
    <w:rsid w:val="00136AFB"/>
    <w:rsid w:val="00141E4A"/>
    <w:rsid w:val="001460D2"/>
    <w:rsid w:val="0015265D"/>
    <w:rsid w:val="00152BB1"/>
    <w:rsid w:val="00154969"/>
    <w:rsid w:val="001553DA"/>
    <w:rsid w:val="001565DB"/>
    <w:rsid w:val="00160505"/>
    <w:rsid w:val="001621CD"/>
    <w:rsid w:val="00163352"/>
    <w:rsid w:val="001634C3"/>
    <w:rsid w:val="00163ABC"/>
    <w:rsid w:val="00164BED"/>
    <w:rsid w:val="00166BE8"/>
    <w:rsid w:val="00166D14"/>
    <w:rsid w:val="001711AA"/>
    <w:rsid w:val="001713CE"/>
    <w:rsid w:val="00173475"/>
    <w:rsid w:val="001739EA"/>
    <w:rsid w:val="0017544F"/>
    <w:rsid w:val="00175484"/>
    <w:rsid w:val="00181519"/>
    <w:rsid w:val="00184917"/>
    <w:rsid w:val="00185EEB"/>
    <w:rsid w:val="00187CDB"/>
    <w:rsid w:val="0019158B"/>
    <w:rsid w:val="00191624"/>
    <w:rsid w:val="00191897"/>
    <w:rsid w:val="00191D8D"/>
    <w:rsid w:val="00196F89"/>
    <w:rsid w:val="001A6F16"/>
    <w:rsid w:val="001B4601"/>
    <w:rsid w:val="001B4F1B"/>
    <w:rsid w:val="001B535B"/>
    <w:rsid w:val="001B64AA"/>
    <w:rsid w:val="001B6BD8"/>
    <w:rsid w:val="001C2270"/>
    <w:rsid w:val="001C307C"/>
    <w:rsid w:val="001D4583"/>
    <w:rsid w:val="001D4B59"/>
    <w:rsid w:val="001D4BF4"/>
    <w:rsid w:val="001D6784"/>
    <w:rsid w:val="001D6A8A"/>
    <w:rsid w:val="001E67D2"/>
    <w:rsid w:val="001E7510"/>
    <w:rsid w:val="001F0F31"/>
    <w:rsid w:val="001F15AF"/>
    <w:rsid w:val="001F32A5"/>
    <w:rsid w:val="0020257D"/>
    <w:rsid w:val="0020479A"/>
    <w:rsid w:val="00205C54"/>
    <w:rsid w:val="002119B0"/>
    <w:rsid w:val="00212512"/>
    <w:rsid w:val="0021686D"/>
    <w:rsid w:val="00221B1F"/>
    <w:rsid w:val="002248D8"/>
    <w:rsid w:val="00227953"/>
    <w:rsid w:val="0023046C"/>
    <w:rsid w:val="00232F59"/>
    <w:rsid w:val="002335A5"/>
    <w:rsid w:val="00240DB2"/>
    <w:rsid w:val="002417EB"/>
    <w:rsid w:val="00242269"/>
    <w:rsid w:val="00242949"/>
    <w:rsid w:val="00242DAD"/>
    <w:rsid w:val="002502FF"/>
    <w:rsid w:val="00251031"/>
    <w:rsid w:val="00251CBD"/>
    <w:rsid w:val="00252CF9"/>
    <w:rsid w:val="00252F1F"/>
    <w:rsid w:val="0025401A"/>
    <w:rsid w:val="00255BEC"/>
    <w:rsid w:val="002610CA"/>
    <w:rsid w:val="0026162C"/>
    <w:rsid w:val="0026181E"/>
    <w:rsid w:val="00262A4E"/>
    <w:rsid w:val="00262F31"/>
    <w:rsid w:val="002645AF"/>
    <w:rsid w:val="00270CA7"/>
    <w:rsid w:val="00272C1D"/>
    <w:rsid w:val="00282A8B"/>
    <w:rsid w:val="00282F34"/>
    <w:rsid w:val="0028369A"/>
    <w:rsid w:val="00285778"/>
    <w:rsid w:val="00292BC1"/>
    <w:rsid w:val="00294238"/>
    <w:rsid w:val="00295670"/>
    <w:rsid w:val="00295BD4"/>
    <w:rsid w:val="002A7EB4"/>
    <w:rsid w:val="002B2B27"/>
    <w:rsid w:val="002B2EB2"/>
    <w:rsid w:val="002B3CCC"/>
    <w:rsid w:val="002B5105"/>
    <w:rsid w:val="002C2B56"/>
    <w:rsid w:val="002C2FB3"/>
    <w:rsid w:val="002C518D"/>
    <w:rsid w:val="002D1F99"/>
    <w:rsid w:val="002D362C"/>
    <w:rsid w:val="002D7008"/>
    <w:rsid w:val="002E0805"/>
    <w:rsid w:val="002E0CDC"/>
    <w:rsid w:val="002E46D1"/>
    <w:rsid w:val="002E4D87"/>
    <w:rsid w:val="002E74E8"/>
    <w:rsid w:val="002F14A5"/>
    <w:rsid w:val="002F5BAC"/>
    <w:rsid w:val="00302646"/>
    <w:rsid w:val="003058E4"/>
    <w:rsid w:val="00310282"/>
    <w:rsid w:val="00310515"/>
    <w:rsid w:val="00314157"/>
    <w:rsid w:val="00315BDF"/>
    <w:rsid w:val="003220C9"/>
    <w:rsid w:val="00322A41"/>
    <w:rsid w:val="0032387D"/>
    <w:rsid w:val="003242C1"/>
    <w:rsid w:val="00325EF2"/>
    <w:rsid w:val="0032633C"/>
    <w:rsid w:val="00327FDA"/>
    <w:rsid w:val="00340EB6"/>
    <w:rsid w:val="00340F39"/>
    <w:rsid w:val="00341351"/>
    <w:rsid w:val="003429D4"/>
    <w:rsid w:val="00343999"/>
    <w:rsid w:val="00346F11"/>
    <w:rsid w:val="003502CB"/>
    <w:rsid w:val="00352885"/>
    <w:rsid w:val="00353955"/>
    <w:rsid w:val="00356AA8"/>
    <w:rsid w:val="00362140"/>
    <w:rsid w:val="00365F93"/>
    <w:rsid w:val="00367E9F"/>
    <w:rsid w:val="003710DF"/>
    <w:rsid w:val="003721ED"/>
    <w:rsid w:val="00373863"/>
    <w:rsid w:val="003744F8"/>
    <w:rsid w:val="00375042"/>
    <w:rsid w:val="00376633"/>
    <w:rsid w:val="003767A1"/>
    <w:rsid w:val="003773E7"/>
    <w:rsid w:val="00380677"/>
    <w:rsid w:val="00382DEB"/>
    <w:rsid w:val="00391E88"/>
    <w:rsid w:val="003953BC"/>
    <w:rsid w:val="003955A4"/>
    <w:rsid w:val="00396A17"/>
    <w:rsid w:val="003A0138"/>
    <w:rsid w:val="003A0FE5"/>
    <w:rsid w:val="003A582F"/>
    <w:rsid w:val="003B1D86"/>
    <w:rsid w:val="003B22A1"/>
    <w:rsid w:val="003B55D4"/>
    <w:rsid w:val="003C28CD"/>
    <w:rsid w:val="003C7755"/>
    <w:rsid w:val="003D0970"/>
    <w:rsid w:val="003E082C"/>
    <w:rsid w:val="003E1403"/>
    <w:rsid w:val="003E2752"/>
    <w:rsid w:val="003E3631"/>
    <w:rsid w:val="003E4F99"/>
    <w:rsid w:val="003E5AF6"/>
    <w:rsid w:val="003F0CC3"/>
    <w:rsid w:val="003F35E5"/>
    <w:rsid w:val="003F5867"/>
    <w:rsid w:val="003F598A"/>
    <w:rsid w:val="003F6450"/>
    <w:rsid w:val="0040577D"/>
    <w:rsid w:val="0040607E"/>
    <w:rsid w:val="0040617D"/>
    <w:rsid w:val="00407595"/>
    <w:rsid w:val="00407F74"/>
    <w:rsid w:val="00410244"/>
    <w:rsid w:val="00411322"/>
    <w:rsid w:val="004120F7"/>
    <w:rsid w:val="004149D5"/>
    <w:rsid w:val="00415FF6"/>
    <w:rsid w:val="00416C50"/>
    <w:rsid w:val="00417C8B"/>
    <w:rsid w:val="00422600"/>
    <w:rsid w:val="004230D8"/>
    <w:rsid w:val="004275A2"/>
    <w:rsid w:val="00427C82"/>
    <w:rsid w:val="00430E25"/>
    <w:rsid w:val="00430F88"/>
    <w:rsid w:val="00431EED"/>
    <w:rsid w:val="0043372C"/>
    <w:rsid w:val="00433F91"/>
    <w:rsid w:val="004403D4"/>
    <w:rsid w:val="00441A1E"/>
    <w:rsid w:val="00444763"/>
    <w:rsid w:val="004456E0"/>
    <w:rsid w:val="00446F8F"/>
    <w:rsid w:val="00447347"/>
    <w:rsid w:val="004567E8"/>
    <w:rsid w:val="004578DD"/>
    <w:rsid w:val="004602C6"/>
    <w:rsid w:val="00463C72"/>
    <w:rsid w:val="004641C6"/>
    <w:rsid w:val="00465966"/>
    <w:rsid w:val="00466794"/>
    <w:rsid w:val="00470B6C"/>
    <w:rsid w:val="004751C2"/>
    <w:rsid w:val="004769E2"/>
    <w:rsid w:val="004779AC"/>
    <w:rsid w:val="004846C1"/>
    <w:rsid w:val="00484BDE"/>
    <w:rsid w:val="00487631"/>
    <w:rsid w:val="00495382"/>
    <w:rsid w:val="00496329"/>
    <w:rsid w:val="004A06F3"/>
    <w:rsid w:val="004A504D"/>
    <w:rsid w:val="004B24B0"/>
    <w:rsid w:val="004B49C9"/>
    <w:rsid w:val="004B6C1C"/>
    <w:rsid w:val="004C1C42"/>
    <w:rsid w:val="004C2572"/>
    <w:rsid w:val="004C37A2"/>
    <w:rsid w:val="004C695B"/>
    <w:rsid w:val="004D18DA"/>
    <w:rsid w:val="004D1A61"/>
    <w:rsid w:val="004D21D2"/>
    <w:rsid w:val="004D2A5A"/>
    <w:rsid w:val="004D3D37"/>
    <w:rsid w:val="004D4AFA"/>
    <w:rsid w:val="004D50DD"/>
    <w:rsid w:val="004D71BA"/>
    <w:rsid w:val="004E1ACF"/>
    <w:rsid w:val="004E2DA6"/>
    <w:rsid w:val="004E56BE"/>
    <w:rsid w:val="004E6AF3"/>
    <w:rsid w:val="004F53B0"/>
    <w:rsid w:val="004F5B38"/>
    <w:rsid w:val="004F6A8A"/>
    <w:rsid w:val="00503566"/>
    <w:rsid w:val="00511621"/>
    <w:rsid w:val="005161EC"/>
    <w:rsid w:val="00517925"/>
    <w:rsid w:val="005204D9"/>
    <w:rsid w:val="00520528"/>
    <w:rsid w:val="0052638C"/>
    <w:rsid w:val="00527282"/>
    <w:rsid w:val="00530855"/>
    <w:rsid w:val="005356CD"/>
    <w:rsid w:val="00541B64"/>
    <w:rsid w:val="00542A37"/>
    <w:rsid w:val="005445E7"/>
    <w:rsid w:val="0054568E"/>
    <w:rsid w:val="005467DD"/>
    <w:rsid w:val="00552325"/>
    <w:rsid w:val="00552DFB"/>
    <w:rsid w:val="00553B0B"/>
    <w:rsid w:val="00554C4F"/>
    <w:rsid w:val="0055710B"/>
    <w:rsid w:val="005628D3"/>
    <w:rsid w:val="00564979"/>
    <w:rsid w:val="00565536"/>
    <w:rsid w:val="00567143"/>
    <w:rsid w:val="0056717C"/>
    <w:rsid w:val="00567F63"/>
    <w:rsid w:val="00570707"/>
    <w:rsid w:val="00570964"/>
    <w:rsid w:val="00570C1A"/>
    <w:rsid w:val="0057121F"/>
    <w:rsid w:val="00571FE3"/>
    <w:rsid w:val="00573119"/>
    <w:rsid w:val="0057689C"/>
    <w:rsid w:val="00577BCE"/>
    <w:rsid w:val="00580EE8"/>
    <w:rsid w:val="00581B10"/>
    <w:rsid w:val="005941E1"/>
    <w:rsid w:val="005952A3"/>
    <w:rsid w:val="00597DC6"/>
    <w:rsid w:val="005A43F6"/>
    <w:rsid w:val="005A4682"/>
    <w:rsid w:val="005A775B"/>
    <w:rsid w:val="005B3E42"/>
    <w:rsid w:val="005C71A5"/>
    <w:rsid w:val="005D12DD"/>
    <w:rsid w:val="005D5F38"/>
    <w:rsid w:val="005E1318"/>
    <w:rsid w:val="005E145B"/>
    <w:rsid w:val="005E14C9"/>
    <w:rsid w:val="005E2113"/>
    <w:rsid w:val="005E356B"/>
    <w:rsid w:val="005E3C2A"/>
    <w:rsid w:val="005E40CE"/>
    <w:rsid w:val="005E67F6"/>
    <w:rsid w:val="005E7481"/>
    <w:rsid w:val="005F19B3"/>
    <w:rsid w:val="005F3595"/>
    <w:rsid w:val="005F4DF3"/>
    <w:rsid w:val="005F6B97"/>
    <w:rsid w:val="00600D08"/>
    <w:rsid w:val="006024FB"/>
    <w:rsid w:val="00604DC6"/>
    <w:rsid w:val="006066A7"/>
    <w:rsid w:val="00606A47"/>
    <w:rsid w:val="00611076"/>
    <w:rsid w:val="00611F7D"/>
    <w:rsid w:val="0061241B"/>
    <w:rsid w:val="00615E05"/>
    <w:rsid w:val="00616321"/>
    <w:rsid w:val="00626A30"/>
    <w:rsid w:val="00631F91"/>
    <w:rsid w:val="006350C1"/>
    <w:rsid w:val="00635878"/>
    <w:rsid w:val="00635CA8"/>
    <w:rsid w:val="00636838"/>
    <w:rsid w:val="00637947"/>
    <w:rsid w:val="00637CB4"/>
    <w:rsid w:val="00640A0F"/>
    <w:rsid w:val="00640AC8"/>
    <w:rsid w:val="006430EE"/>
    <w:rsid w:val="00652D18"/>
    <w:rsid w:val="0065356D"/>
    <w:rsid w:val="00655BB5"/>
    <w:rsid w:val="00660A4C"/>
    <w:rsid w:val="00661CD0"/>
    <w:rsid w:val="00663631"/>
    <w:rsid w:val="006647E4"/>
    <w:rsid w:val="006667B9"/>
    <w:rsid w:val="00670544"/>
    <w:rsid w:val="00670FE7"/>
    <w:rsid w:val="00676AA0"/>
    <w:rsid w:val="006828A4"/>
    <w:rsid w:val="00683CDD"/>
    <w:rsid w:val="006848B2"/>
    <w:rsid w:val="00685903"/>
    <w:rsid w:val="00686F87"/>
    <w:rsid w:val="00692B00"/>
    <w:rsid w:val="00695908"/>
    <w:rsid w:val="006A6D8E"/>
    <w:rsid w:val="006A7DC4"/>
    <w:rsid w:val="006B0E4B"/>
    <w:rsid w:val="006B2A9E"/>
    <w:rsid w:val="006B5E09"/>
    <w:rsid w:val="006C3F3B"/>
    <w:rsid w:val="006C7B4C"/>
    <w:rsid w:val="006D5D1A"/>
    <w:rsid w:val="006D6268"/>
    <w:rsid w:val="006D6B9A"/>
    <w:rsid w:val="006D73ED"/>
    <w:rsid w:val="006D78D5"/>
    <w:rsid w:val="006E38D9"/>
    <w:rsid w:val="006E6022"/>
    <w:rsid w:val="006F376E"/>
    <w:rsid w:val="006F52DB"/>
    <w:rsid w:val="006F5D18"/>
    <w:rsid w:val="00701FC8"/>
    <w:rsid w:val="00702814"/>
    <w:rsid w:val="00706A72"/>
    <w:rsid w:val="0071052B"/>
    <w:rsid w:val="00712ED2"/>
    <w:rsid w:val="00715343"/>
    <w:rsid w:val="00715C13"/>
    <w:rsid w:val="007206F3"/>
    <w:rsid w:val="0072383E"/>
    <w:rsid w:val="00724E2E"/>
    <w:rsid w:val="00736658"/>
    <w:rsid w:val="00741B4B"/>
    <w:rsid w:val="00743A81"/>
    <w:rsid w:val="00744FE2"/>
    <w:rsid w:val="00751146"/>
    <w:rsid w:val="007528C8"/>
    <w:rsid w:val="007564AA"/>
    <w:rsid w:val="007619CD"/>
    <w:rsid w:val="00761B71"/>
    <w:rsid w:val="00761BD8"/>
    <w:rsid w:val="00766684"/>
    <w:rsid w:val="00766F30"/>
    <w:rsid w:val="00775783"/>
    <w:rsid w:val="0078458A"/>
    <w:rsid w:val="007938A9"/>
    <w:rsid w:val="0079666D"/>
    <w:rsid w:val="007970CE"/>
    <w:rsid w:val="00797920"/>
    <w:rsid w:val="007A291A"/>
    <w:rsid w:val="007A2961"/>
    <w:rsid w:val="007A2CDF"/>
    <w:rsid w:val="007A3CE5"/>
    <w:rsid w:val="007A47DF"/>
    <w:rsid w:val="007A5335"/>
    <w:rsid w:val="007A5CF2"/>
    <w:rsid w:val="007A5F89"/>
    <w:rsid w:val="007A6055"/>
    <w:rsid w:val="007B568F"/>
    <w:rsid w:val="007B6975"/>
    <w:rsid w:val="007C175F"/>
    <w:rsid w:val="007C38EB"/>
    <w:rsid w:val="007C3F54"/>
    <w:rsid w:val="007C44D3"/>
    <w:rsid w:val="007C6697"/>
    <w:rsid w:val="007D1954"/>
    <w:rsid w:val="007D5FB2"/>
    <w:rsid w:val="007D79C7"/>
    <w:rsid w:val="007E2225"/>
    <w:rsid w:val="007E3FD6"/>
    <w:rsid w:val="007E4A8F"/>
    <w:rsid w:val="007E52C9"/>
    <w:rsid w:val="007F19AA"/>
    <w:rsid w:val="007F1F8B"/>
    <w:rsid w:val="007F2BF4"/>
    <w:rsid w:val="00803C36"/>
    <w:rsid w:val="00805525"/>
    <w:rsid w:val="00805DF8"/>
    <w:rsid w:val="0080717F"/>
    <w:rsid w:val="00811517"/>
    <w:rsid w:val="00812466"/>
    <w:rsid w:val="00812BCC"/>
    <w:rsid w:val="00813860"/>
    <w:rsid w:val="00817269"/>
    <w:rsid w:val="00820A72"/>
    <w:rsid w:val="00820B9F"/>
    <w:rsid w:val="008242F8"/>
    <w:rsid w:val="00825D2C"/>
    <w:rsid w:val="008309A8"/>
    <w:rsid w:val="00841A12"/>
    <w:rsid w:val="00842434"/>
    <w:rsid w:val="00843B28"/>
    <w:rsid w:val="00850213"/>
    <w:rsid w:val="00850850"/>
    <w:rsid w:val="00852EFB"/>
    <w:rsid w:val="008546FA"/>
    <w:rsid w:val="00854FD2"/>
    <w:rsid w:val="0085565D"/>
    <w:rsid w:val="00862B78"/>
    <w:rsid w:val="00864324"/>
    <w:rsid w:val="008673D0"/>
    <w:rsid w:val="00867445"/>
    <w:rsid w:val="00873C28"/>
    <w:rsid w:val="00875BC9"/>
    <w:rsid w:val="00881295"/>
    <w:rsid w:val="00885D45"/>
    <w:rsid w:val="00887AD8"/>
    <w:rsid w:val="00887B4F"/>
    <w:rsid w:val="008961A3"/>
    <w:rsid w:val="0089797E"/>
    <w:rsid w:val="008A26F1"/>
    <w:rsid w:val="008A37C6"/>
    <w:rsid w:val="008A50C5"/>
    <w:rsid w:val="008B037E"/>
    <w:rsid w:val="008B27FE"/>
    <w:rsid w:val="008B3256"/>
    <w:rsid w:val="008B5A05"/>
    <w:rsid w:val="008C1DA1"/>
    <w:rsid w:val="008C6401"/>
    <w:rsid w:val="008C6A92"/>
    <w:rsid w:val="008C7E44"/>
    <w:rsid w:val="008C7E5D"/>
    <w:rsid w:val="008D711D"/>
    <w:rsid w:val="008E019C"/>
    <w:rsid w:val="008E0BE2"/>
    <w:rsid w:val="008E2024"/>
    <w:rsid w:val="008E2606"/>
    <w:rsid w:val="008E2E5F"/>
    <w:rsid w:val="008E48A2"/>
    <w:rsid w:val="008E48B1"/>
    <w:rsid w:val="008E52C7"/>
    <w:rsid w:val="008F0FE0"/>
    <w:rsid w:val="008F1469"/>
    <w:rsid w:val="008F1A69"/>
    <w:rsid w:val="008F43AD"/>
    <w:rsid w:val="008F4EF9"/>
    <w:rsid w:val="008F5CB2"/>
    <w:rsid w:val="008F64C6"/>
    <w:rsid w:val="008F72E4"/>
    <w:rsid w:val="009001FA"/>
    <w:rsid w:val="00910783"/>
    <w:rsid w:val="00913254"/>
    <w:rsid w:val="00914609"/>
    <w:rsid w:val="009164B9"/>
    <w:rsid w:val="00916D67"/>
    <w:rsid w:val="00921ABF"/>
    <w:rsid w:val="00926423"/>
    <w:rsid w:val="00931809"/>
    <w:rsid w:val="009318BA"/>
    <w:rsid w:val="009320FF"/>
    <w:rsid w:val="00932257"/>
    <w:rsid w:val="00932DE5"/>
    <w:rsid w:val="00935A2E"/>
    <w:rsid w:val="009365BF"/>
    <w:rsid w:val="00941739"/>
    <w:rsid w:val="00945608"/>
    <w:rsid w:val="00945A63"/>
    <w:rsid w:val="00951860"/>
    <w:rsid w:val="00952F95"/>
    <w:rsid w:val="009560C6"/>
    <w:rsid w:val="0095662D"/>
    <w:rsid w:val="0096606F"/>
    <w:rsid w:val="009672DA"/>
    <w:rsid w:val="0097662C"/>
    <w:rsid w:val="00981786"/>
    <w:rsid w:val="00981CD7"/>
    <w:rsid w:val="00981FB8"/>
    <w:rsid w:val="0098235A"/>
    <w:rsid w:val="00982457"/>
    <w:rsid w:val="009835D3"/>
    <w:rsid w:val="0098488E"/>
    <w:rsid w:val="00987D19"/>
    <w:rsid w:val="009922BD"/>
    <w:rsid w:val="009927E6"/>
    <w:rsid w:val="00992F51"/>
    <w:rsid w:val="0099310C"/>
    <w:rsid w:val="00993D19"/>
    <w:rsid w:val="00995516"/>
    <w:rsid w:val="009957FD"/>
    <w:rsid w:val="009A11B2"/>
    <w:rsid w:val="009A4275"/>
    <w:rsid w:val="009B554A"/>
    <w:rsid w:val="009C1FBC"/>
    <w:rsid w:val="009C25CD"/>
    <w:rsid w:val="009C43F0"/>
    <w:rsid w:val="009D39B0"/>
    <w:rsid w:val="009D3FBF"/>
    <w:rsid w:val="009D679D"/>
    <w:rsid w:val="009E2331"/>
    <w:rsid w:val="009E3AF0"/>
    <w:rsid w:val="009F3180"/>
    <w:rsid w:val="009F4201"/>
    <w:rsid w:val="009F55A5"/>
    <w:rsid w:val="009F5AF5"/>
    <w:rsid w:val="00A02B91"/>
    <w:rsid w:val="00A05220"/>
    <w:rsid w:val="00A07859"/>
    <w:rsid w:val="00A1094E"/>
    <w:rsid w:val="00A211C7"/>
    <w:rsid w:val="00A21AE6"/>
    <w:rsid w:val="00A23EA1"/>
    <w:rsid w:val="00A24110"/>
    <w:rsid w:val="00A25478"/>
    <w:rsid w:val="00A30248"/>
    <w:rsid w:val="00A32B35"/>
    <w:rsid w:val="00A32EE9"/>
    <w:rsid w:val="00A34707"/>
    <w:rsid w:val="00A34E8C"/>
    <w:rsid w:val="00A35FAA"/>
    <w:rsid w:val="00A36828"/>
    <w:rsid w:val="00A4262F"/>
    <w:rsid w:val="00A479ED"/>
    <w:rsid w:val="00A51822"/>
    <w:rsid w:val="00A53F30"/>
    <w:rsid w:val="00A57C69"/>
    <w:rsid w:val="00A605ED"/>
    <w:rsid w:val="00A60B2E"/>
    <w:rsid w:val="00A610B0"/>
    <w:rsid w:val="00A61507"/>
    <w:rsid w:val="00A61ACC"/>
    <w:rsid w:val="00A61B54"/>
    <w:rsid w:val="00A61ED0"/>
    <w:rsid w:val="00A64F6C"/>
    <w:rsid w:val="00A67ADE"/>
    <w:rsid w:val="00A71179"/>
    <w:rsid w:val="00A73E53"/>
    <w:rsid w:val="00A75BC3"/>
    <w:rsid w:val="00A80F5D"/>
    <w:rsid w:val="00A814C7"/>
    <w:rsid w:val="00A852F9"/>
    <w:rsid w:val="00A85305"/>
    <w:rsid w:val="00A87900"/>
    <w:rsid w:val="00A87AB0"/>
    <w:rsid w:val="00A9000A"/>
    <w:rsid w:val="00A95C36"/>
    <w:rsid w:val="00AA1EF5"/>
    <w:rsid w:val="00AA29B9"/>
    <w:rsid w:val="00AA2EC2"/>
    <w:rsid w:val="00AA3A70"/>
    <w:rsid w:val="00AB09E7"/>
    <w:rsid w:val="00AB4A87"/>
    <w:rsid w:val="00AB4AC4"/>
    <w:rsid w:val="00AB63F5"/>
    <w:rsid w:val="00AC28B5"/>
    <w:rsid w:val="00AC75B5"/>
    <w:rsid w:val="00AD0CA8"/>
    <w:rsid w:val="00AD4D66"/>
    <w:rsid w:val="00AD70BE"/>
    <w:rsid w:val="00AD79DD"/>
    <w:rsid w:val="00AD7FA0"/>
    <w:rsid w:val="00AD7FC1"/>
    <w:rsid w:val="00AE745B"/>
    <w:rsid w:val="00AE7E9B"/>
    <w:rsid w:val="00AF15BB"/>
    <w:rsid w:val="00AF429F"/>
    <w:rsid w:val="00AF4C10"/>
    <w:rsid w:val="00B00B44"/>
    <w:rsid w:val="00B01462"/>
    <w:rsid w:val="00B0224A"/>
    <w:rsid w:val="00B037D1"/>
    <w:rsid w:val="00B11063"/>
    <w:rsid w:val="00B122F1"/>
    <w:rsid w:val="00B1350A"/>
    <w:rsid w:val="00B137DF"/>
    <w:rsid w:val="00B13E2C"/>
    <w:rsid w:val="00B14C62"/>
    <w:rsid w:val="00B1739D"/>
    <w:rsid w:val="00B1785D"/>
    <w:rsid w:val="00B17CE4"/>
    <w:rsid w:val="00B2162A"/>
    <w:rsid w:val="00B23343"/>
    <w:rsid w:val="00B24F17"/>
    <w:rsid w:val="00B3363A"/>
    <w:rsid w:val="00B378D2"/>
    <w:rsid w:val="00B429FB"/>
    <w:rsid w:val="00B42FDF"/>
    <w:rsid w:val="00B45E22"/>
    <w:rsid w:val="00B50DD4"/>
    <w:rsid w:val="00B52AB0"/>
    <w:rsid w:val="00B629D7"/>
    <w:rsid w:val="00B629E6"/>
    <w:rsid w:val="00B641F3"/>
    <w:rsid w:val="00B648B0"/>
    <w:rsid w:val="00B70E20"/>
    <w:rsid w:val="00B717FF"/>
    <w:rsid w:val="00B71C8F"/>
    <w:rsid w:val="00B72B8C"/>
    <w:rsid w:val="00B75185"/>
    <w:rsid w:val="00B853AE"/>
    <w:rsid w:val="00B87D91"/>
    <w:rsid w:val="00B92727"/>
    <w:rsid w:val="00B94058"/>
    <w:rsid w:val="00B957A6"/>
    <w:rsid w:val="00BA12E2"/>
    <w:rsid w:val="00BA62AE"/>
    <w:rsid w:val="00BB0119"/>
    <w:rsid w:val="00BB06B3"/>
    <w:rsid w:val="00BB0E8C"/>
    <w:rsid w:val="00BB4B6E"/>
    <w:rsid w:val="00BB6E8D"/>
    <w:rsid w:val="00BC2D8D"/>
    <w:rsid w:val="00BC2DA2"/>
    <w:rsid w:val="00BD382E"/>
    <w:rsid w:val="00BD3B4C"/>
    <w:rsid w:val="00BD49B1"/>
    <w:rsid w:val="00BE1F96"/>
    <w:rsid w:val="00BE23EE"/>
    <w:rsid w:val="00BE2A3D"/>
    <w:rsid w:val="00BE4263"/>
    <w:rsid w:val="00BE4976"/>
    <w:rsid w:val="00BE6534"/>
    <w:rsid w:val="00BE7389"/>
    <w:rsid w:val="00BF76B2"/>
    <w:rsid w:val="00C02685"/>
    <w:rsid w:val="00C02945"/>
    <w:rsid w:val="00C02D80"/>
    <w:rsid w:val="00C031F7"/>
    <w:rsid w:val="00C03E38"/>
    <w:rsid w:val="00C07011"/>
    <w:rsid w:val="00C07DEF"/>
    <w:rsid w:val="00C07F14"/>
    <w:rsid w:val="00C1227D"/>
    <w:rsid w:val="00C15BF3"/>
    <w:rsid w:val="00C2136C"/>
    <w:rsid w:val="00C213B3"/>
    <w:rsid w:val="00C22058"/>
    <w:rsid w:val="00C26404"/>
    <w:rsid w:val="00C273C4"/>
    <w:rsid w:val="00C30B3F"/>
    <w:rsid w:val="00C37B37"/>
    <w:rsid w:val="00C43A60"/>
    <w:rsid w:val="00C43C6D"/>
    <w:rsid w:val="00C44D57"/>
    <w:rsid w:val="00C505E1"/>
    <w:rsid w:val="00C50F11"/>
    <w:rsid w:val="00C516FB"/>
    <w:rsid w:val="00C53F04"/>
    <w:rsid w:val="00C56791"/>
    <w:rsid w:val="00C57F6B"/>
    <w:rsid w:val="00C70DD9"/>
    <w:rsid w:val="00C84485"/>
    <w:rsid w:val="00C86857"/>
    <w:rsid w:val="00C87449"/>
    <w:rsid w:val="00C877CF"/>
    <w:rsid w:val="00C90EE3"/>
    <w:rsid w:val="00C91154"/>
    <w:rsid w:val="00CA21FE"/>
    <w:rsid w:val="00CA3F80"/>
    <w:rsid w:val="00CA4AB0"/>
    <w:rsid w:val="00CA55CE"/>
    <w:rsid w:val="00CA6A53"/>
    <w:rsid w:val="00CB0E0D"/>
    <w:rsid w:val="00CB27BA"/>
    <w:rsid w:val="00CC0E6E"/>
    <w:rsid w:val="00CC23CD"/>
    <w:rsid w:val="00CC3B33"/>
    <w:rsid w:val="00CD0C85"/>
    <w:rsid w:val="00CD1748"/>
    <w:rsid w:val="00CD1DAD"/>
    <w:rsid w:val="00CD2CE7"/>
    <w:rsid w:val="00CD4E04"/>
    <w:rsid w:val="00CE0CE9"/>
    <w:rsid w:val="00CE1282"/>
    <w:rsid w:val="00CE1BF3"/>
    <w:rsid w:val="00CE56B5"/>
    <w:rsid w:val="00CE596F"/>
    <w:rsid w:val="00CE63BD"/>
    <w:rsid w:val="00CE73F6"/>
    <w:rsid w:val="00CF0E85"/>
    <w:rsid w:val="00CF5D07"/>
    <w:rsid w:val="00CF5DBD"/>
    <w:rsid w:val="00D03A1D"/>
    <w:rsid w:val="00D05F55"/>
    <w:rsid w:val="00D1038D"/>
    <w:rsid w:val="00D1073B"/>
    <w:rsid w:val="00D129D7"/>
    <w:rsid w:val="00D2001D"/>
    <w:rsid w:val="00D21888"/>
    <w:rsid w:val="00D221DC"/>
    <w:rsid w:val="00D26A68"/>
    <w:rsid w:val="00D30A36"/>
    <w:rsid w:val="00D31490"/>
    <w:rsid w:val="00D3387D"/>
    <w:rsid w:val="00D43CCB"/>
    <w:rsid w:val="00D507B6"/>
    <w:rsid w:val="00D52683"/>
    <w:rsid w:val="00D52B36"/>
    <w:rsid w:val="00D53A99"/>
    <w:rsid w:val="00D61E31"/>
    <w:rsid w:val="00D71888"/>
    <w:rsid w:val="00D7367B"/>
    <w:rsid w:val="00D75FA7"/>
    <w:rsid w:val="00D76E0A"/>
    <w:rsid w:val="00D81A0A"/>
    <w:rsid w:val="00D86FB7"/>
    <w:rsid w:val="00D921DE"/>
    <w:rsid w:val="00D9379E"/>
    <w:rsid w:val="00D95377"/>
    <w:rsid w:val="00D9633A"/>
    <w:rsid w:val="00D96ABD"/>
    <w:rsid w:val="00D97B81"/>
    <w:rsid w:val="00DA2351"/>
    <w:rsid w:val="00DA41F1"/>
    <w:rsid w:val="00DA4214"/>
    <w:rsid w:val="00DA5031"/>
    <w:rsid w:val="00DA725A"/>
    <w:rsid w:val="00DB42F9"/>
    <w:rsid w:val="00DB5C72"/>
    <w:rsid w:val="00DB70FB"/>
    <w:rsid w:val="00DC23C8"/>
    <w:rsid w:val="00DC37CE"/>
    <w:rsid w:val="00DC418E"/>
    <w:rsid w:val="00DC585D"/>
    <w:rsid w:val="00DC613C"/>
    <w:rsid w:val="00DD1729"/>
    <w:rsid w:val="00DD654B"/>
    <w:rsid w:val="00DE232D"/>
    <w:rsid w:val="00DE3D9B"/>
    <w:rsid w:val="00DE59C8"/>
    <w:rsid w:val="00DE7081"/>
    <w:rsid w:val="00DE736F"/>
    <w:rsid w:val="00DF3586"/>
    <w:rsid w:val="00DF7167"/>
    <w:rsid w:val="00DF79D7"/>
    <w:rsid w:val="00E02D8E"/>
    <w:rsid w:val="00E03F50"/>
    <w:rsid w:val="00E10718"/>
    <w:rsid w:val="00E10999"/>
    <w:rsid w:val="00E10F69"/>
    <w:rsid w:val="00E120EE"/>
    <w:rsid w:val="00E158A1"/>
    <w:rsid w:val="00E1618B"/>
    <w:rsid w:val="00E20A74"/>
    <w:rsid w:val="00E2385C"/>
    <w:rsid w:val="00E268F2"/>
    <w:rsid w:val="00E30DFF"/>
    <w:rsid w:val="00E32606"/>
    <w:rsid w:val="00E3790D"/>
    <w:rsid w:val="00E4096A"/>
    <w:rsid w:val="00E415EA"/>
    <w:rsid w:val="00E41B21"/>
    <w:rsid w:val="00E42445"/>
    <w:rsid w:val="00E43429"/>
    <w:rsid w:val="00E44225"/>
    <w:rsid w:val="00E500D7"/>
    <w:rsid w:val="00E50138"/>
    <w:rsid w:val="00E52C12"/>
    <w:rsid w:val="00E53CCA"/>
    <w:rsid w:val="00E57150"/>
    <w:rsid w:val="00E57BBC"/>
    <w:rsid w:val="00E606AF"/>
    <w:rsid w:val="00E622FE"/>
    <w:rsid w:val="00E62EB1"/>
    <w:rsid w:val="00E64D29"/>
    <w:rsid w:val="00E666FA"/>
    <w:rsid w:val="00E725A7"/>
    <w:rsid w:val="00E80DEF"/>
    <w:rsid w:val="00E81EDF"/>
    <w:rsid w:val="00E81F55"/>
    <w:rsid w:val="00E847B8"/>
    <w:rsid w:val="00E9096A"/>
    <w:rsid w:val="00E9126E"/>
    <w:rsid w:val="00E94D34"/>
    <w:rsid w:val="00E9650E"/>
    <w:rsid w:val="00E9675A"/>
    <w:rsid w:val="00E96D6A"/>
    <w:rsid w:val="00EA63A7"/>
    <w:rsid w:val="00EB00A1"/>
    <w:rsid w:val="00EB2C60"/>
    <w:rsid w:val="00EC1630"/>
    <w:rsid w:val="00EC4E42"/>
    <w:rsid w:val="00EC7A31"/>
    <w:rsid w:val="00ED1E19"/>
    <w:rsid w:val="00ED49EE"/>
    <w:rsid w:val="00ED6780"/>
    <w:rsid w:val="00EE05CE"/>
    <w:rsid w:val="00EE1E6A"/>
    <w:rsid w:val="00EE4DE4"/>
    <w:rsid w:val="00EE5CCA"/>
    <w:rsid w:val="00EF0B5D"/>
    <w:rsid w:val="00EF6DDD"/>
    <w:rsid w:val="00F00E3C"/>
    <w:rsid w:val="00F045B7"/>
    <w:rsid w:val="00F046B0"/>
    <w:rsid w:val="00F1215D"/>
    <w:rsid w:val="00F170F8"/>
    <w:rsid w:val="00F200EC"/>
    <w:rsid w:val="00F20461"/>
    <w:rsid w:val="00F21183"/>
    <w:rsid w:val="00F2482E"/>
    <w:rsid w:val="00F275E4"/>
    <w:rsid w:val="00F27C92"/>
    <w:rsid w:val="00F35023"/>
    <w:rsid w:val="00F3709E"/>
    <w:rsid w:val="00F370AA"/>
    <w:rsid w:val="00F405A1"/>
    <w:rsid w:val="00F43BD2"/>
    <w:rsid w:val="00F46D21"/>
    <w:rsid w:val="00F513E0"/>
    <w:rsid w:val="00F52889"/>
    <w:rsid w:val="00F543ED"/>
    <w:rsid w:val="00F64116"/>
    <w:rsid w:val="00F641C1"/>
    <w:rsid w:val="00F65566"/>
    <w:rsid w:val="00F6596B"/>
    <w:rsid w:val="00F71469"/>
    <w:rsid w:val="00F72381"/>
    <w:rsid w:val="00F76690"/>
    <w:rsid w:val="00F83461"/>
    <w:rsid w:val="00F87FB1"/>
    <w:rsid w:val="00F95B1D"/>
    <w:rsid w:val="00F9716A"/>
    <w:rsid w:val="00FA0BDD"/>
    <w:rsid w:val="00FA24A2"/>
    <w:rsid w:val="00FA24FE"/>
    <w:rsid w:val="00FA3074"/>
    <w:rsid w:val="00FA6242"/>
    <w:rsid w:val="00FA71A0"/>
    <w:rsid w:val="00FC6FEB"/>
    <w:rsid w:val="00FD0EBD"/>
    <w:rsid w:val="00FD1786"/>
    <w:rsid w:val="00FD7C98"/>
    <w:rsid w:val="00FE36FC"/>
    <w:rsid w:val="00FE5D7C"/>
    <w:rsid w:val="00FE61F2"/>
    <w:rsid w:val="00FE7D1E"/>
    <w:rsid w:val="00FF1164"/>
    <w:rsid w:val="00FF20DE"/>
    <w:rsid w:val="00FF78A7"/>
    <w:rsid w:val="01FE12C7"/>
    <w:rsid w:val="02360F92"/>
    <w:rsid w:val="027B1B4B"/>
    <w:rsid w:val="02870E68"/>
    <w:rsid w:val="0299251E"/>
    <w:rsid w:val="02CE0351"/>
    <w:rsid w:val="034330C5"/>
    <w:rsid w:val="047C2593"/>
    <w:rsid w:val="054E0380"/>
    <w:rsid w:val="0604406C"/>
    <w:rsid w:val="075B0C79"/>
    <w:rsid w:val="08E55E4F"/>
    <w:rsid w:val="09375B15"/>
    <w:rsid w:val="09406446"/>
    <w:rsid w:val="098A3A6B"/>
    <w:rsid w:val="09A201C0"/>
    <w:rsid w:val="09A81C23"/>
    <w:rsid w:val="0A24715E"/>
    <w:rsid w:val="0B7271EE"/>
    <w:rsid w:val="0BC93D1E"/>
    <w:rsid w:val="0C1C45C9"/>
    <w:rsid w:val="0C704EAE"/>
    <w:rsid w:val="0CED1CD4"/>
    <w:rsid w:val="0D3A3D54"/>
    <w:rsid w:val="0DB47C62"/>
    <w:rsid w:val="0EA1197E"/>
    <w:rsid w:val="0EB05CFB"/>
    <w:rsid w:val="0ECE6EAC"/>
    <w:rsid w:val="0F601669"/>
    <w:rsid w:val="10241C59"/>
    <w:rsid w:val="10364B26"/>
    <w:rsid w:val="10A211C7"/>
    <w:rsid w:val="10D448FA"/>
    <w:rsid w:val="111D7707"/>
    <w:rsid w:val="112934B1"/>
    <w:rsid w:val="11B86184"/>
    <w:rsid w:val="120D306B"/>
    <w:rsid w:val="124A4C7D"/>
    <w:rsid w:val="12D802B0"/>
    <w:rsid w:val="140B71E5"/>
    <w:rsid w:val="14A711E8"/>
    <w:rsid w:val="15284D87"/>
    <w:rsid w:val="1541247C"/>
    <w:rsid w:val="16087ED1"/>
    <w:rsid w:val="160E1F6E"/>
    <w:rsid w:val="16755503"/>
    <w:rsid w:val="16873962"/>
    <w:rsid w:val="168A38CC"/>
    <w:rsid w:val="168F612D"/>
    <w:rsid w:val="16A15847"/>
    <w:rsid w:val="17734A96"/>
    <w:rsid w:val="177641B8"/>
    <w:rsid w:val="17877508"/>
    <w:rsid w:val="17E55B7D"/>
    <w:rsid w:val="184D106D"/>
    <w:rsid w:val="185A3228"/>
    <w:rsid w:val="19A40C20"/>
    <w:rsid w:val="1A655004"/>
    <w:rsid w:val="1ABB569E"/>
    <w:rsid w:val="1AE33D6F"/>
    <w:rsid w:val="1B0F1053"/>
    <w:rsid w:val="1B3C295A"/>
    <w:rsid w:val="1B7F4B8A"/>
    <w:rsid w:val="1BDB7714"/>
    <w:rsid w:val="1C052694"/>
    <w:rsid w:val="1C311C4C"/>
    <w:rsid w:val="1C3463B9"/>
    <w:rsid w:val="1C922CC6"/>
    <w:rsid w:val="1CF83139"/>
    <w:rsid w:val="1D362FF0"/>
    <w:rsid w:val="1D3B54E3"/>
    <w:rsid w:val="1D3D2EB4"/>
    <w:rsid w:val="1D427F85"/>
    <w:rsid w:val="1D6D74AD"/>
    <w:rsid w:val="1E444BB4"/>
    <w:rsid w:val="1F6F2538"/>
    <w:rsid w:val="1F7405CF"/>
    <w:rsid w:val="1FB47629"/>
    <w:rsid w:val="20082651"/>
    <w:rsid w:val="21A67F22"/>
    <w:rsid w:val="21E900C0"/>
    <w:rsid w:val="22F74E90"/>
    <w:rsid w:val="23481283"/>
    <w:rsid w:val="234C516A"/>
    <w:rsid w:val="235D4C87"/>
    <w:rsid w:val="23764727"/>
    <w:rsid w:val="2433472E"/>
    <w:rsid w:val="24450A45"/>
    <w:rsid w:val="246C16ED"/>
    <w:rsid w:val="25575225"/>
    <w:rsid w:val="25B2342C"/>
    <w:rsid w:val="26564D53"/>
    <w:rsid w:val="265A4675"/>
    <w:rsid w:val="26B70348"/>
    <w:rsid w:val="279A1B15"/>
    <w:rsid w:val="28AF15F0"/>
    <w:rsid w:val="28D3544E"/>
    <w:rsid w:val="28F52971"/>
    <w:rsid w:val="293B4A20"/>
    <w:rsid w:val="29402CDF"/>
    <w:rsid w:val="298D66F0"/>
    <w:rsid w:val="29A8160F"/>
    <w:rsid w:val="29DA6FF3"/>
    <w:rsid w:val="2A1457C7"/>
    <w:rsid w:val="2A602EAA"/>
    <w:rsid w:val="2AFE4818"/>
    <w:rsid w:val="2B500EC8"/>
    <w:rsid w:val="2BDF15D8"/>
    <w:rsid w:val="2BFC28A1"/>
    <w:rsid w:val="2C0B49C8"/>
    <w:rsid w:val="2C25727A"/>
    <w:rsid w:val="2C6B12A4"/>
    <w:rsid w:val="2CC749B0"/>
    <w:rsid w:val="2D031B18"/>
    <w:rsid w:val="2DA23C49"/>
    <w:rsid w:val="2DE8428D"/>
    <w:rsid w:val="2E2312BE"/>
    <w:rsid w:val="2E3A7AAC"/>
    <w:rsid w:val="2F706E8D"/>
    <w:rsid w:val="2FA1774F"/>
    <w:rsid w:val="30386FCF"/>
    <w:rsid w:val="31190AE3"/>
    <w:rsid w:val="31254948"/>
    <w:rsid w:val="314B03B7"/>
    <w:rsid w:val="31EC5AA9"/>
    <w:rsid w:val="320511BA"/>
    <w:rsid w:val="32E53E60"/>
    <w:rsid w:val="32E5607D"/>
    <w:rsid w:val="32EF7F20"/>
    <w:rsid w:val="32F429ED"/>
    <w:rsid w:val="33B62C09"/>
    <w:rsid w:val="3411421C"/>
    <w:rsid w:val="34333F87"/>
    <w:rsid w:val="34384B8F"/>
    <w:rsid w:val="34D923A3"/>
    <w:rsid w:val="35227C2D"/>
    <w:rsid w:val="363714E0"/>
    <w:rsid w:val="366E71D9"/>
    <w:rsid w:val="36813BA1"/>
    <w:rsid w:val="36D70DA2"/>
    <w:rsid w:val="3702714D"/>
    <w:rsid w:val="371A6950"/>
    <w:rsid w:val="38985E28"/>
    <w:rsid w:val="38BB2EC6"/>
    <w:rsid w:val="38D617F1"/>
    <w:rsid w:val="39370C2E"/>
    <w:rsid w:val="39651319"/>
    <w:rsid w:val="3A003828"/>
    <w:rsid w:val="3AF30EAB"/>
    <w:rsid w:val="3AF31A8E"/>
    <w:rsid w:val="3B115FF7"/>
    <w:rsid w:val="3B3A3FFA"/>
    <w:rsid w:val="3BB519C5"/>
    <w:rsid w:val="3BEA0675"/>
    <w:rsid w:val="3BFD114C"/>
    <w:rsid w:val="3C1323DA"/>
    <w:rsid w:val="3C8E1A36"/>
    <w:rsid w:val="3CB44FCF"/>
    <w:rsid w:val="3CBF4A10"/>
    <w:rsid w:val="3D321F45"/>
    <w:rsid w:val="3D3269A3"/>
    <w:rsid w:val="3D365B6D"/>
    <w:rsid w:val="3D546803"/>
    <w:rsid w:val="3D651FC8"/>
    <w:rsid w:val="3D7F3AF1"/>
    <w:rsid w:val="3DBC48E2"/>
    <w:rsid w:val="3E277075"/>
    <w:rsid w:val="3E644CC6"/>
    <w:rsid w:val="3F2B2F30"/>
    <w:rsid w:val="3F9A36D7"/>
    <w:rsid w:val="40F34C16"/>
    <w:rsid w:val="42344ADF"/>
    <w:rsid w:val="42A81A94"/>
    <w:rsid w:val="42F37EBA"/>
    <w:rsid w:val="4373735E"/>
    <w:rsid w:val="43787A25"/>
    <w:rsid w:val="437C7969"/>
    <w:rsid w:val="43C9613B"/>
    <w:rsid w:val="449F3B98"/>
    <w:rsid w:val="44F5053C"/>
    <w:rsid w:val="45634E80"/>
    <w:rsid w:val="45963FB8"/>
    <w:rsid w:val="45C760E5"/>
    <w:rsid w:val="45E05725"/>
    <w:rsid w:val="463522AF"/>
    <w:rsid w:val="463C1BF4"/>
    <w:rsid w:val="46894992"/>
    <w:rsid w:val="46CA30E9"/>
    <w:rsid w:val="4705126D"/>
    <w:rsid w:val="472D6D51"/>
    <w:rsid w:val="47AB0316"/>
    <w:rsid w:val="47C550E0"/>
    <w:rsid w:val="48212565"/>
    <w:rsid w:val="48C53D36"/>
    <w:rsid w:val="48D059B0"/>
    <w:rsid w:val="499412CC"/>
    <w:rsid w:val="49B05A02"/>
    <w:rsid w:val="49E75927"/>
    <w:rsid w:val="4A072DA6"/>
    <w:rsid w:val="4A694A29"/>
    <w:rsid w:val="4AA1112F"/>
    <w:rsid w:val="4B3211F1"/>
    <w:rsid w:val="4C277217"/>
    <w:rsid w:val="4C414970"/>
    <w:rsid w:val="4C6106B1"/>
    <w:rsid w:val="4C644991"/>
    <w:rsid w:val="4CB0443E"/>
    <w:rsid w:val="4CC53113"/>
    <w:rsid w:val="4CD36F8C"/>
    <w:rsid w:val="4D6802B7"/>
    <w:rsid w:val="4D9C447A"/>
    <w:rsid w:val="4DA32803"/>
    <w:rsid w:val="4DAB4BFE"/>
    <w:rsid w:val="4E1F7519"/>
    <w:rsid w:val="4E39393A"/>
    <w:rsid w:val="4E6B043C"/>
    <w:rsid w:val="4E6E47E1"/>
    <w:rsid w:val="4E8E6608"/>
    <w:rsid w:val="4E9F2D93"/>
    <w:rsid w:val="4F5F56A3"/>
    <w:rsid w:val="4F704EBC"/>
    <w:rsid w:val="4F8E311B"/>
    <w:rsid w:val="4FE55D91"/>
    <w:rsid w:val="507F7DE5"/>
    <w:rsid w:val="523E6027"/>
    <w:rsid w:val="528D5CE2"/>
    <w:rsid w:val="533A7B54"/>
    <w:rsid w:val="534A6C7D"/>
    <w:rsid w:val="538B2BBD"/>
    <w:rsid w:val="539342FC"/>
    <w:rsid w:val="53960703"/>
    <w:rsid w:val="53F44F36"/>
    <w:rsid w:val="54B75419"/>
    <w:rsid w:val="54D95262"/>
    <w:rsid w:val="54E0591C"/>
    <w:rsid w:val="551B1425"/>
    <w:rsid w:val="551F14FF"/>
    <w:rsid w:val="55C321D9"/>
    <w:rsid w:val="56233D2A"/>
    <w:rsid w:val="566D2160"/>
    <w:rsid w:val="566D33FE"/>
    <w:rsid w:val="567A1CA6"/>
    <w:rsid w:val="56E53F62"/>
    <w:rsid w:val="571138CF"/>
    <w:rsid w:val="572F1517"/>
    <w:rsid w:val="57322591"/>
    <w:rsid w:val="574678C5"/>
    <w:rsid w:val="576B568B"/>
    <w:rsid w:val="5771333A"/>
    <w:rsid w:val="579816B1"/>
    <w:rsid w:val="57FE354B"/>
    <w:rsid w:val="58901599"/>
    <w:rsid w:val="590E4660"/>
    <w:rsid w:val="591A7769"/>
    <w:rsid w:val="596F397E"/>
    <w:rsid w:val="59872379"/>
    <w:rsid w:val="5A690598"/>
    <w:rsid w:val="5AB64AF7"/>
    <w:rsid w:val="5BA3073E"/>
    <w:rsid w:val="5C283202"/>
    <w:rsid w:val="5D19129F"/>
    <w:rsid w:val="5D850FD3"/>
    <w:rsid w:val="5DB77053"/>
    <w:rsid w:val="5EF54818"/>
    <w:rsid w:val="5F480DCE"/>
    <w:rsid w:val="5FA87EB8"/>
    <w:rsid w:val="5FE7327E"/>
    <w:rsid w:val="604F015B"/>
    <w:rsid w:val="60660D4E"/>
    <w:rsid w:val="60875F1E"/>
    <w:rsid w:val="60961A35"/>
    <w:rsid w:val="60AC424F"/>
    <w:rsid w:val="612E74FF"/>
    <w:rsid w:val="617D1C89"/>
    <w:rsid w:val="6236086F"/>
    <w:rsid w:val="624206BD"/>
    <w:rsid w:val="62793C9D"/>
    <w:rsid w:val="63BF7ED4"/>
    <w:rsid w:val="63C66E2C"/>
    <w:rsid w:val="63D42E26"/>
    <w:rsid w:val="640D3E11"/>
    <w:rsid w:val="64414877"/>
    <w:rsid w:val="650844F0"/>
    <w:rsid w:val="65510212"/>
    <w:rsid w:val="65E57BE7"/>
    <w:rsid w:val="6654163D"/>
    <w:rsid w:val="66BD147E"/>
    <w:rsid w:val="66F75B0D"/>
    <w:rsid w:val="67232818"/>
    <w:rsid w:val="672F2BD2"/>
    <w:rsid w:val="67F97E11"/>
    <w:rsid w:val="68675BE1"/>
    <w:rsid w:val="688E116D"/>
    <w:rsid w:val="68C34114"/>
    <w:rsid w:val="68D50C0C"/>
    <w:rsid w:val="691907FF"/>
    <w:rsid w:val="692B6EBF"/>
    <w:rsid w:val="69706409"/>
    <w:rsid w:val="6A18458B"/>
    <w:rsid w:val="6A2B0552"/>
    <w:rsid w:val="6A635C16"/>
    <w:rsid w:val="6AAB50C7"/>
    <w:rsid w:val="6ACF10A2"/>
    <w:rsid w:val="6B3472B0"/>
    <w:rsid w:val="6B8B5A64"/>
    <w:rsid w:val="6BB72160"/>
    <w:rsid w:val="6BBC2F2E"/>
    <w:rsid w:val="6BED2813"/>
    <w:rsid w:val="6C053568"/>
    <w:rsid w:val="6C8A6492"/>
    <w:rsid w:val="6D077BF6"/>
    <w:rsid w:val="6D133CAD"/>
    <w:rsid w:val="6D241033"/>
    <w:rsid w:val="6D6F71AD"/>
    <w:rsid w:val="6DB879FD"/>
    <w:rsid w:val="6DBD5160"/>
    <w:rsid w:val="6E2865FE"/>
    <w:rsid w:val="6EEF717F"/>
    <w:rsid w:val="6F5457D7"/>
    <w:rsid w:val="6F55753E"/>
    <w:rsid w:val="6F5C6676"/>
    <w:rsid w:val="6FFB79FB"/>
    <w:rsid w:val="70102EC8"/>
    <w:rsid w:val="711A04CF"/>
    <w:rsid w:val="715D199C"/>
    <w:rsid w:val="71647AA9"/>
    <w:rsid w:val="71A63BAB"/>
    <w:rsid w:val="71D20EA7"/>
    <w:rsid w:val="71D51E53"/>
    <w:rsid w:val="71EB6773"/>
    <w:rsid w:val="71EE54F9"/>
    <w:rsid w:val="71F824B7"/>
    <w:rsid w:val="72000DC2"/>
    <w:rsid w:val="720907FA"/>
    <w:rsid w:val="7214383E"/>
    <w:rsid w:val="72A015C0"/>
    <w:rsid w:val="72BB13CA"/>
    <w:rsid w:val="73FF318E"/>
    <w:rsid w:val="7407352C"/>
    <w:rsid w:val="740C41EF"/>
    <w:rsid w:val="751575B7"/>
    <w:rsid w:val="752C43F8"/>
    <w:rsid w:val="754F7572"/>
    <w:rsid w:val="75A477FD"/>
    <w:rsid w:val="75AA0525"/>
    <w:rsid w:val="75E1443E"/>
    <w:rsid w:val="76A02554"/>
    <w:rsid w:val="77952619"/>
    <w:rsid w:val="78493F0A"/>
    <w:rsid w:val="78FA574F"/>
    <w:rsid w:val="795747A9"/>
    <w:rsid w:val="79DF4673"/>
    <w:rsid w:val="79FA0F73"/>
    <w:rsid w:val="7A460C55"/>
    <w:rsid w:val="7A4B39D5"/>
    <w:rsid w:val="7A6A0B74"/>
    <w:rsid w:val="7AA82ACB"/>
    <w:rsid w:val="7B1339EF"/>
    <w:rsid w:val="7B2C647F"/>
    <w:rsid w:val="7B590514"/>
    <w:rsid w:val="7BC47442"/>
    <w:rsid w:val="7BDC6B57"/>
    <w:rsid w:val="7C062D05"/>
    <w:rsid w:val="7CF3126A"/>
    <w:rsid w:val="7D30209B"/>
    <w:rsid w:val="7D5078BA"/>
    <w:rsid w:val="7E4523F7"/>
    <w:rsid w:val="7EBC7AD6"/>
    <w:rsid w:val="7EDF00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unhideWhenUsed/>
    <w:qFormat/>
    <w:uiPriority w:val="99"/>
    <w:pPr>
      <w:ind w:firstLine="420" w:firstLineChars="200"/>
    </w:pPr>
  </w:style>
  <w:style w:type="paragraph" w:styleId="3">
    <w:name w:val="Body Text Indent"/>
    <w:basedOn w:val="1"/>
    <w:next w:val="4"/>
    <w:qFormat/>
    <w:uiPriority w:val="0"/>
    <w:pPr>
      <w:ind w:firstLine="645"/>
    </w:pPr>
    <w:rPr>
      <w:rFonts w:ascii="楷体_GB2312" w:eastAsia="楷体_GB2312"/>
      <w:sz w:val="32"/>
    </w:rPr>
  </w:style>
  <w:style w:type="paragraph" w:styleId="4">
    <w:name w:val="envelope return"/>
    <w:basedOn w:val="1"/>
    <w:unhideWhenUsed/>
    <w:qFormat/>
    <w:uiPriority w:val="99"/>
    <w:pPr>
      <w:snapToGrid w:val="0"/>
    </w:pPr>
    <w:rPr>
      <w:rFonts w:ascii="Arial" w:hAnsi="Arial"/>
    </w:rPr>
  </w:style>
  <w:style w:type="paragraph" w:styleId="5">
    <w:name w:val="Body Text"/>
    <w:basedOn w:val="1"/>
    <w:qFormat/>
    <w:uiPriority w:val="0"/>
    <w:rPr>
      <w:sz w:val="32"/>
      <w:szCs w:val="24"/>
    </w:rPr>
  </w:style>
  <w:style w:type="paragraph" w:styleId="6">
    <w:name w:val="Plain Text"/>
    <w:basedOn w:val="1"/>
    <w:link w:val="17"/>
    <w:qFormat/>
    <w:uiPriority w:val="0"/>
    <w:rPr>
      <w:rFonts w:ascii="宋体" w:hAnsi="Courier New" w:cs="Courier New"/>
      <w:szCs w:val="21"/>
    </w:rPr>
  </w:style>
  <w:style w:type="paragraph" w:styleId="7">
    <w:name w:val="Balloon Text"/>
    <w:basedOn w:val="1"/>
    <w:semiHidden/>
    <w:qFormat/>
    <w:uiPriority w:val="0"/>
    <w:rPr>
      <w:sz w:val="18"/>
      <w:szCs w:val="18"/>
    </w:r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13">
    <w:name w:val="Strong"/>
    <w:qFormat/>
    <w:uiPriority w:val="0"/>
    <w:rPr>
      <w:b/>
      <w:bCs/>
    </w:rPr>
  </w:style>
  <w:style w:type="character" w:styleId="14">
    <w:name w:val="page number"/>
    <w:basedOn w:val="12"/>
    <w:qFormat/>
    <w:uiPriority w:val="0"/>
  </w:style>
  <w:style w:type="character" w:styleId="15">
    <w:name w:val="FollowedHyperlink"/>
    <w:qFormat/>
    <w:uiPriority w:val="0"/>
    <w:rPr>
      <w:color w:val="444444"/>
      <w:u w:val="none"/>
    </w:rPr>
  </w:style>
  <w:style w:type="character" w:styleId="16">
    <w:name w:val="Hyperlink"/>
    <w:qFormat/>
    <w:uiPriority w:val="0"/>
    <w:rPr>
      <w:color w:val="444444"/>
      <w:u w:val="none"/>
    </w:rPr>
  </w:style>
  <w:style w:type="character" w:customStyle="1" w:styleId="17">
    <w:name w:val="纯文本 Char"/>
    <w:link w:val="6"/>
    <w:qFormat/>
    <w:uiPriority w:val="0"/>
    <w:rPr>
      <w:rFonts w:ascii="宋体" w:hAnsi="Courier New" w:cs="Courier New"/>
      <w:kern w:val="2"/>
      <w:sz w:val="21"/>
      <w:szCs w:val="21"/>
    </w:rPr>
  </w:style>
  <w:style w:type="character" w:customStyle="1" w:styleId="18">
    <w:name w:val="bsharetext"/>
    <w:basedOn w:val="12"/>
    <w:qFormat/>
    <w:uiPriority w:val="0"/>
  </w:style>
  <w:style w:type="paragraph" w:customStyle="1" w:styleId="19">
    <w:name w:val="p15"/>
    <w:basedOn w:val="1"/>
    <w:qFormat/>
    <w:uiPriority w:val="0"/>
    <w:pPr>
      <w:widowControl/>
      <w:spacing w:before="100" w:beforeAutospacing="1" w:after="100" w:afterAutospacing="1"/>
      <w:jc w:val="left"/>
    </w:pPr>
    <w:rPr>
      <w:rFonts w:ascii="宋体" w:hAnsi="宋体" w:cs="宋体"/>
      <w:kern w:val="0"/>
      <w:sz w:val="24"/>
    </w:rPr>
  </w:style>
  <w:style w:type="paragraph" w:customStyle="1" w:styleId="20">
    <w:name w:val="Default Paragraph Char Char Char Char"/>
    <w:basedOn w:val="1"/>
    <w:next w:val="1"/>
    <w:qFormat/>
    <w:uiPriority w:val="0"/>
    <w:pPr>
      <w:widowControl/>
      <w:spacing w:line="360" w:lineRule="auto"/>
      <w:jc w:val="left"/>
    </w:pPr>
    <w:rPr>
      <w:kern w:val="0"/>
      <w:szCs w:val="20"/>
      <w:lang w:eastAsia="en-US"/>
    </w:rPr>
  </w:style>
  <w:style w:type="paragraph" w:customStyle="1" w:styleId="21">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22">
    <w:name w:val="Char"/>
    <w:basedOn w:val="1"/>
    <w:qFormat/>
    <w:uiPriority w:val="0"/>
    <w:pPr>
      <w:widowControl/>
      <w:spacing w:after="160" w:line="240" w:lineRule="exact"/>
      <w:jc w:val="left"/>
    </w:pPr>
    <w:rPr>
      <w:rFonts w:ascii="Verdana" w:hAnsi="Verdana"/>
      <w:kern w:val="0"/>
      <w:sz w:val="24"/>
      <w:szCs w:val="20"/>
      <w:lang w:eastAsia="en-US"/>
    </w:rPr>
  </w:style>
  <w:style w:type="paragraph" w:customStyle="1" w:styleId="23">
    <w:name w:val="Char1"/>
    <w:basedOn w:val="1"/>
    <w:semiHidden/>
    <w:qFormat/>
    <w:uiPriority w:val="0"/>
  </w:style>
  <w:style w:type="paragraph" w:customStyle="1" w:styleId="24">
    <w:name w:val="Char2 Char Char Char"/>
    <w:basedOn w:val="1"/>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sxczj</Company>
  <Pages>11</Pages>
  <Words>5077</Words>
  <Characters>5773</Characters>
  <Lines>68</Lines>
  <Paragraphs>19</Paragraphs>
  <TotalTime>2</TotalTime>
  <ScaleCrop>false</ScaleCrop>
  <LinksUpToDate>false</LinksUpToDate>
  <CharactersWithSpaces>5775</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2020-07-01T01:04:00Z</dcterms:created>
  <dc:creator>manying</dc:creator>
  <cp:lastModifiedBy>维生素</cp:lastModifiedBy>
  <cp:lastPrinted>2022-08-21T11:09:00Z</cp:lastPrinted>
  <dcterms:modified xsi:type="dcterms:W3CDTF">2022-08-23T04:00:28Z</dcterms:modified>
  <dc:title>关于泗县2013年财政预算执行情况和2014年财政预算草案的报告</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242AE7AA0B8347BF992B6CEF15578633</vt:lpwstr>
  </property>
</Properties>
</file>