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592" w:line="219" w:lineRule="auto"/>
        <w:ind w:left="101"/>
        <w:rPr>
          <w:rFonts w:ascii="宋体" w:hAnsi="宋体" w:eastAsia="宋体" w:cs="宋体"/>
          <w:sz w:val="182"/>
          <w:szCs w:val="182"/>
        </w:rPr>
      </w:pPr>
      <w:r>
        <w:rPr>
          <w:rFonts w:ascii="宋体" w:hAnsi="宋体" w:eastAsia="宋体" w:cs="宋体"/>
          <w:color w:val="F65434"/>
          <w:spacing w:val="-85"/>
          <w:w w:val="46"/>
          <w:sz w:val="182"/>
          <w:szCs w:val="182"/>
        </w:rPr>
        <w:t>泗县城乡建设指挥部办公室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7" w:line="223" w:lineRule="auto"/>
        <w:ind w:left="31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泗</w:t>
      </w:r>
      <w:r>
        <w:rPr>
          <w:rFonts w:ascii="仿宋" w:hAnsi="仿宋" w:eastAsia="仿宋" w:cs="仿宋"/>
          <w:spacing w:val="-7"/>
          <w:sz w:val="33"/>
          <w:szCs w:val="33"/>
        </w:rPr>
        <w:t>建</w:t>
      </w:r>
      <w:r>
        <w:rPr>
          <w:rFonts w:ascii="仿宋" w:hAnsi="仿宋" w:eastAsia="仿宋" w:cs="仿宋"/>
          <w:spacing w:val="-4"/>
          <w:sz w:val="33"/>
          <w:szCs w:val="33"/>
        </w:rPr>
        <w:t>指办〔2022〕5号</w:t>
      </w:r>
    </w:p>
    <w:p>
      <w:pPr>
        <w:spacing w:before="159" w:line="60" w:lineRule="exact"/>
        <w:textAlignment w:val="center"/>
      </w:pPr>
      <w:r>
        <w:drawing>
          <wp:inline distT="0" distB="0" distL="114300" distR="114300">
            <wp:extent cx="5861050" cy="37465"/>
            <wp:effectExtent l="0" t="0" r="6350" b="635"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3" w:lineRule="auto"/>
        <w:rPr>
          <w:rFonts w:ascii="Arial"/>
          <w:sz w:val="20"/>
          <w:szCs w:val="2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636" w:right="1327" w:hanging="2250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  <w:t>于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促进房地产市场平稳健康发展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8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若干措施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6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直有关单位：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69" w:right="340" w:firstLine="59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为深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贯彻落实党中央、国务院和省委、省政府决策部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署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坚持“房住不炒”定位，稳地价、稳房价、稳预期，完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善房地产政策，优化营商环境，切实帮扶企业纾困，落实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民、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惠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企措施，更好满足群众合理购房需求，激发市场主体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活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力，促进房地产市场良性循环和健康发展，根据相关规定，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合我县实际，制定本措施：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64"/>
        <w:jc w:val="both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优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化土地出让方式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69" w:right="380" w:firstLine="59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照供需平衡原则，科学编制供地计划，调整供地节奏，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序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出让、压茬供应。支持高品质、改善型住宅小区建设。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开发企业根据市场需求调整产品结构，让广大群众“有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房住”“住好房”。(责任单位：县自然资源和规划局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64"/>
        <w:jc w:val="both"/>
        <w:textAlignment w:val="baseline"/>
        <w:outlineLvl w:val="0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二、延长土地出让金缴纳时间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10" w:h="16840"/>
          <w:pgMar w:top="1431" w:right="1244" w:bottom="1213" w:left="1329" w:header="0" w:footer="938" w:gutter="0"/>
          <w:pgNumType w:fmt="numberInDash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新出让经营性用地原则上可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按不低于起始价的20%确定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竞买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证金。新出让土地的房地产开发项目，允许土地出让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金分期缴纳，一个月内缴纳比例不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低于全部价款的 50%,余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一年内缴清。(责任单位：县自然资源和规划局)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三、支持缓缴城市基础设施配套费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7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房地产开发企业可申请延期缴纳城市基础设施配套费，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延期缴纳时间最长不超过六个月。逾期未足额缴纳的，除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法追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缴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外，对房地产企业暂停项目验收，予以综合评级降级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理，并由相关部门依法实施惩戒。(责任单位：县自然资源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规划局、县住房和城乡建设局、县房管中心)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四、推动项目平稳交付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37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在建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地产开发项目因疫情影响施工建设进度，导致延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期交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，可视情况给予交房期限适当顺延，最长不超过三个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(责任单位：县住房和城乡建设局、县房管中心)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五、强化金融政策支持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金融机构落实国家信贷支持政策，积极争取贷款额度，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优质项目房地产开发贷款和建筑企业流动性贷款支持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力度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不盲目抽贷、断贷、压贷，切实满足房地产开发企业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融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需求。采取降低个人首套住房贷款利率、落实首套住房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最低2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0%首付比例等措施，引导房贷利率下行，切实满足居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民的刚性及改善性购房需求。(责任单位：人民银行泗县支行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泗县地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金融监管局)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六、调整公积金贷款政策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2" w:firstLine="5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申请公积金贷款职工先提后贷。准许职工连续缴存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个月即可申请公积金贷款。持续执行首次申请公积金贷款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20%首付款比例政策。二次申请自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住</w:t>
      </w:r>
      <w:r>
        <w:rPr>
          <w:rFonts w:hint="eastAsia" w:ascii="仿宋_GB2312" w:hAnsi="仿宋_GB2312" w:eastAsia="仿宋_GB2312" w:cs="仿宋_GB2312"/>
          <w:sz w:val="32"/>
          <w:szCs w:val="32"/>
        </w:rPr>
        <w:t>房公积金贷款首付款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比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由40%下调至30%。公积金贷款放款时限由原15个工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日缩短至10 个工作日。(责任单位：县公积金中心)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七、实行购房入学政策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3" w:firstLine="630"/>
        <w:jc w:val="both"/>
        <w:textAlignment w:val="baseline"/>
        <w:rPr>
          <w:rFonts w:hint="eastAsia" w:ascii="仿宋_GB2312" w:hAnsi="仿宋_GB2312" w:eastAsia="仿宋_GB2312" w:cs="仿宋_GB2312"/>
          <w:spacing w:val="-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入学原则：免试就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入学;报名条件(符合下列条件之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): 1.户口是城区的，按规定学区入学。2.在城区购买商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住房的，按规定学区入学。3.现役军人等特殊群体子女入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按有关政策执行。 (责任单位：县教育体育局)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八、加快项目开工手续办理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1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在项目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批中，采取并联审批等方式精简和优化审批流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在临设临建、销售中心建设等环节实行告知承诺、容缺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。规划设计方案已审定的项目，可分阶段核发施工许可、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阶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段施工图设计文件审查，准许建设单位根据项目实际情况，先申请办理基坑支护和土方开挖阶段施工许可证，同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步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展质量安全监督，加快推进项目开工。土地出让金分期缴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纳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的，依据土地出让合同及房地产企业承诺书，相关部门可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容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缺办理规划、施工及其它审批手续。(责任单位：县住房和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乡建设局、县自然资源和规划局)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九、完善基础配套设施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04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产开发项目建筑区划红线外，与储备土地直接相关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供水供电供气等配套基础设施建设费用可按规定纳入土地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发支出，由政府统筹建设。储备土地应进行必要的前期开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设，完善与地块相关的道路及供水供电供气供热等配套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基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础设施建设方案，落实工程建设资金，确保市政配套建设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基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础设施与建设项目同步使用。(责任单位：县城管局、县住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城乡建设局、县供电公司)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8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十、提升项目竣工验收质效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>优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>化房地产项目验收流程，推行“联合验收”“多测合一”。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建设单位可在竣工验收阶段同步申请“建设工程规划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实”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“人防工程竣工验收备案”“建设工程竣工验收备案”“建设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程消防验收或备案”等事项，相关部门同步开展竣工验收。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已满足使用功能的单位工程可开展单独竣工验收，支持单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建筑尽快投入使用。允许企业采用承诺制进行容缺办理，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建档案验收实行告知承诺制办理，允许验收后3 个月内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提交档案资料，最大程度加快项目验收。对开发规模较大、开发周期较长的房地产项目，可以在单位工程满足规划许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的前提下，按照项目建设进度进行规划核实验收。有人防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，人防工程应与地上工程分开，依照规划核实进行验收。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责任单位：县住房和城乡建设局、县自然资源和规划局、县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</w:rPr>
        <w:t>房管中心)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pacing w:val="-3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十一、优化商品房预售资金监管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3" w:right="105" w:firstLine="51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范商品房预售资金交存，商品房预售定金、首付款、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揭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贷款、公积金贷款等全部交存预售资金监管账户，实行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全程全额监管。优化预售资金拨付使用监管的灵活性和适应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性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。加强企业信用考核和应用，分类降低预售资金监管留存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比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例。同时针对开发企业的规模、运营、管理、信用及资金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使用中的规范情况，实行一事一议、一企一策，合理制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项目资本金的缓交和分段缴纳，最大程度缓解开发企业资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压力、开发项目的平稳运行及购房户的合法权益。(责任单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：县房管中心)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default"/>
          <w:pgSz w:w="11910" w:h="16840"/>
          <w:pgMar w:top="1431" w:right="1362" w:bottom="1203" w:left="1659" w:header="0" w:footer="871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十二、简化住宅价格备案流程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3" w:firstLine="53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综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合考虑商品房住宅成本因素、市场因素和调控要求，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导开发企业合理申报住宅价格。对低容积率、高绿地率、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精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装修优质房地产项目，商品房备案价可以根据建设成本适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当上浮。开发企业可以根据市场动态对备案商品房销售价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予10%以内下浮。价格备案要减少要件、简化流程、缩短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限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为5 个工作日内办结。(责任单位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县发展改革委、县房管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3" w:right="140" w:firstLine="620"/>
        <w:jc w:val="both"/>
        <w:textAlignment w:val="baseline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本措施自发布之日起施行，有效期2年，由县房管中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责解释。在执行期间如国家法律、法规、政策或上级机关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另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有规定的，以国家法律、法规、政策或上级机关规定为准。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3"/>
        <w:jc w:val="both"/>
        <w:textAlignment w:val="baseline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</w:p>
    <w:p>
      <w:pPr>
        <w:spacing w:before="1" w:line="222" w:lineRule="auto"/>
        <w:ind w:left="83"/>
        <w:jc w:val="both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</w:p>
    <w:p>
      <w:pPr>
        <w:spacing w:before="1" w:line="222" w:lineRule="auto"/>
        <w:ind w:left="83"/>
        <w:jc w:val="both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</w:p>
    <w:p>
      <w:pPr>
        <w:spacing w:line="248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104775</wp:posOffset>
            </wp:positionV>
            <wp:extent cx="1492250" cy="1466850"/>
            <wp:effectExtent l="0" t="0" r="12700" b="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9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11" w:line="222" w:lineRule="auto"/>
        <w:ind w:right="118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泗县城乡建设指挥部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办公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室</w:t>
      </w:r>
    </w:p>
    <w:p>
      <w:pPr>
        <w:spacing w:before="221" w:line="222" w:lineRule="auto"/>
        <w:ind w:right="7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7" w:type="default"/>
      <w:pgSz w:w="11910" w:h="16840"/>
      <w:pgMar w:top="1431" w:right="1540" w:bottom="1161" w:left="1786" w:header="0" w:footer="89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99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290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4143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TIwOWQyMzZmM2JkYzQ5NmRlNjNlMTE3YWQzYzgifQ=="/>
  </w:docVars>
  <w:rsids>
    <w:rsidRoot w:val="00000000"/>
    <w:rsid w:val="00500138"/>
    <w:rsid w:val="01910DE7"/>
    <w:rsid w:val="02355837"/>
    <w:rsid w:val="02571C51"/>
    <w:rsid w:val="030F53B2"/>
    <w:rsid w:val="036D1000"/>
    <w:rsid w:val="04E622BB"/>
    <w:rsid w:val="050E236F"/>
    <w:rsid w:val="07504EC1"/>
    <w:rsid w:val="079728D4"/>
    <w:rsid w:val="08033CE1"/>
    <w:rsid w:val="0889068B"/>
    <w:rsid w:val="092E1232"/>
    <w:rsid w:val="0A79028B"/>
    <w:rsid w:val="0B132EAB"/>
    <w:rsid w:val="0B4E1717"/>
    <w:rsid w:val="10037741"/>
    <w:rsid w:val="104D6442"/>
    <w:rsid w:val="13AF2F6F"/>
    <w:rsid w:val="14301CC2"/>
    <w:rsid w:val="14A66120"/>
    <w:rsid w:val="14D64C58"/>
    <w:rsid w:val="154A2F50"/>
    <w:rsid w:val="173E4D36"/>
    <w:rsid w:val="18AB01A9"/>
    <w:rsid w:val="198B2272"/>
    <w:rsid w:val="1A18186E"/>
    <w:rsid w:val="203171E6"/>
    <w:rsid w:val="20AC2D10"/>
    <w:rsid w:val="227C4964"/>
    <w:rsid w:val="24CB3D11"/>
    <w:rsid w:val="271E7242"/>
    <w:rsid w:val="2AEB08D9"/>
    <w:rsid w:val="2B6D7540"/>
    <w:rsid w:val="2C42277B"/>
    <w:rsid w:val="2EED2E72"/>
    <w:rsid w:val="2FD933F6"/>
    <w:rsid w:val="302F1268"/>
    <w:rsid w:val="30450A8C"/>
    <w:rsid w:val="333948D8"/>
    <w:rsid w:val="34272CEB"/>
    <w:rsid w:val="343B642D"/>
    <w:rsid w:val="373A0C1E"/>
    <w:rsid w:val="377063EE"/>
    <w:rsid w:val="390B084A"/>
    <w:rsid w:val="392F38DF"/>
    <w:rsid w:val="39311BAD"/>
    <w:rsid w:val="39406294"/>
    <w:rsid w:val="39ED01CA"/>
    <w:rsid w:val="3A2B6F44"/>
    <w:rsid w:val="3A7A47BA"/>
    <w:rsid w:val="3ABF04D7"/>
    <w:rsid w:val="3C3420E0"/>
    <w:rsid w:val="3DFC6C2D"/>
    <w:rsid w:val="3F3073CA"/>
    <w:rsid w:val="3F780536"/>
    <w:rsid w:val="3FD02F11"/>
    <w:rsid w:val="40436D96"/>
    <w:rsid w:val="405B04B1"/>
    <w:rsid w:val="40A610D2"/>
    <w:rsid w:val="415B3921"/>
    <w:rsid w:val="429F227D"/>
    <w:rsid w:val="44B26298"/>
    <w:rsid w:val="44E126D9"/>
    <w:rsid w:val="470B7EE1"/>
    <w:rsid w:val="47924C0E"/>
    <w:rsid w:val="4A767D68"/>
    <w:rsid w:val="4B105AC6"/>
    <w:rsid w:val="4C1C493F"/>
    <w:rsid w:val="4EDF237F"/>
    <w:rsid w:val="4F2064F4"/>
    <w:rsid w:val="4F3D2C02"/>
    <w:rsid w:val="50A82C45"/>
    <w:rsid w:val="51E97071"/>
    <w:rsid w:val="522B09F8"/>
    <w:rsid w:val="526A01B2"/>
    <w:rsid w:val="52EC506B"/>
    <w:rsid w:val="535E75EB"/>
    <w:rsid w:val="550B72FE"/>
    <w:rsid w:val="554051FA"/>
    <w:rsid w:val="55F36710"/>
    <w:rsid w:val="5941458F"/>
    <w:rsid w:val="59DB1995"/>
    <w:rsid w:val="5A380B96"/>
    <w:rsid w:val="5ACD39D4"/>
    <w:rsid w:val="5C1632A7"/>
    <w:rsid w:val="5CF1327E"/>
    <w:rsid w:val="60F90953"/>
    <w:rsid w:val="61882403"/>
    <w:rsid w:val="624B3119"/>
    <w:rsid w:val="64F14763"/>
    <w:rsid w:val="65644F35"/>
    <w:rsid w:val="69F06D97"/>
    <w:rsid w:val="6DD30EA9"/>
    <w:rsid w:val="6F0B4673"/>
    <w:rsid w:val="70664889"/>
    <w:rsid w:val="72EB20FA"/>
    <w:rsid w:val="741144D9"/>
    <w:rsid w:val="747712E7"/>
    <w:rsid w:val="74962C31"/>
    <w:rsid w:val="75622B13"/>
    <w:rsid w:val="763B583E"/>
    <w:rsid w:val="78A70F68"/>
    <w:rsid w:val="790E7239"/>
    <w:rsid w:val="7A0E5017"/>
    <w:rsid w:val="7AAD2A82"/>
    <w:rsid w:val="7AB7745D"/>
    <w:rsid w:val="7B312EFE"/>
    <w:rsid w:val="7B5B24DE"/>
    <w:rsid w:val="7B8B2DC3"/>
    <w:rsid w:val="7D641E3F"/>
    <w:rsid w:val="7D983576"/>
    <w:rsid w:val="7D983CCD"/>
    <w:rsid w:val="7F8E4C30"/>
    <w:rsid w:val="7FC667F2"/>
    <w:rsid w:val="7FC93EBA"/>
    <w:rsid w:val="7FE54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2290</Words>
  <Characters>2318</Characters>
  <TotalTime>5</TotalTime>
  <ScaleCrop>false</ScaleCrop>
  <LinksUpToDate>false</LinksUpToDate>
  <CharactersWithSpaces>2400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2022-09-19T10:30:00Z</dcterms:created>
  <dc:creator>Kingsoft-PDF</dc:creator>
  <cp:keywords>6327d4391d1b04001533c1d9</cp:keywords>
  <cp:lastModifiedBy>蓝冰</cp:lastModifiedBy>
  <dcterms:modified xsi:type="dcterms:W3CDTF">2022-09-19T09:53:49Z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2022-09-19T10:30:47Z</vt:filetime>
  </property>
  <property fmtid="{D5CDD505-2E9C-101B-9397-08002B2CF9AE}" pid="4" name="KSOProductBuildVer">
    <vt:lpwstr>2052-11.1.0.12358</vt:lpwstr>
  </property>
  <property fmtid="{D5CDD505-2E9C-101B-9397-08002B2CF9AE}" pid="5" name="ICV">
    <vt:lpwstr>75CAB285B6154AA083A299530236CBB5</vt:lpwstr>
  </property>
</Properties>
</file>