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pStyle w:val="2"/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泗县民生工程管理中心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2023年单位 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2023年2月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第一部分 单位概况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3.2023年度主要工作任务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2023年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 xml:space="preserve">2023年财政拨款收支总表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2023年一般公共预算支出预算表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2023年一般公共预算基本支出预算表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 xml:space="preserve">2023年政府性基金预算支出预算表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收支预算总表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收入预算表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支出预算表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 xml:space="preserve">2023年政府采购支出表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泗县民生工程管理中心单位</w:t>
      </w:r>
      <w:r>
        <w:rPr>
          <w:rFonts w:hint="eastAsia" w:ascii="仿宋" w:hAnsi="仿宋" w:eastAsia="仿宋"/>
          <w:sz w:val="30"/>
          <w:szCs w:val="30"/>
        </w:rPr>
        <w:t>2023年政府购买服务支出表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第三部分 2023年单位预算情况说明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1.关于2023年财政拨款收支总表的说明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2.关于2023年一般公共预算支出预算表的说明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3.关于2023年一般公共预算基本支出预算表的说明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4.关于2023年政府性基金预算支出预算表的说明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5.关于2023年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 xml:space="preserve">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6.关于2023年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 xml:space="preserve">收入预算表的说明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7.关于2023年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支出预算表的说明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8.关于2023年国有资本经营预算支出表的说明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9.关于2023年项目支出表的说明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10.关于2023年政府采购支出表的说明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2023年政府购买服务支出表的说明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督促协调县直牵头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拟订民生工程实施办法、资金管理办法、绩效评价办法等；督促推动县级主管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履行对乡镇（开发区）民生工程工作的管理职责；牵头组织开展对全县民生工程调度、督查工作；负责对各乡镇（开发区）和县直有关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工作落实情况进行考核；承担县民生工作领导小组交办的有关工作。</w:t>
      </w:r>
    </w:p>
    <w:p>
      <w:pPr>
        <w:numPr>
          <w:ilvl w:val="0"/>
          <w:numId w:val="1"/>
        </w:num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  <w:lang w:eastAsia="zh-CN"/>
        </w:rPr>
        <w:t>单位</w:t>
      </w:r>
      <w:r>
        <w:rPr>
          <w:rFonts w:hint="eastAsia" w:eastAsia="方正黑体简体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_GB2312" w:hAnsi="仿宋" w:eastAsia="仿宋_GB2312"/>
          <w:sz w:val="32"/>
          <w:szCs w:val="32"/>
        </w:rPr>
        <w:t>泗县民生工程管理中心2021年度单位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hint="eastAsia" w:ascii="仿宋_GB2312" w:hAnsi="仿宋" w:eastAsia="仿宋_GB2312"/>
          <w:sz w:val="32"/>
          <w:szCs w:val="32"/>
        </w:rPr>
        <w:t>仅包括单位本级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预</w:t>
      </w:r>
      <w:r>
        <w:rPr>
          <w:rFonts w:hint="eastAsia" w:ascii="仿宋_GB2312" w:hAnsi="仿宋" w:eastAsia="仿宋_GB2312"/>
          <w:sz w:val="32"/>
          <w:szCs w:val="32"/>
        </w:rPr>
        <w:t>算，无其他下属单位。</w:t>
      </w:r>
      <w:r>
        <w:rPr>
          <w:rFonts w:hint="eastAsia" w:ascii="仿宋" w:hAnsi="仿宋" w:eastAsia="仿宋"/>
          <w:sz w:val="32"/>
          <w:szCs w:val="32"/>
        </w:rPr>
        <w:t>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p>
      <w:pPr>
        <w:ind w:firstLine="628" w:firstLineChars="200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6"/>
        <w:tblW w:w="0" w:type="auto"/>
        <w:tblInd w:w="82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5837"/>
      </w:tblGrid>
      <w:tr>
        <w:tblPrEx>
          <w:shd w:val="clear" w:color="auto" w:fill="FFFFFF"/>
        </w:tblPrEx>
        <w:trPr>
          <w:trHeight w:val="39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>序号</w:t>
            </w:r>
          </w:p>
        </w:tc>
        <w:tc>
          <w:tcPr>
            <w:tcW w:w="5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>1</w:t>
            </w:r>
          </w:p>
        </w:tc>
        <w:tc>
          <w:tcPr>
            <w:tcW w:w="5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仿宋_GB2312"/>
                <w:sz w:val="24"/>
                <w:szCs w:val="20"/>
              </w:rPr>
            </w:pPr>
            <w:r>
              <w:rPr>
                <w:rFonts w:hint="eastAsia" w:ascii="宋体" w:hAnsi="宋体" w:eastAsia="仿宋_GB2312"/>
                <w:sz w:val="24"/>
                <w:szCs w:val="20"/>
              </w:rPr>
              <w:t>泗县民生工程管理中心本级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 年度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预算仅包括局本级预算，无下属单位预算。</w:t>
      </w:r>
    </w:p>
    <w:p>
      <w:pPr>
        <w:pStyle w:val="2"/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三、2023年度主要工作任务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2"/>
        <w:ind w:firstLine="0"/>
        <w:rPr>
          <w:rFonts w:hint="eastAsia" w:ascii="黑体" w:hAnsi="黑体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督促协调县直牵头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拟订民生工程实施办法、资金管理办法、绩效评价办法等；督促推动县级主管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履行对乡镇（开发区）民生工程工作的管理职责；牵头组织开展对全县民生工程调度、督查工作；负责对各乡镇（开发区）和县直有关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工作落实情况进行考核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ind w:firstLine="0"/>
        <w:rPr>
          <w:rFonts w:ascii="黑体" w:hAnsi="黑体" w:eastAsia="黑体"/>
          <w:sz w:val="36"/>
          <w:szCs w:val="36"/>
        </w:rPr>
      </w:pPr>
    </w:p>
    <w:p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第二部分 2023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ind w:right="612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财政拨款收支预算总表</w:t>
      </w:r>
    </w:p>
    <w:p>
      <w:pPr>
        <w:pStyle w:val="2"/>
        <w:jc w:val="center"/>
        <w:rPr>
          <w:b/>
        </w:rPr>
      </w:pPr>
    </w:p>
    <w:p>
      <w:pPr>
        <w:pStyle w:val="2"/>
        <w:ind w:firstLine="769" w:firstLineChars="396"/>
        <w:rPr>
          <w:rFonts w:hint="eastAsia" w:ascii="方正仿宋_GBK" w:eastAsia="方正仿宋_GBK" w:cs="Arial"/>
          <w:kern w:val="0"/>
          <w:sz w:val="20"/>
          <w:szCs w:val="18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</w:t>
      </w:r>
      <w:r>
        <w:drawing>
          <wp:inline distT="0" distB="0" distL="114300" distR="114300">
            <wp:extent cx="5572760" cy="5523865"/>
            <wp:effectExtent l="0" t="0" r="508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</w:t>
      </w:r>
    </w:p>
    <w:p>
      <w:pPr>
        <w:pStyle w:val="2"/>
        <w:ind w:firstLine="0"/>
        <w:rPr>
          <w:sz w:val="21"/>
          <w:szCs w:val="21"/>
        </w:rPr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一般公共预算支出预算表</w:t>
      </w:r>
    </w:p>
    <w:p>
      <w:pPr>
        <w:pStyle w:val="2"/>
        <w:jc w:val="center"/>
        <w:rPr>
          <w:b/>
        </w:rPr>
      </w:pP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                       </w:t>
      </w:r>
    </w:p>
    <w:p>
      <w:pPr>
        <w:pStyle w:val="2"/>
      </w:pPr>
      <w:r>
        <w:drawing>
          <wp:inline distT="0" distB="0" distL="114300" distR="114300">
            <wp:extent cx="5578475" cy="2657475"/>
            <wp:effectExtent l="0" t="0" r="146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一般公共预算基本支出预算表</w:t>
      </w:r>
    </w:p>
    <w:p>
      <w:pPr>
        <w:pStyle w:val="2"/>
        <w:ind w:firstLine="0"/>
      </w:pPr>
    </w:p>
    <w:p>
      <w:pPr>
        <w:pStyle w:val="2"/>
        <w:ind w:firstLine="769" w:firstLineChars="396"/>
        <w:rPr>
          <w:rFonts w:eastAsia="方正仿宋_GBK"/>
        </w:rPr>
      </w:pP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</w:t>
      </w:r>
      <w:r>
        <w:drawing>
          <wp:inline distT="0" distB="0" distL="114300" distR="114300">
            <wp:extent cx="4620895" cy="8181340"/>
            <wp:effectExtent l="0" t="0" r="1206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Arial"/>
          <w:kern w:val="0"/>
          <w:sz w:val="20"/>
          <w:szCs w:val="18"/>
        </w:rPr>
        <w:t xml:space="preserve">     </w:t>
      </w:r>
    </w:p>
    <w:p>
      <w:pPr>
        <w:pStyle w:val="2"/>
      </w:pPr>
      <w:r>
        <w:drawing>
          <wp:inline distT="0" distB="0" distL="114300" distR="114300">
            <wp:extent cx="5280660" cy="321564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政府性基金预算支出预算表</w:t>
      </w:r>
    </w:p>
    <w:p>
      <w:pPr>
        <w:pStyle w:val="2"/>
        <w:ind w:left="0" w:leftChars="0" w:firstLine="0" w:firstLineChars="0"/>
      </w:pPr>
    </w:p>
    <w:p>
      <w:pPr>
        <w:pStyle w:val="2"/>
      </w:pPr>
      <w:r>
        <w:drawing>
          <wp:inline distT="0" distB="0" distL="114300" distR="114300">
            <wp:extent cx="5574030" cy="1316355"/>
            <wp:effectExtent l="0" t="0" r="381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收支预算总表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4665" cy="5112385"/>
            <wp:effectExtent l="0" t="0" r="317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收入预算总表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7205" cy="331914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支出预算总表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6570" cy="2847340"/>
            <wp:effectExtent l="0" t="0" r="127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right="102" w:firstLine="0" w:firstLineChars="0"/>
        <w:jc w:val="both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  <w:rPr>
          <w:rFonts w:hint="eastAsia"/>
          <w:sz w:val="21"/>
          <w:szCs w:val="21"/>
          <w:lang w:eastAsia="zh-CN"/>
        </w:rPr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公开表8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项目支出表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4665" cy="296545"/>
            <wp:effectExtent l="0" t="0" r="317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right="10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  <w:u w:val="single"/>
        </w:rPr>
        <w:t>（单位）</w:t>
      </w:r>
      <w:r>
        <w:rPr>
          <w:rFonts w:hint="eastAsia"/>
          <w:sz w:val="21"/>
          <w:szCs w:val="21"/>
        </w:rPr>
        <w:t>公开表9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泗县民生工程管理中心2023年单位三公经费预算</w:t>
      </w:r>
      <w:r>
        <w:rPr>
          <w:rFonts w:hint="eastAsia"/>
          <w:b/>
        </w:rPr>
        <w:t>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2760" cy="2470785"/>
            <wp:effectExtent l="0" t="0" r="5080" b="133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</w:rPr>
        <w:t>（单位）公开表10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政府采购支出表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69585" cy="561975"/>
            <wp:effectExtent l="0" t="0" r="8255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lang w:eastAsia="zh-CN"/>
        </w:rPr>
        <w:t>单位</w:t>
      </w:r>
      <w:r>
        <w:rPr>
          <w:rFonts w:hint="eastAsia"/>
          <w:sz w:val="21"/>
          <w:szCs w:val="21"/>
        </w:rPr>
        <w:t>（单位）公开表11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泗县民生工程管理中心2023年单位</w:t>
      </w:r>
      <w:r>
        <w:rPr>
          <w:rFonts w:hint="eastAsia"/>
          <w:b/>
        </w:rPr>
        <w:t>政府购买服务支出表</w:t>
      </w: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574665" cy="361950"/>
            <wp:effectExtent l="0" t="0" r="3175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第三部分2023年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一、关于2023年收支总表的说明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</w:t>
      </w: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万元，收入</w:t>
      </w:r>
      <w:r>
        <w:rPr>
          <w:rFonts w:hint="eastAsia" w:ascii="仿宋" w:hAnsi="仿宋" w:eastAsia="仿宋"/>
          <w:sz w:val="32"/>
          <w:szCs w:val="32"/>
          <w:lang w:eastAsia="zh-CN"/>
        </w:rPr>
        <w:t>全部是</w:t>
      </w:r>
      <w:r>
        <w:rPr>
          <w:rFonts w:hint="eastAsia" w:ascii="仿宋" w:hAnsi="仿宋" w:eastAsia="仿宋"/>
          <w:sz w:val="32"/>
          <w:szCs w:val="32"/>
        </w:rPr>
        <w:t>一般公共预算拨款收入，支出包括: 一般公共服务支出、卫生健康支出。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2023年收入预算总表的说明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8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本年收入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b/>
          <w:bCs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18.69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削减民生工程项目经费。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三、关于2023年支出预算总表的说明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万元，比 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18.69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削减民生工程项目经费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四、关于2023年财政拨款收支预算总表的说明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万元。收入按资金来源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一般公共预算拨款;按资金年度分为:本年财政拨款收入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43.25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五、关于2023年一般公共预算支出表的说明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%，比 2022年预算减少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18.69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削减民生工程项目经费。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43.25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2.26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1.一般公共服务支出财政事务行政运行2023年预算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万元，比2022年预算增加(减少)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10.46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18.69</w:t>
      </w:r>
      <w:r>
        <w:rPr>
          <w:rFonts w:hint="eastAsia" w:ascii="仿宋" w:hAnsi="仿宋" w:eastAsia="仿宋"/>
          <w:sz w:val="32"/>
          <w:szCs w:val="32"/>
        </w:rPr>
        <w:t>%，下降原因主要是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削减民生工程项目经费。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2.一般公共服务支出(类)财政事务(款)一般行政管理事务(项)2023年预算*.*万元，比2022年预算增加(减少) *.*万元，增长(下降)*.*%，增长(下降)原因主要是......。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3.社会保障和就业支出(类)行政事业单位离退休(款)归口管理的行政事业单位离退休(项)2023年预算*.*万元，比2022年预算增加(减少)*.*万元，增长(下降)*.*%，增长(下降)原因主要是......。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六、关于2023年一般公共预算基本支出表的说明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 xml:space="preserve">万元，其中，人员经费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39.27</w:t>
      </w:r>
      <w:r>
        <w:rPr>
          <w:rFonts w:hint="eastAsia" w:ascii="仿宋" w:hAnsi="仿宋" w:eastAsia="仿宋"/>
          <w:sz w:val="32"/>
          <w:szCs w:val="32"/>
        </w:rPr>
        <w:t xml:space="preserve">万元，公用经费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6.24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39.27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绩效工资、机关事业单位基本养老保险费、职业年金缴费、职工基本医疗保险缴费、公务员医疗补助缴费、其他社会保障缴费、医疗费、其他工资福利支出、离休费、退休费、医疗费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6.24</w:t>
      </w:r>
      <w:r>
        <w:rPr>
          <w:rFonts w:hint="eastAsia" w:ascii="仿宋" w:hAnsi="仿宋" w:eastAsia="仿宋"/>
          <w:sz w:val="32"/>
          <w:szCs w:val="32"/>
        </w:rPr>
        <w:t>万元，主要包括:办公费、印刷费、邮电费、取暖费、物业管理费、 差旅费、维修(护)费、会议费、 培训费、公务接待费、办公设备购置。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2023年政府性基金预算支出表的说明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八、关于2023年国有资本经营预算支出表的说明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 xml:space="preserve">2023年没有国有资本经营预算拨款收入，也没有使用国有资本经营预算拨款安排的支出。 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九、关于2023年项目支出表的说明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2023年没有使用一般公共预算拨款、政府性基金预算拨款、国有资本经营预算拨款、财政专户管理资金和单位资金安排的项目支出。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20223年政府采购支出表的说明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十一、关于2023年政府购买服务支出表的说明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【如本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未安排政府购买服务预算说明如下】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（单位）整体支出情况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2023年财政预算整体支出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45.51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/>
          <w:sz w:val="32"/>
          <w:szCs w:val="32"/>
        </w:rPr>
        <w:t>基本支出。</w:t>
      </w:r>
    </w:p>
    <w:p>
      <w:pPr>
        <w:pStyle w:val="2"/>
        <w:ind w:firstLine="157" w:firstLineChars="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b/>
          <w:sz w:val="32"/>
          <w:szCs w:val="32"/>
        </w:rPr>
        <w:t>（单位）整体支出绩效目标申报表(略)</w:t>
      </w:r>
    </w:p>
    <w:p>
      <w:pPr>
        <w:pStyle w:val="2"/>
        <w:ind w:firstLine="1413" w:firstLineChars="4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项目支出绩效目标申报表(略)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(二)机关运行经费。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民生工程管理中心单位</w:t>
      </w:r>
      <w:r>
        <w:rPr>
          <w:rFonts w:hint="eastAsia" w:ascii="仿宋" w:hAnsi="仿宋" w:eastAsia="仿宋"/>
          <w:sz w:val="32"/>
          <w:szCs w:val="32"/>
        </w:rPr>
        <w:t>2023为非</w:t>
      </w:r>
      <w:r>
        <w:rPr>
          <w:rFonts w:hint="eastAsia" w:ascii="仿宋" w:hAnsi="仿宋" w:eastAsia="仿宋" w:cs="仿宋"/>
          <w:sz w:val="32"/>
          <w:szCs w:val="32"/>
        </w:rPr>
        <w:t>参照公务员法管理的事业单位，按照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预算机关运行经费口径，2023年无机关运行经费财政拨款预算。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民生工程管理中心单位</w:t>
      </w:r>
      <w:r>
        <w:rPr>
          <w:rFonts w:hint="eastAsia" w:ascii="仿宋" w:hAnsi="仿宋" w:eastAsia="仿宋"/>
          <w:sz w:val="32"/>
          <w:szCs w:val="32"/>
        </w:rPr>
        <w:t>2023年政府采购预算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截至2022年12月31日，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泗县民生工程管理中心单位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或单位从同级财政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 房物业管理费、公务用车运行维护费以及其他费用。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十一、一般公共服务支出(类)财政事务(款)财政国库业务:</w:t>
      </w:r>
      <w:r>
        <w:rPr>
          <w:rFonts w:hint="eastAsia" w:ascii="仿宋" w:hAnsi="仿宋" w:eastAsia="仿宋"/>
          <w:sz w:val="32"/>
          <w:szCs w:val="32"/>
        </w:rPr>
        <w:t>反映县财政局用于国库集中收付业务方面的支出。(根据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预算实际对重要的支出功能科目进行解释)</w:t>
      </w:r>
    </w:p>
    <w:p>
      <w:pPr>
        <w:pStyle w:val="2"/>
      </w:pPr>
    </w:p>
    <w:p/>
    <w:sectPr>
      <w:footerReference r:id="rId3" w:type="default"/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F5B7"/>
    <w:multiLevelType w:val="singleLevel"/>
    <w:tmpl w:val="3C42F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GU1YTRmMjdmYzZhNDhjZTQ3NmU4MzAwNzg3NDUifQ=="/>
  </w:docVars>
  <w:rsids>
    <w:rsidRoot w:val="004D475E"/>
    <w:rsid w:val="0000344B"/>
    <w:rsid w:val="000439A7"/>
    <w:rsid w:val="00076BE4"/>
    <w:rsid w:val="000C4711"/>
    <w:rsid w:val="000E4959"/>
    <w:rsid w:val="0010548A"/>
    <w:rsid w:val="001246F0"/>
    <w:rsid w:val="00265082"/>
    <w:rsid w:val="00292A79"/>
    <w:rsid w:val="002E6188"/>
    <w:rsid w:val="003216D9"/>
    <w:rsid w:val="003255C8"/>
    <w:rsid w:val="00374589"/>
    <w:rsid w:val="003D78C7"/>
    <w:rsid w:val="00442928"/>
    <w:rsid w:val="00445B08"/>
    <w:rsid w:val="004B0342"/>
    <w:rsid w:val="004D475E"/>
    <w:rsid w:val="004F38F5"/>
    <w:rsid w:val="00517044"/>
    <w:rsid w:val="00534055"/>
    <w:rsid w:val="0055607F"/>
    <w:rsid w:val="0056228F"/>
    <w:rsid w:val="00567413"/>
    <w:rsid w:val="005A1C36"/>
    <w:rsid w:val="005C4A75"/>
    <w:rsid w:val="005D7A9A"/>
    <w:rsid w:val="005E475A"/>
    <w:rsid w:val="006B6D8D"/>
    <w:rsid w:val="006D640D"/>
    <w:rsid w:val="007875E8"/>
    <w:rsid w:val="007D779A"/>
    <w:rsid w:val="00825AE6"/>
    <w:rsid w:val="0092627F"/>
    <w:rsid w:val="00B22E23"/>
    <w:rsid w:val="00B31D46"/>
    <w:rsid w:val="00B560ED"/>
    <w:rsid w:val="00C10806"/>
    <w:rsid w:val="00C65EF5"/>
    <w:rsid w:val="00CB799C"/>
    <w:rsid w:val="00D869E8"/>
    <w:rsid w:val="00D911C7"/>
    <w:rsid w:val="00DE625A"/>
    <w:rsid w:val="00E269B1"/>
    <w:rsid w:val="00E540C8"/>
    <w:rsid w:val="00EA2054"/>
    <w:rsid w:val="00F40691"/>
    <w:rsid w:val="00F62911"/>
    <w:rsid w:val="034A70C0"/>
    <w:rsid w:val="0474277B"/>
    <w:rsid w:val="04B54A0D"/>
    <w:rsid w:val="06FA593F"/>
    <w:rsid w:val="074B65B5"/>
    <w:rsid w:val="08406CE4"/>
    <w:rsid w:val="09716756"/>
    <w:rsid w:val="09BA2C2B"/>
    <w:rsid w:val="0ACD5D40"/>
    <w:rsid w:val="0D166265"/>
    <w:rsid w:val="0F184516"/>
    <w:rsid w:val="0F1D38DB"/>
    <w:rsid w:val="11C35A1E"/>
    <w:rsid w:val="140B7FAB"/>
    <w:rsid w:val="147321EF"/>
    <w:rsid w:val="174B229D"/>
    <w:rsid w:val="17BD3EAD"/>
    <w:rsid w:val="18F5509D"/>
    <w:rsid w:val="1AF46E74"/>
    <w:rsid w:val="1B9132E5"/>
    <w:rsid w:val="1BC752FA"/>
    <w:rsid w:val="1C6E7E6B"/>
    <w:rsid w:val="1FA15E62"/>
    <w:rsid w:val="212B00D9"/>
    <w:rsid w:val="21F66334"/>
    <w:rsid w:val="231E77CA"/>
    <w:rsid w:val="231F67E0"/>
    <w:rsid w:val="233A243C"/>
    <w:rsid w:val="23F72F75"/>
    <w:rsid w:val="247578BD"/>
    <w:rsid w:val="24D738EC"/>
    <w:rsid w:val="25D94675"/>
    <w:rsid w:val="2737605F"/>
    <w:rsid w:val="276E5B60"/>
    <w:rsid w:val="278E4F1E"/>
    <w:rsid w:val="29F0497A"/>
    <w:rsid w:val="2A571F3F"/>
    <w:rsid w:val="2AAF6FDC"/>
    <w:rsid w:val="2C504E98"/>
    <w:rsid w:val="2C6B1CD2"/>
    <w:rsid w:val="2DD35D80"/>
    <w:rsid w:val="312E5FEA"/>
    <w:rsid w:val="348E56DE"/>
    <w:rsid w:val="35781373"/>
    <w:rsid w:val="35B640ED"/>
    <w:rsid w:val="363E3FB3"/>
    <w:rsid w:val="36BB2BCA"/>
    <w:rsid w:val="378D7D28"/>
    <w:rsid w:val="37B7401D"/>
    <w:rsid w:val="396F2161"/>
    <w:rsid w:val="39706E6E"/>
    <w:rsid w:val="39AD3929"/>
    <w:rsid w:val="3B4D1C2A"/>
    <w:rsid w:val="3CD94A35"/>
    <w:rsid w:val="3D927E1F"/>
    <w:rsid w:val="3DA01067"/>
    <w:rsid w:val="3EEB4300"/>
    <w:rsid w:val="41C151DD"/>
    <w:rsid w:val="44DD0E3B"/>
    <w:rsid w:val="4528442B"/>
    <w:rsid w:val="46F34946"/>
    <w:rsid w:val="48D35818"/>
    <w:rsid w:val="4A2530C1"/>
    <w:rsid w:val="4AB05A1D"/>
    <w:rsid w:val="4CA231A5"/>
    <w:rsid w:val="4CEB5D18"/>
    <w:rsid w:val="4D3F2693"/>
    <w:rsid w:val="4EE808F1"/>
    <w:rsid w:val="4EF80C1C"/>
    <w:rsid w:val="4F846A83"/>
    <w:rsid w:val="50DE2897"/>
    <w:rsid w:val="51514D88"/>
    <w:rsid w:val="526B4CFD"/>
    <w:rsid w:val="57862450"/>
    <w:rsid w:val="579F2712"/>
    <w:rsid w:val="57B41ECF"/>
    <w:rsid w:val="5AEB54AA"/>
    <w:rsid w:val="5B922527"/>
    <w:rsid w:val="5BFA01DF"/>
    <w:rsid w:val="5C2436B5"/>
    <w:rsid w:val="5D701B3F"/>
    <w:rsid w:val="5E581806"/>
    <w:rsid w:val="5E9125FF"/>
    <w:rsid w:val="5EB86749"/>
    <w:rsid w:val="5EBE22EF"/>
    <w:rsid w:val="5F751F44"/>
    <w:rsid w:val="60AC17FB"/>
    <w:rsid w:val="61203EB0"/>
    <w:rsid w:val="614147D4"/>
    <w:rsid w:val="628506F0"/>
    <w:rsid w:val="635B76A3"/>
    <w:rsid w:val="646E6F92"/>
    <w:rsid w:val="65625C36"/>
    <w:rsid w:val="68FA3136"/>
    <w:rsid w:val="69925649"/>
    <w:rsid w:val="69B152EC"/>
    <w:rsid w:val="6AE82164"/>
    <w:rsid w:val="6DA31CEE"/>
    <w:rsid w:val="6EB07650"/>
    <w:rsid w:val="6EC6456A"/>
    <w:rsid w:val="6F234C00"/>
    <w:rsid w:val="6F4A6F49"/>
    <w:rsid w:val="6FE50A20"/>
    <w:rsid w:val="6FF9271D"/>
    <w:rsid w:val="707E485F"/>
    <w:rsid w:val="71986B9D"/>
    <w:rsid w:val="71F65166"/>
    <w:rsid w:val="725E2EB1"/>
    <w:rsid w:val="72A24229"/>
    <w:rsid w:val="730B79D6"/>
    <w:rsid w:val="7343262D"/>
    <w:rsid w:val="76992564"/>
    <w:rsid w:val="7A8F6158"/>
    <w:rsid w:val="7B3726C2"/>
    <w:rsid w:val="7B5B040D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81"/>
    <w:basedOn w:val="7"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5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D4AA-BC75-4F0E-90CB-C3CDBCDCC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3800</Words>
  <Characters>4257</Characters>
  <Lines>66</Lines>
  <Paragraphs>18</Paragraphs>
  <TotalTime>2</TotalTime>
  <ScaleCrop>false</ScaleCrop>
  <LinksUpToDate>false</LinksUpToDate>
  <CharactersWithSpaces>4447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2023-02-22T03:51:00Z</dcterms:created>
  <dc:creator>china</dc:creator>
  <cp:lastModifiedBy>Administrator</cp:lastModifiedBy>
  <cp:lastPrinted>2023-02-21T07:55:00Z</cp:lastPrinted>
  <dcterms:modified xsi:type="dcterms:W3CDTF">2023-03-27T01:34:53Z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0BD14EA831194041B918FFB543B82E31</vt:lpwstr>
  </property>
</Properties>
</file>