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大路口镇党政领导</w:t>
      </w:r>
      <w:r>
        <w:rPr>
          <w:rFonts w:hint="default" w:ascii="Times New Roman" w:hAnsi="Times New Roman" w:eastAsia="方正小标宋简体" w:cs="Times New Roman"/>
          <w:b w:val="0"/>
          <w:bCs w:val="0"/>
          <w:sz w:val="44"/>
          <w:szCs w:val="44"/>
        </w:rPr>
        <w:t>干部</w:t>
      </w:r>
      <w:r>
        <w:rPr>
          <w:rFonts w:hint="default" w:ascii="Times New Roman" w:hAnsi="Times New Roman" w:eastAsia="方正小标宋简体" w:cs="Times New Roman"/>
          <w:b w:val="0"/>
          <w:bCs w:val="0"/>
          <w:sz w:val="44"/>
          <w:szCs w:val="44"/>
          <w:lang w:val="en-US" w:eastAsia="zh-CN"/>
        </w:rPr>
        <w:t>管理办法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sz w:val="32"/>
          <w:szCs w:val="32"/>
        </w:rPr>
      </w:pPr>
    </w:p>
    <w:tbl>
      <w:tblPr>
        <w:tblStyle w:val="6"/>
        <w:tblW w:w="995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550" w:type="dxa"/>
          </w:tcPr>
          <w:p>
            <w:pPr>
              <w:keepNext w:val="0"/>
              <w:keepLines w:val="0"/>
              <w:pageBreakBefore w:val="0"/>
              <w:widowControl/>
              <w:suppressLineNumbers w:val="0"/>
              <w:kinsoku/>
              <w:wordWrap/>
              <w:overflowPunct/>
              <w:topLinePunct w:val="0"/>
              <w:autoSpaceDE/>
              <w:autoSpaceDN/>
              <w:bidi w:val="0"/>
              <w:adjustRightInd/>
              <w:snapToGrid/>
              <w:spacing w:line="592" w:lineRule="exact"/>
              <w:jc w:val="center"/>
              <w:rPr>
                <w:rFonts w:hint="default" w:ascii="Times New Roman" w:hAnsi="Times New Roman" w:eastAsia="黑体" w:cs="Times New Roman"/>
                <w:color w:val="000000"/>
                <w:kern w:val="0"/>
                <w:sz w:val="32"/>
                <w:szCs w:val="32"/>
                <w:vertAlign w:val="baseline"/>
                <w:lang w:val="en-US" w:eastAsia="zh-CN" w:bidi="ar"/>
              </w:rPr>
            </w:pPr>
            <w:r>
              <w:rPr>
                <w:rFonts w:hint="default" w:ascii="Times New Roman" w:hAnsi="Times New Roman" w:eastAsia="黑体" w:cs="Times New Roman"/>
                <w:color w:val="000000"/>
                <w:kern w:val="0"/>
                <w:sz w:val="32"/>
                <w:szCs w:val="32"/>
                <w:vertAlign w:val="baseline"/>
                <w:lang w:val="en-US" w:eastAsia="zh-CN" w:bidi="ar"/>
              </w:rPr>
              <w:t>姓 名</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92" w:lineRule="exact"/>
              <w:jc w:val="center"/>
              <w:rPr>
                <w:rFonts w:hint="default" w:ascii="Times New Roman" w:hAnsi="Times New Roman" w:eastAsia="黑体" w:cs="Times New Roman"/>
                <w:color w:val="000000"/>
                <w:kern w:val="0"/>
                <w:sz w:val="32"/>
                <w:szCs w:val="32"/>
                <w:vertAlign w:val="baseline"/>
                <w:lang w:val="en-US" w:eastAsia="zh-CN" w:bidi="ar"/>
              </w:rPr>
            </w:pPr>
            <w:r>
              <w:rPr>
                <w:rFonts w:hint="default" w:ascii="Times New Roman" w:hAnsi="Times New Roman" w:eastAsia="黑体" w:cs="Times New Roman"/>
                <w:color w:val="000000"/>
                <w:kern w:val="0"/>
                <w:sz w:val="32"/>
                <w:szCs w:val="32"/>
                <w:vertAlign w:val="baseline"/>
                <w:lang w:val="en-US" w:eastAsia="zh-CN" w:bidi="ar"/>
              </w:rPr>
              <w:t>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eastAsia" w:ascii="Times New Roman" w:hAnsi="Times New Roman" w:eastAsia="仿宋_GB2312" w:cs="Times New Roman"/>
                <w:color w:val="000000"/>
                <w:kern w:val="0"/>
                <w:sz w:val="32"/>
                <w:szCs w:val="32"/>
                <w:vertAlign w:val="baseline"/>
                <w:lang w:val="en-US" w:eastAsia="zh-CN" w:bidi="ar"/>
              </w:rPr>
              <w:t>杨振洲</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负责党委全面工作</w:t>
            </w:r>
            <w:r>
              <w:rPr>
                <w:rFonts w:hint="eastAsia" w:ascii="Times New Roman" w:hAnsi="Times New Roman" w:eastAsia="仿宋_GB2312" w:cs="Times New Roman"/>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李  嵩</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负责政府全面工作</w:t>
            </w:r>
            <w:r>
              <w:rPr>
                <w:rFonts w:hint="eastAsia" w:ascii="Times New Roman" w:hAnsi="Times New Roman" w:eastAsia="仿宋_GB2312" w:cs="Times New Roman"/>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彭雷明</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负责镇人大全面工作，分管计划生育、疫情防控、信访维稳、乡风文明、文化、教育、卫生。联系卫计办、育才中学、卫生院、党政办、石龙湖田园综合体。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李晓光</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负责文明创建、营商环境、暖民心行动、道路交通、安全生产、应急管理工作，分管组织、纪检、宣传、群团组织等。联系应急办、食安办。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史  雁</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 w:cs="Times New Roman"/>
                <w:color w:val="auto"/>
                <w:sz w:val="32"/>
                <w:szCs w:val="32"/>
                <w:lang w:eastAsia="zh-CN"/>
              </w:rPr>
              <w:t>政法、</w:t>
            </w:r>
            <w:r>
              <w:rPr>
                <w:rFonts w:hint="default" w:ascii="Times New Roman" w:hAnsi="Times New Roman" w:eastAsia="仿宋" w:cs="Times New Roman"/>
                <w:color w:val="auto"/>
                <w:sz w:val="32"/>
                <w:szCs w:val="32"/>
                <w:lang w:val="en-US" w:eastAsia="zh-CN"/>
              </w:rPr>
              <w:t>基层治理等相关工作，</w:t>
            </w:r>
            <w:r>
              <w:rPr>
                <w:rFonts w:hint="default" w:ascii="Times New Roman" w:hAnsi="Times New Roman" w:eastAsia="仿宋_GB2312" w:cs="Times New Roman"/>
                <w:color w:val="auto"/>
                <w:sz w:val="32"/>
                <w:szCs w:val="32"/>
                <w:lang w:val="en-US" w:eastAsia="zh-CN"/>
              </w:rPr>
              <w:t>协助彭雷明同志负责信访维稳工作负责政法、基层治理等相关工作，协助彭雷明同志负责信访维稳工作;联系司法所、派出所、法庭。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李  羚</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基层党建、组织人事、共青团、妇联、老干部、关工委、群团组织等负责基层党建、组织人事、共青团、妇联、老干部、关工委、群团组织等相关工作；分管工会工作。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唐子晨</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6"/>
                <w:szCs w:val="36"/>
                <w:vertAlign w:val="baseline"/>
                <w:lang w:val="en-US" w:eastAsia="zh-CN" w:bidi="ar"/>
              </w:rPr>
            </w:pPr>
            <w:r>
              <w:rPr>
                <w:rFonts w:hint="eastAsia"/>
                <w:sz w:val="32"/>
                <w:szCs w:val="40"/>
              </w:rPr>
              <w:t>负责纪检监察、 “一家两中心”、效能建设、巡视巡察等方面工作。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李  雪</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sz w:val="32"/>
                <w:szCs w:val="32"/>
                <w:lang w:val="en-US" w:eastAsia="zh-CN"/>
              </w:rPr>
              <w:t>负责宣传、统战、民族宗教、文明创建、文化旅游、网络舆情、广播电视等相关工作；分管文化、卫生、教育、医疗保障；联系文广站、卫生院、中心校、城南中学。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赵  苏</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武装、人防、人力资源、</w:t>
            </w:r>
            <w:r>
              <w:rPr>
                <w:rFonts w:hint="default" w:ascii="Times New Roman" w:hAnsi="Times New Roman" w:eastAsia="仿宋_GB2312" w:cs="Times New Roman"/>
                <w:sz w:val="32"/>
                <w:szCs w:val="32"/>
                <w:lang w:val="en-US" w:eastAsia="zh-CN"/>
              </w:rPr>
              <w:t>财贸、金融、统计、招商引资、发展改革、工业经济、山芋园区建设、规上企业建设</w:t>
            </w:r>
            <w:r>
              <w:rPr>
                <w:rFonts w:hint="default" w:ascii="Times New Roman" w:hAnsi="Times New Roman" w:eastAsia="仿宋_GB2312" w:cs="Times New Roman"/>
                <w:color w:val="auto"/>
                <w:sz w:val="32"/>
                <w:szCs w:val="32"/>
                <w:lang w:val="en-US" w:eastAsia="zh-CN"/>
              </w:rPr>
              <w:t>；分管民政、退役军人服务、残联：负责武装、人防、人力资源，财贸、金融、统计、招商引资、发展改革、工业经济、山芋园区建设、规上企业建设；分管民政、退役军人服务、残联；联系民政办、社保所、退役军人服务站、残联工作站。联系财政所、税务所、市场管理所、供销社、电信移动、农商行等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王  伟</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协助彭雷明同志负责信访维稳工作协助彭雷明同志负责信访维稳工作。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曹  瑞</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sz w:val="32"/>
                <w:szCs w:val="32"/>
                <w:lang w:val="en-US" w:eastAsia="zh-CN"/>
              </w:rPr>
              <w:t>小区建设相关事宜。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杨林林</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宋  朋</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sz w:val="32"/>
                <w:szCs w:val="32"/>
                <w:lang w:val="en-US" w:eastAsia="zh-CN"/>
              </w:rPr>
              <w:t>分管脱贫攻坚巩固、乡村振兴、民生工程、产业发展、物价、食品药品监督安全、畜牧养殖、粮食工作；负责大农业、林业、农田水利、供电、科技、科协等工作。联系乡村振兴工作站、农经站、林业站、水利站、农机站、供电站、畜牧兽医水产站、粮站和食品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周  斗</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auto"/>
                <w:sz w:val="32"/>
                <w:szCs w:val="32"/>
                <w:lang w:val="en-US" w:eastAsia="zh-CN"/>
              </w:rPr>
              <w:t>协助镇主要负责人和宋朋抓好农业工作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李  刚</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sz w:val="32"/>
                <w:szCs w:val="32"/>
                <w:lang w:val="en-US" w:eastAsia="zh-CN"/>
              </w:rPr>
              <w:t>负责土地、住建、征迁控违、土地增减挂工作、人居环境、美丽乡村、街道管理、小城镇建设；联系土地所、住建所、美丽办。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color w:val="000000"/>
                <w:kern w:val="0"/>
                <w:sz w:val="32"/>
                <w:szCs w:val="32"/>
                <w:vertAlign w:val="baseline"/>
                <w:lang w:val="en-US" w:eastAsia="zh-CN" w:bidi="ar"/>
              </w:rPr>
              <w:t>柏吉峰</w:t>
            </w:r>
          </w:p>
        </w:tc>
        <w:tc>
          <w:tcPr>
            <w:tcW w:w="8400" w:type="dxa"/>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eastAsia="仿宋_GB2312" w:cs="Times New Roman"/>
                <w:sz w:val="32"/>
                <w:szCs w:val="32"/>
                <w:lang w:val="en-US" w:eastAsia="zh-CN"/>
              </w:rPr>
              <w:t>负责环保、资产管理、项目工程建设工作；联系环保工作站。</w:t>
            </w:r>
          </w:p>
        </w:tc>
      </w:tr>
    </w:tbl>
    <w:p>
      <w:pPr>
        <w:keepNext w:val="0"/>
        <w:keepLines w:val="0"/>
        <w:pageBreakBefore w:val="0"/>
        <w:widowControl/>
        <w:numPr>
          <w:numId w:val="0"/>
        </w:numPr>
        <w:suppressLineNumbers w:val="0"/>
        <w:kinsoku/>
        <w:wordWrap/>
        <w:overflowPunct/>
        <w:topLinePunct w:val="0"/>
        <w:autoSpaceDE/>
        <w:autoSpaceDN/>
        <w:bidi w:val="0"/>
        <w:adjustRightInd/>
        <w:snapToGrid/>
        <w:spacing w:line="592" w:lineRule="exact"/>
        <w:jc w:val="left"/>
        <w:rPr>
          <w:rFonts w:hint="default" w:ascii="Times New Roman" w:hAnsi="Times New Roman" w:eastAsia="黑体" w:cs="Times New Roman"/>
          <w:color w:val="000000"/>
          <w:kern w:val="0"/>
          <w:sz w:val="32"/>
          <w:szCs w:val="32"/>
          <w:lang w:val="en-US" w:eastAsia="zh-CN" w:bidi="ar"/>
        </w:rPr>
      </w:pPr>
      <w:bookmarkStart w:id="0" w:name="_GoBack"/>
      <w:bookmarkEnd w:id="0"/>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ZThjYzAzNzQ0MjQ1NDM4MTA2YzY2MjllZmU5N2IifQ=="/>
  </w:docVars>
  <w:rsids>
    <w:rsidRoot w:val="00000000"/>
    <w:rsid w:val="17B96EDC"/>
    <w:rsid w:val="18F90DF6"/>
    <w:rsid w:val="19F02009"/>
    <w:rsid w:val="1CE56429"/>
    <w:rsid w:val="21223D94"/>
    <w:rsid w:val="2C7C673D"/>
    <w:rsid w:val="2F0E3D47"/>
    <w:rsid w:val="2FF502DF"/>
    <w:rsid w:val="397D5C46"/>
    <w:rsid w:val="3EE17337"/>
    <w:rsid w:val="42577011"/>
    <w:rsid w:val="42D77428"/>
    <w:rsid w:val="55C76FE7"/>
    <w:rsid w:val="5AA75798"/>
    <w:rsid w:val="5CCA354B"/>
    <w:rsid w:val="5E7B60AE"/>
    <w:rsid w:val="6D2B31B8"/>
    <w:rsid w:val="754B0E32"/>
    <w:rsid w:val="7B771F56"/>
    <w:rsid w:val="7CE8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outlineLvl w:val="1"/>
    </w:pPr>
    <w:rPr>
      <w:rFonts w:ascii="Arial" w:hAnsi="Arial" w:eastAsia="仿宋"/>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2290</Words>
  <Characters>2317</Characters>
  <Lines>0</Lines>
  <Paragraphs>0</Paragraphs>
  <TotalTime>19</TotalTime>
  <ScaleCrop>false</ScaleCrop>
  <LinksUpToDate>false</LinksUpToDate>
  <CharactersWithSpaces>2369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2022-11-06T08:58:00Z</dcterms:created>
  <dc:creator>Administrator</dc:creator>
  <cp:lastModifiedBy>l</cp:lastModifiedBy>
  <cp:lastPrinted>2023-03-06T06:44:00Z</cp:lastPrinted>
  <dcterms:modified xsi:type="dcterms:W3CDTF">2023-03-28T07:43:30Z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3B5A9EC332844286ABAA88CD103DAEA0</vt:lpwstr>
  </property>
</Properties>
</file>