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泗县</w:t>
      </w:r>
      <w:r>
        <w:rPr>
          <w:rFonts w:hint="eastAsia" w:ascii="黑体" w:hAnsi="黑体" w:eastAsia="黑体"/>
          <w:sz w:val="36"/>
          <w:szCs w:val="36"/>
          <w:lang w:eastAsia="zh-CN"/>
        </w:rPr>
        <w:t>文化和旅游局部门</w:t>
      </w:r>
      <w:r>
        <w:rPr>
          <w:rFonts w:hint="eastAsia" w:ascii="黑体" w:hAnsi="黑体" w:eastAsia="黑体"/>
          <w:sz w:val="36"/>
          <w:szCs w:val="36"/>
        </w:rPr>
        <w:t>2023年一般公共预算“三公”经费预算公开</w:t>
      </w:r>
      <w:bookmarkStart w:id="0" w:name="_GoBack"/>
      <w:bookmarkEnd w:id="0"/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5"/>
        <w:tblW w:w="900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9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9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2.50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2.50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8.50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文化和旅游局部门</w:t>
      </w:r>
      <w:r>
        <w:rPr>
          <w:rFonts w:hint="eastAsia" w:ascii="仿宋" w:hAnsi="仿宋" w:eastAsia="仿宋"/>
          <w:sz w:val="32"/>
          <w:szCs w:val="32"/>
        </w:rPr>
        <w:t>2023年一般公共预算“三公”经费支出预算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万元，与2022年预算相比，增加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4.76</w:t>
      </w:r>
      <w:r>
        <w:rPr>
          <w:rFonts w:hint="eastAsia" w:ascii="仿宋" w:hAnsi="仿宋" w:eastAsia="仿宋"/>
          <w:sz w:val="32"/>
          <w:szCs w:val="32"/>
        </w:rPr>
        <w:t>%，增加原因主要是：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群众文化活动次数增加</w:t>
      </w:r>
      <w:r>
        <w:rPr>
          <w:rFonts w:hint="eastAsia" w:ascii="仿宋" w:hAnsi="仿宋" w:eastAsia="仿宋"/>
          <w:sz w:val="32"/>
          <w:szCs w:val="32"/>
        </w:rPr>
        <w:t>。其中：因公出国（境）费支出预算为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8.5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万元，与2022年预算相持平，持平原因主要是：泗县文化和旅游局无出（境）费需求。经费使用严格执行《安徽省省直党政机关因公临时出国经费管理办法》（财行[2014]527号）等相关规定。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/>
          <w:sz w:val="32"/>
          <w:szCs w:val="32"/>
        </w:rPr>
        <w:t>万元，与2022年预算相比，增加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%，增加原因主要是：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群众文化活动次数增加</w:t>
      </w:r>
      <w:r>
        <w:rPr>
          <w:rFonts w:hint="eastAsia" w:ascii="仿宋" w:hAnsi="仿宋" w:eastAsia="仿宋"/>
          <w:sz w:val="32"/>
          <w:szCs w:val="32"/>
        </w:rPr>
        <w:t>。其中，公务用车购置费支出预算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强化经费监控，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；公务用车运行费支出预算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/>
          <w:sz w:val="32"/>
          <w:szCs w:val="32"/>
        </w:rPr>
        <w:t>万元，与2022年预算相比，增加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%，增加原因主要是：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群众文化活动次数增加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8.5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</w:t>
      </w:r>
      <w:r>
        <w:rPr>
          <w:rFonts w:hint="eastAsia" w:ascii="仿宋_GB2312" w:hAnsi="微软雅黑" w:eastAsia="仿宋_GB2312" w:cs="仿宋_GB2312"/>
          <w:bCs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微软雅黑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严格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执行八项规定，压缩开支</w:t>
      </w:r>
      <w:r>
        <w:rPr>
          <w:rFonts w:hint="eastAsia" w:ascii="仿宋" w:hAnsi="仿宋" w:eastAsia="仿宋"/>
          <w:sz w:val="32"/>
          <w:szCs w:val="32"/>
        </w:rPr>
        <w:t>，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6"/>
    <w:rsid w:val="0002064F"/>
    <w:rsid w:val="000F37E9"/>
    <w:rsid w:val="000F7507"/>
    <w:rsid w:val="00875236"/>
    <w:rsid w:val="00A418EA"/>
    <w:rsid w:val="00AB2224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2EAE170D"/>
    <w:rsid w:val="49B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702</Characters>
  <Lines>5</Lines>
  <Paragraphs>1</Paragraphs>
  <TotalTime>1</TotalTime>
  <ScaleCrop>false</ScaleCrop>
  <LinksUpToDate>false</LinksUpToDate>
  <CharactersWithSpaces>823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2023-02-22T08:02:00Z</dcterms:created>
  <dc:creator>china</dc:creator>
  <cp:lastModifiedBy>s'x</cp:lastModifiedBy>
  <dcterms:modified xsi:type="dcterms:W3CDTF">2023-04-04T00:28:07Z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