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泗县泗州戏剧团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年一般公共预算“三公”经费预算公开</w:t>
      </w:r>
      <w:bookmarkStart w:id="0" w:name="_GoBack"/>
      <w:bookmarkEnd w:id="0"/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" w:hAnsi="仿宋" w:eastAsia="仿宋"/>
          <w:sz w:val="32"/>
          <w:szCs w:val="32"/>
        </w:rPr>
        <w:t>，持平原因主要是：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执行八项规定，压缩开支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年预算相持平，持平原因主要是：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无出（境）费需求。经费使用严格执行《安徽省省直党政机关因公临时出国经费管理办法》（财行[2014]527号）等相关规定。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执行八项规定，压缩开支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F7507"/>
    <w:rsid w:val="00875236"/>
    <w:rsid w:val="009C3993"/>
    <w:rsid w:val="00A418EA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066A0A85"/>
    <w:rsid w:val="06A607F6"/>
    <w:rsid w:val="0B127ED2"/>
    <w:rsid w:val="186604DB"/>
    <w:rsid w:val="2DD81BD6"/>
    <w:rsid w:val="4378523F"/>
    <w:rsid w:val="4A5E1434"/>
    <w:rsid w:val="51610B7A"/>
    <w:rsid w:val="700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china</dc:creator>
  <cp:lastModifiedBy>s'x</cp:lastModifiedBy>
  <dcterms:modified xsi:type="dcterms:W3CDTF">2023-04-04T00:22:23Z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