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eastAsia="zh-CN"/>
        </w:rPr>
        <w:t>图书馆</w:t>
      </w:r>
      <w:r>
        <w:rPr>
          <w:rFonts w:hint="eastAsia" w:ascii="黑体" w:hAnsi="黑体" w:eastAsia="黑体"/>
          <w:sz w:val="36"/>
          <w:szCs w:val="36"/>
        </w:rPr>
        <w:t>2023年一般公共预算“三公”经费预算公开</w:t>
      </w:r>
      <w:bookmarkStart w:id="0" w:name="_GoBack"/>
      <w:bookmarkEnd w:id="0"/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5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1.00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" w:hAnsi="仿宋" w:eastAsia="仿宋"/>
          <w:sz w:val="32"/>
          <w:szCs w:val="32"/>
        </w:rPr>
        <w:t>，持平原因主要是：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执行八项规定，压缩开支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万元，与2022年预算相持平，持平原因主要是：泗县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图书馆</w:t>
      </w:r>
      <w:r>
        <w:rPr>
          <w:rFonts w:hint="eastAsia" w:ascii="仿宋" w:hAnsi="仿宋" w:eastAsia="仿宋"/>
          <w:sz w:val="32"/>
          <w:szCs w:val="32"/>
        </w:rPr>
        <w:t>无出（境）费需求。经费使用严格执行《安徽省省直党政机关因公临时出国经费管理办法》（财行[2014]527号）等相关规定。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强化经费监控，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压缩开支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万元，与2022年预算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相持平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微软雅黑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执行八项规定，压缩开支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2064F"/>
    <w:rsid w:val="000F37E9"/>
    <w:rsid w:val="000F750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428D68D9"/>
    <w:rsid w:val="541F18BC"/>
    <w:rsid w:val="72A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s'x</cp:lastModifiedBy>
  <dcterms:modified xsi:type="dcterms:W3CDTF">2023-04-04T00:26:28Z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