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72"/>
          <w:szCs w:val="72"/>
        </w:rPr>
      </w:pPr>
      <w:bookmarkStart w:id="6" w:name="_GoBack"/>
      <w:bookmarkEnd w:id="6"/>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adjustRightInd w:val="0"/>
        <w:snapToGrid w:val="0"/>
        <w:jc w:val="center"/>
        <w:outlineLvl w:val="0"/>
        <w:rPr>
          <w:rFonts w:ascii="方正小标宋_GBK" w:eastAsia="方正小标宋_GBK"/>
          <w:b/>
          <w:sz w:val="72"/>
          <w:szCs w:val="72"/>
        </w:rPr>
      </w:pPr>
      <w:r>
        <w:rPr>
          <w:rFonts w:hint="eastAsia" w:ascii="方正小标宋_GBK" w:eastAsia="方正小标宋_GBK"/>
          <w:b/>
          <w:sz w:val="72"/>
          <w:szCs w:val="72"/>
        </w:rPr>
        <w:t>建设项目环境影响报告表</w:t>
      </w:r>
    </w:p>
    <w:p>
      <w:pPr>
        <w:adjustRightInd w:val="0"/>
        <w:snapToGrid w:val="0"/>
        <w:spacing w:before="192" w:beforeLines="80"/>
        <w:jc w:val="center"/>
        <w:rPr>
          <w:rFonts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rPr>
          <w:rFonts w:ascii="华文仿宋" w:hAnsi="华文仿宋" w:eastAsia="华文仿宋" w:cs="华文仿宋"/>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1080" w:firstLineChars="300"/>
        <w:jc w:val="left"/>
        <w:rPr>
          <w:rFonts w:ascii="仿宋_GB2312" w:eastAsia="仿宋_GB2312"/>
          <w:sz w:val="36"/>
          <w:szCs w:val="36"/>
          <w:u w:val="single"/>
        </w:rPr>
      </w:pPr>
      <w:r>
        <w:rPr>
          <w:rFonts w:hint="eastAsia" w:ascii="仿宋_GB2312" w:eastAsia="仿宋_GB2312"/>
          <w:sz w:val="36"/>
          <w:szCs w:val="36"/>
        </w:rPr>
        <w:t>项目名称：</w:t>
      </w:r>
      <w:r>
        <w:rPr>
          <w:rFonts w:hint="eastAsia" w:ascii="仿宋_GB2312" w:eastAsia="仿宋_GB2312"/>
          <w:sz w:val="36"/>
          <w:szCs w:val="36"/>
          <w:u w:val="single"/>
        </w:rPr>
        <w:t xml:space="preserve"> 年产20万平方米轻质隔墙板项目  </w:t>
      </w:r>
    </w:p>
    <w:p>
      <w:pPr>
        <w:adjustRightInd w:val="0"/>
        <w:snapToGrid w:val="0"/>
        <w:spacing w:line="288" w:lineRule="auto"/>
        <w:ind w:firstLine="1080" w:firstLineChars="300"/>
        <w:jc w:val="left"/>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安徽筑上建材有限责任公司</w:t>
      </w:r>
    </w:p>
    <w:p>
      <w:pPr>
        <w:adjustRightInd w:val="0"/>
        <w:snapToGrid w:val="0"/>
        <w:spacing w:line="288" w:lineRule="auto"/>
        <w:ind w:firstLine="1080" w:firstLineChars="300"/>
        <w:jc w:val="left"/>
        <w:rPr>
          <w:rFonts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eastAsia="仿宋_GB2312"/>
          <w:sz w:val="36"/>
          <w:szCs w:val="36"/>
          <w:u w:val="single"/>
        </w:rPr>
        <w:t xml:space="preserve"> </w:t>
      </w:r>
      <w:r>
        <w:rPr>
          <w:rFonts w:hint="eastAsia" w:eastAsia="仿宋_GB2312"/>
          <w:sz w:val="36"/>
          <w:szCs w:val="36"/>
          <w:u w:val="single"/>
        </w:rPr>
        <w:t xml:space="preserve">     </w:t>
      </w:r>
      <w:r>
        <w:rPr>
          <w:rFonts w:eastAsia="仿宋_GB2312"/>
          <w:sz w:val="36"/>
          <w:szCs w:val="36"/>
          <w:u w:val="single"/>
        </w:rPr>
        <w:t>202</w:t>
      </w:r>
      <w:r>
        <w:rPr>
          <w:rFonts w:hint="eastAsia" w:eastAsia="仿宋_GB2312"/>
          <w:sz w:val="36"/>
          <w:szCs w:val="36"/>
          <w:u w:val="single"/>
        </w:rPr>
        <w:t>3</w:t>
      </w:r>
      <w:r>
        <w:rPr>
          <w:rFonts w:eastAsia="仿宋_GB2312"/>
          <w:sz w:val="36"/>
          <w:szCs w:val="36"/>
          <w:u w:val="single"/>
        </w:rPr>
        <w:t>年</w:t>
      </w:r>
      <w:r>
        <w:rPr>
          <w:rFonts w:hint="eastAsia" w:eastAsia="仿宋_GB2312"/>
          <w:sz w:val="36"/>
          <w:szCs w:val="36"/>
          <w:u w:val="single"/>
          <w:lang w:val="en-US" w:eastAsia="zh-CN"/>
        </w:rPr>
        <w:t>7</w:t>
      </w:r>
      <w:r>
        <w:rPr>
          <w:rFonts w:hint="eastAsia" w:ascii="仿宋_GB2312" w:eastAsia="仿宋_GB2312"/>
          <w:sz w:val="36"/>
          <w:szCs w:val="36"/>
          <w:u w:val="single"/>
        </w:rPr>
        <w:t xml:space="preserve">月            </w:t>
      </w:r>
    </w:p>
    <w:p>
      <w:pPr>
        <w:adjustRightInd w:val="0"/>
        <w:snapToGrid w:val="0"/>
        <w:spacing w:line="288" w:lineRule="auto"/>
        <w:ind w:firstLine="1040"/>
        <w:rPr>
          <w:rFonts w:ascii="仿宋_GB2312" w:eastAsia="仿宋_GB2312"/>
          <w:sz w:val="36"/>
          <w:szCs w:val="36"/>
          <w:u w:val="single"/>
        </w:rPr>
      </w:pP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ascii="仿宋_GB2312" w:eastAsia="仿宋_GB2312"/>
          <w:sz w:val="36"/>
          <w:szCs w:val="36"/>
        </w:rPr>
      </w:pPr>
    </w:p>
    <w:bookmarkEnd w:id="0"/>
    <w:p>
      <w:pPr>
        <w:adjustRightInd w:val="0"/>
        <w:snapToGrid w:val="0"/>
        <w:spacing w:line="288" w:lineRule="auto"/>
        <w:jc w:val="center"/>
        <w:rPr>
          <w:rFonts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NumType w:start="3"/>
          <w:cols w:space="720" w:num="1"/>
          <w:docGrid w:linePitch="312" w:charSpace="0"/>
        </w:sectPr>
      </w:pPr>
    </w:p>
    <w:p>
      <w:pPr>
        <w:sectPr>
          <w:headerReference r:id="rId5" w:type="default"/>
          <w:footerReference r:id="rId6" w:type="default"/>
          <w:pgSz w:w="11906" w:h="16838"/>
          <w:pgMar w:top="1701" w:right="1531" w:bottom="1701" w:left="1531" w:header="851" w:footer="1077" w:gutter="0"/>
          <w:pgNumType w:start="3"/>
          <w:cols w:space="720" w:num="1"/>
          <w:docGrid w:linePitch="312" w:charSpace="0"/>
        </w:sectPr>
      </w:pPr>
    </w:p>
    <w:p>
      <w:pPr>
        <w:pStyle w:val="20"/>
        <w:jc w:val="center"/>
        <w:outlineLvl w:val="0"/>
        <w:rPr>
          <w:rFonts w:ascii="黑体" w:hAnsi="黑体" w:eastAsia="黑体"/>
          <w:snapToGrid w:val="0"/>
          <w:sz w:val="30"/>
          <w:szCs w:val="30"/>
        </w:rPr>
      </w:pPr>
      <w:r>
        <w:rPr>
          <w:rFonts w:hint="eastAsia" w:ascii="黑体" w:hAnsi="黑体"/>
          <w:snapToGrid w:val="0"/>
          <w:sz w:val="30"/>
          <w:szCs w:val="30"/>
        </w:rPr>
        <w:t>一、建设项目基本情况</w:t>
      </w:r>
    </w:p>
    <w:tbl>
      <w:tblPr>
        <w:tblStyle w:val="24"/>
        <w:tblW w:w="88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382"/>
        <w:gridCol w:w="1637"/>
        <w:gridCol w:w="2212"/>
        <w:gridCol w:w="26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建设项目名称</w:t>
            </w:r>
          </w:p>
        </w:tc>
        <w:tc>
          <w:tcPr>
            <w:tcW w:w="6488" w:type="dxa"/>
            <w:gridSpan w:val="3"/>
            <w:vAlign w:val="center"/>
          </w:tcPr>
          <w:p>
            <w:pPr>
              <w:adjustRightInd w:val="0"/>
              <w:snapToGrid w:val="0"/>
              <w:jc w:val="center"/>
            </w:pPr>
            <w:r>
              <w:t>年产20万平方米轻质隔墙板项目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项目代码</w:t>
            </w:r>
          </w:p>
        </w:tc>
        <w:tc>
          <w:tcPr>
            <w:tcW w:w="6488" w:type="dxa"/>
            <w:gridSpan w:val="3"/>
            <w:vAlign w:val="center"/>
          </w:tcPr>
          <w:p>
            <w:pPr>
              <w:adjustRightInd w:val="0"/>
              <w:snapToGrid w:val="0"/>
              <w:jc w:val="center"/>
              <w:rPr>
                <w:color w:val="FF0000"/>
              </w:rPr>
            </w:pPr>
            <w:r>
              <w:t>2301-341324-04-03-627756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建设单位联系人</w:t>
            </w:r>
          </w:p>
        </w:tc>
        <w:tc>
          <w:tcPr>
            <w:tcW w:w="1637" w:type="dxa"/>
            <w:vAlign w:val="center"/>
          </w:tcPr>
          <w:p>
            <w:pPr>
              <w:adjustRightInd w:val="0"/>
              <w:snapToGrid w:val="0"/>
              <w:jc w:val="center"/>
            </w:pPr>
            <w:r>
              <w:t>宋长云</w:t>
            </w:r>
          </w:p>
        </w:tc>
        <w:tc>
          <w:tcPr>
            <w:tcW w:w="2212" w:type="dxa"/>
            <w:vAlign w:val="center"/>
          </w:tcPr>
          <w:p>
            <w:pPr>
              <w:adjustRightInd w:val="0"/>
              <w:snapToGrid w:val="0"/>
              <w:jc w:val="center"/>
            </w:pPr>
            <w:r>
              <w:t>联系方式</w:t>
            </w:r>
          </w:p>
        </w:tc>
        <w:tc>
          <w:tcPr>
            <w:tcW w:w="2639" w:type="dxa"/>
            <w:vAlign w:val="center"/>
          </w:tcPr>
          <w:p>
            <w:pPr>
              <w:widowControl/>
              <w:jc w:val="center"/>
            </w:pPr>
            <w:r>
              <w:t>15556262956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建设地点</w:t>
            </w:r>
          </w:p>
        </w:tc>
        <w:tc>
          <w:tcPr>
            <w:tcW w:w="6488" w:type="dxa"/>
            <w:gridSpan w:val="3"/>
            <w:vAlign w:val="center"/>
          </w:tcPr>
          <w:p>
            <w:pPr>
              <w:widowControl/>
              <w:jc w:val="center"/>
              <w:rPr>
                <w:kern w:val="0"/>
                <w:szCs w:val="21"/>
              </w:rPr>
            </w:pPr>
            <w:r>
              <w:rPr>
                <w:kern w:val="0"/>
                <w:szCs w:val="21"/>
              </w:rPr>
              <w:t>安徽省宿州市泗县草沟镇工业园区06号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rPr>
                <w:color w:val="000000" w:themeColor="text1"/>
                <w14:textFill>
                  <w14:solidFill>
                    <w14:schemeClr w14:val="tx1"/>
                  </w14:solidFill>
                </w14:textFill>
              </w:rPr>
            </w:pPr>
            <w:r>
              <w:rPr>
                <w:color w:val="000000" w:themeColor="text1"/>
                <w14:textFill>
                  <w14:solidFill>
                    <w14:schemeClr w14:val="tx1"/>
                  </w14:solidFill>
                </w14:textFill>
              </w:rPr>
              <w:t>地理坐标</w:t>
            </w:r>
          </w:p>
        </w:tc>
        <w:tc>
          <w:tcPr>
            <w:tcW w:w="6488" w:type="dxa"/>
            <w:gridSpan w:val="3"/>
            <w:vAlign w:val="center"/>
          </w:tcPr>
          <w:p>
            <w:pPr>
              <w:pStyle w:val="1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（经度：117度44分31.044秒，纬度：33度23分16.249秒）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2382" w:type="dxa"/>
            <w:tcMar>
              <w:top w:w="16" w:type="dxa"/>
              <w:left w:w="16" w:type="dxa"/>
              <w:right w:w="16" w:type="dxa"/>
            </w:tcMar>
            <w:vAlign w:val="center"/>
          </w:tcPr>
          <w:p>
            <w:pPr>
              <w:adjustRightInd w:val="0"/>
              <w:snapToGrid w:val="0"/>
              <w:jc w:val="center"/>
            </w:pPr>
            <w:r>
              <w:t>国民经济</w:t>
            </w:r>
          </w:p>
          <w:p>
            <w:pPr>
              <w:adjustRightInd w:val="0"/>
              <w:snapToGrid w:val="0"/>
              <w:jc w:val="center"/>
            </w:pPr>
            <w:r>
              <w:t>行业类别</w:t>
            </w:r>
          </w:p>
        </w:tc>
        <w:tc>
          <w:tcPr>
            <w:tcW w:w="1637" w:type="dxa"/>
            <w:vAlign w:val="center"/>
          </w:tcPr>
          <w:p>
            <w:pPr>
              <w:adjustRightInd w:val="0"/>
              <w:snapToGrid w:val="0"/>
              <w:jc w:val="center"/>
            </w:pPr>
            <w:r>
              <w:t>C3021水泥制品制造</w:t>
            </w:r>
          </w:p>
        </w:tc>
        <w:tc>
          <w:tcPr>
            <w:tcW w:w="2212" w:type="dxa"/>
            <w:vAlign w:val="center"/>
          </w:tcPr>
          <w:p>
            <w:pPr>
              <w:adjustRightInd w:val="0"/>
              <w:snapToGrid w:val="0"/>
              <w:jc w:val="center"/>
            </w:pPr>
            <w:bookmarkStart w:id="1" w:name="_Hlk49843745"/>
            <w:r>
              <w:t>建设项目</w:t>
            </w:r>
          </w:p>
          <w:p>
            <w:pPr>
              <w:adjustRightInd w:val="0"/>
              <w:snapToGrid w:val="0"/>
              <w:jc w:val="center"/>
            </w:pPr>
            <w:r>
              <w:t>行业类别</w:t>
            </w:r>
            <w:bookmarkEnd w:id="1"/>
          </w:p>
        </w:tc>
        <w:tc>
          <w:tcPr>
            <w:tcW w:w="2639" w:type="dxa"/>
            <w:vAlign w:val="center"/>
          </w:tcPr>
          <w:p>
            <w:pPr>
              <w:adjustRightInd w:val="0"/>
              <w:snapToGrid w:val="0"/>
              <w:jc w:val="center"/>
            </w:pPr>
            <w:r>
              <w:rPr>
                <w:rFonts w:hint="eastAsia"/>
              </w:rPr>
              <w:t>“</w:t>
            </w:r>
            <w:r>
              <w:t xml:space="preserve">二十七、非金属矿物制品业 30 </w:t>
            </w:r>
            <w:r>
              <w:rPr>
                <w:rFonts w:hint="eastAsia"/>
              </w:rPr>
              <w:t>”中“</w:t>
            </w:r>
            <w:r>
              <w:t>55石膏、水泥制品及类似制品制造 302 商品混凝土；砼结构构件制造；水泥制品制造</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2382" w:type="dxa"/>
            <w:tcMar>
              <w:top w:w="16" w:type="dxa"/>
              <w:left w:w="16" w:type="dxa"/>
              <w:right w:w="16" w:type="dxa"/>
            </w:tcMar>
            <w:vAlign w:val="center"/>
          </w:tcPr>
          <w:p>
            <w:pPr>
              <w:adjustRightInd w:val="0"/>
              <w:snapToGrid w:val="0"/>
              <w:jc w:val="center"/>
            </w:pPr>
            <w:r>
              <w:t>建设性质</w:t>
            </w:r>
          </w:p>
        </w:tc>
        <w:tc>
          <w:tcPr>
            <w:tcW w:w="1637" w:type="dxa"/>
            <w:vAlign w:val="center"/>
          </w:tcPr>
          <w:p>
            <w:pPr>
              <w:jc w:val="left"/>
            </w:pPr>
            <w:r>
              <w:rPr>
                <w:rFonts w:hint="eastAsia" w:ascii="宋体" w:hAnsi="宋体" w:cs="宋体"/>
              </w:rPr>
              <w:t>☑</w:t>
            </w:r>
            <w:r>
              <w:t>新建（迁建）</w:t>
            </w:r>
          </w:p>
          <w:p>
            <w:pPr>
              <w:jc w:val="left"/>
            </w:pPr>
            <w:r>
              <w:rPr>
                <w:rFonts w:hint="eastAsia" w:ascii="宋体" w:hAnsi="宋体" w:cs="宋体"/>
              </w:rPr>
              <w:t>□</w:t>
            </w:r>
            <w:r>
              <w:t>改建</w:t>
            </w:r>
          </w:p>
          <w:p>
            <w:pPr>
              <w:jc w:val="left"/>
            </w:pPr>
            <w:r>
              <w:rPr>
                <w:rFonts w:hint="eastAsia" w:ascii="宋体" w:hAnsi="宋体" w:cs="宋体"/>
              </w:rPr>
              <w:t>□</w:t>
            </w:r>
            <w:r>
              <w:t>扩建</w:t>
            </w:r>
          </w:p>
          <w:p>
            <w:pPr>
              <w:jc w:val="left"/>
            </w:pPr>
            <w:r>
              <w:rPr>
                <w:rFonts w:hint="eastAsia" w:ascii="宋体" w:hAnsi="宋体" w:cs="宋体"/>
              </w:rPr>
              <w:t>□</w:t>
            </w:r>
            <w:r>
              <w:t>技术改造</w:t>
            </w:r>
          </w:p>
        </w:tc>
        <w:tc>
          <w:tcPr>
            <w:tcW w:w="2212" w:type="dxa"/>
            <w:vAlign w:val="center"/>
          </w:tcPr>
          <w:p>
            <w:pPr>
              <w:adjustRightInd w:val="0"/>
              <w:snapToGrid w:val="0"/>
              <w:jc w:val="center"/>
            </w:pPr>
            <w:r>
              <w:t>建设项目</w:t>
            </w:r>
          </w:p>
          <w:p>
            <w:pPr>
              <w:adjustRightInd w:val="0"/>
              <w:snapToGrid w:val="0"/>
              <w:jc w:val="center"/>
            </w:pPr>
            <w:r>
              <w:t>申报情形</w:t>
            </w:r>
          </w:p>
        </w:tc>
        <w:tc>
          <w:tcPr>
            <w:tcW w:w="2639" w:type="dxa"/>
            <w:vAlign w:val="center"/>
          </w:tcPr>
          <w:p>
            <w:pPr>
              <w:jc w:val="left"/>
            </w:pPr>
            <w:r>
              <w:rPr>
                <w:rFonts w:hint="eastAsia" w:ascii="宋体" w:hAnsi="宋体" w:cs="宋体"/>
              </w:rPr>
              <w:t>☑</w:t>
            </w:r>
            <w:r>
              <w:t>首次申报项目</w:t>
            </w:r>
          </w:p>
          <w:p>
            <w:pPr>
              <w:jc w:val="left"/>
            </w:pPr>
            <w:r>
              <w:rPr>
                <w:rFonts w:hint="eastAsia" w:ascii="宋体" w:hAnsi="宋体" w:cs="宋体"/>
              </w:rPr>
              <w:t>□</w:t>
            </w:r>
            <w:r>
              <w:t>不予批准后再次申报项目</w:t>
            </w:r>
          </w:p>
          <w:p>
            <w:pPr>
              <w:jc w:val="left"/>
            </w:pPr>
            <w:r>
              <w:rPr>
                <w:rFonts w:hint="eastAsia" w:ascii="宋体" w:hAnsi="宋体" w:cs="宋体"/>
              </w:rPr>
              <w:t>□</w:t>
            </w:r>
            <w:r>
              <w:t>超五年重新审核项目</w:t>
            </w:r>
          </w:p>
          <w:p>
            <w:pPr>
              <w:jc w:val="left"/>
            </w:pPr>
            <w:r>
              <w:rPr>
                <w:rFonts w:hint="eastAsia" w:ascii="宋体" w:hAnsi="宋体" w:cs="宋体"/>
              </w:rPr>
              <w:t>□</w:t>
            </w:r>
            <w: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2382" w:type="dxa"/>
            <w:tcMar>
              <w:top w:w="16" w:type="dxa"/>
              <w:left w:w="16" w:type="dxa"/>
              <w:right w:w="16" w:type="dxa"/>
            </w:tcMar>
            <w:vAlign w:val="center"/>
          </w:tcPr>
          <w:p>
            <w:pPr>
              <w:adjustRightInd w:val="0"/>
              <w:snapToGrid w:val="0"/>
              <w:jc w:val="center"/>
            </w:pPr>
            <w:r>
              <w:t>项目审批（核准/</w:t>
            </w:r>
          </w:p>
          <w:p>
            <w:pPr>
              <w:adjustRightInd w:val="0"/>
              <w:snapToGrid w:val="0"/>
              <w:jc w:val="center"/>
            </w:pPr>
            <w:r>
              <w:t>备案）部门（选填）</w:t>
            </w:r>
          </w:p>
        </w:tc>
        <w:tc>
          <w:tcPr>
            <w:tcW w:w="1637" w:type="dxa"/>
            <w:vAlign w:val="center"/>
          </w:tcPr>
          <w:p>
            <w:pPr>
              <w:adjustRightInd w:val="0"/>
              <w:snapToGrid w:val="0"/>
              <w:jc w:val="center"/>
            </w:pPr>
            <w:r>
              <w:t>泗县发展和改革委员会</w:t>
            </w:r>
          </w:p>
        </w:tc>
        <w:tc>
          <w:tcPr>
            <w:tcW w:w="2212" w:type="dxa"/>
            <w:vAlign w:val="center"/>
          </w:tcPr>
          <w:p>
            <w:pPr>
              <w:adjustRightInd w:val="0"/>
              <w:snapToGrid w:val="0"/>
              <w:jc w:val="center"/>
            </w:pPr>
            <w:r>
              <w:t>项目审批（核准/</w:t>
            </w:r>
          </w:p>
          <w:p>
            <w:pPr>
              <w:adjustRightInd w:val="0"/>
              <w:snapToGrid w:val="0"/>
              <w:jc w:val="center"/>
            </w:pPr>
            <w:r>
              <w:t>备案）文号（选填）</w:t>
            </w:r>
          </w:p>
        </w:tc>
        <w:tc>
          <w:tcPr>
            <w:tcW w:w="2639" w:type="dxa"/>
            <w:vAlign w:val="center"/>
          </w:tcPr>
          <w:p>
            <w:pPr>
              <w:adjustRightInd w:val="0"/>
              <w:snapToGrid w:val="0"/>
              <w:jc w:val="center"/>
            </w:pPr>
            <w:r>
              <w:t>泗发改备案[202</w:t>
            </w:r>
            <w:r>
              <w:rPr>
                <w:rFonts w:hint="eastAsia"/>
              </w:rPr>
              <w:t>3</w:t>
            </w:r>
            <w:r>
              <w:t>]</w:t>
            </w:r>
            <w:r>
              <w:rPr>
                <w:rFonts w:hint="eastAsia"/>
              </w:rPr>
              <w:t>10</w:t>
            </w:r>
            <w: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总投资（万元）</w:t>
            </w:r>
          </w:p>
        </w:tc>
        <w:tc>
          <w:tcPr>
            <w:tcW w:w="1637" w:type="dxa"/>
            <w:vAlign w:val="center"/>
          </w:tcPr>
          <w:p>
            <w:pPr>
              <w:adjustRightInd w:val="0"/>
              <w:snapToGrid w:val="0"/>
              <w:jc w:val="center"/>
            </w:pPr>
            <w:r>
              <w:rPr>
                <w:rFonts w:hint="eastAsia"/>
              </w:rPr>
              <w:t>130</w:t>
            </w:r>
          </w:p>
        </w:tc>
        <w:tc>
          <w:tcPr>
            <w:tcW w:w="2212" w:type="dxa"/>
            <w:tcMar>
              <w:top w:w="16" w:type="dxa"/>
              <w:left w:w="16" w:type="dxa"/>
              <w:right w:w="16" w:type="dxa"/>
            </w:tcMar>
            <w:vAlign w:val="center"/>
          </w:tcPr>
          <w:p>
            <w:pPr>
              <w:adjustRightInd w:val="0"/>
              <w:snapToGrid w:val="0"/>
              <w:jc w:val="center"/>
            </w:pPr>
            <w:r>
              <w:t>环保投资（万元）</w:t>
            </w:r>
          </w:p>
        </w:tc>
        <w:tc>
          <w:tcPr>
            <w:tcW w:w="2639" w:type="dxa"/>
            <w:vAlign w:val="center"/>
          </w:tcPr>
          <w:p>
            <w:pPr>
              <w:adjustRightInd w:val="0"/>
              <w:snapToGrid w:val="0"/>
              <w:jc w:val="center"/>
            </w:pPr>
            <w:r>
              <w:rPr>
                <w:rFonts w:hint="eastAsia"/>
              </w:rPr>
              <w:t>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环保投资占比（%）</w:t>
            </w:r>
          </w:p>
        </w:tc>
        <w:tc>
          <w:tcPr>
            <w:tcW w:w="1637" w:type="dxa"/>
            <w:vAlign w:val="center"/>
          </w:tcPr>
          <w:p>
            <w:pPr>
              <w:adjustRightInd w:val="0"/>
              <w:snapToGrid w:val="0"/>
              <w:jc w:val="center"/>
            </w:pPr>
            <w:r>
              <w:rPr>
                <w:rFonts w:hint="eastAsia"/>
              </w:rPr>
              <w:t>15.38</w:t>
            </w:r>
          </w:p>
        </w:tc>
        <w:tc>
          <w:tcPr>
            <w:tcW w:w="2212" w:type="dxa"/>
            <w:tcMar>
              <w:top w:w="16" w:type="dxa"/>
              <w:left w:w="16" w:type="dxa"/>
              <w:right w:w="16" w:type="dxa"/>
            </w:tcMar>
            <w:vAlign w:val="center"/>
          </w:tcPr>
          <w:p>
            <w:pPr>
              <w:adjustRightInd w:val="0"/>
              <w:snapToGrid w:val="0"/>
              <w:jc w:val="center"/>
            </w:pPr>
            <w:r>
              <w:t>施工工期</w:t>
            </w:r>
          </w:p>
        </w:tc>
        <w:tc>
          <w:tcPr>
            <w:tcW w:w="2639" w:type="dxa"/>
            <w:vAlign w:val="center"/>
          </w:tcPr>
          <w:p>
            <w:pPr>
              <w:adjustRightInd w:val="0"/>
              <w:snapToGrid w:val="0"/>
              <w:jc w:val="center"/>
            </w:pPr>
            <w:r>
              <w:rPr>
                <w:rFonts w:hint="eastAsia"/>
              </w:rPr>
              <w:t>3</w:t>
            </w:r>
            <w: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2382" w:type="dxa"/>
            <w:tcMar>
              <w:top w:w="16" w:type="dxa"/>
              <w:left w:w="16" w:type="dxa"/>
              <w:right w:w="16" w:type="dxa"/>
            </w:tcMar>
            <w:vAlign w:val="center"/>
          </w:tcPr>
          <w:p>
            <w:pPr>
              <w:adjustRightInd w:val="0"/>
              <w:snapToGrid w:val="0"/>
              <w:jc w:val="center"/>
            </w:pPr>
            <w:r>
              <w:t>是否开工建设</w:t>
            </w:r>
          </w:p>
        </w:tc>
        <w:tc>
          <w:tcPr>
            <w:tcW w:w="1637" w:type="dxa"/>
            <w:vAlign w:val="center"/>
          </w:tcPr>
          <w:p>
            <w:pPr>
              <w:adjustRightInd w:val="0"/>
              <w:snapToGrid w:val="0"/>
            </w:pPr>
            <w:r>
              <w:rPr>
                <w:rFonts w:hint="eastAsia" w:ascii="宋体" w:hAnsi="宋体" w:cs="宋体"/>
              </w:rPr>
              <w:t>☑</w:t>
            </w:r>
            <w:r>
              <w:t>否</w:t>
            </w:r>
          </w:p>
          <w:p>
            <w:pPr>
              <w:adjustRightInd w:val="0"/>
              <w:snapToGrid w:val="0"/>
            </w:pPr>
            <w:r>
              <w:rPr>
                <w:rFonts w:hint="eastAsia" w:ascii="宋体" w:hAnsi="宋体" w:cs="宋体"/>
              </w:rPr>
              <w:t>□</w:t>
            </w:r>
            <w:r>
              <w:t>是：</w:t>
            </w:r>
            <w:r>
              <w:rPr>
                <w:u w:val="single"/>
              </w:rPr>
              <w:t xml:space="preserve">             </w:t>
            </w:r>
          </w:p>
        </w:tc>
        <w:tc>
          <w:tcPr>
            <w:tcW w:w="2212" w:type="dxa"/>
            <w:tcMar>
              <w:top w:w="16" w:type="dxa"/>
              <w:left w:w="16" w:type="dxa"/>
              <w:right w:w="16" w:type="dxa"/>
            </w:tcMar>
            <w:vAlign w:val="center"/>
          </w:tcPr>
          <w:p>
            <w:pPr>
              <w:adjustRightInd w:val="0"/>
              <w:snapToGrid w:val="0"/>
              <w:jc w:val="center"/>
              <w:rPr>
                <w:spacing w:val="-6"/>
              </w:rPr>
            </w:pPr>
            <w:r>
              <w:rPr>
                <w:spacing w:val="-6"/>
              </w:rPr>
              <w:t>用地（用海）</w:t>
            </w:r>
          </w:p>
          <w:p>
            <w:pPr>
              <w:adjustRightInd w:val="0"/>
              <w:snapToGrid w:val="0"/>
              <w:jc w:val="center"/>
            </w:pPr>
            <w:r>
              <w:rPr>
                <w:spacing w:val="-6"/>
              </w:rPr>
              <w:t>面积（m</w:t>
            </w:r>
            <w:r>
              <w:rPr>
                <w:spacing w:val="-6"/>
                <w:vertAlign w:val="superscript"/>
              </w:rPr>
              <w:t>2</w:t>
            </w:r>
            <w:r>
              <w:rPr>
                <w:spacing w:val="-6"/>
              </w:rPr>
              <w:t>）</w:t>
            </w:r>
          </w:p>
        </w:tc>
        <w:tc>
          <w:tcPr>
            <w:tcW w:w="2639" w:type="dxa"/>
            <w:vAlign w:val="center"/>
          </w:tcPr>
          <w:p>
            <w:pPr>
              <w:adjustRightInd w:val="0"/>
              <w:snapToGrid w:val="0"/>
              <w:jc w:val="center"/>
            </w:pPr>
            <w:r>
              <w:rPr>
                <w:rFonts w:hint="eastAsia"/>
              </w:rPr>
              <w:t>13000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382" w:type="dxa"/>
            <w:vAlign w:val="center"/>
          </w:tcPr>
          <w:p>
            <w:pPr>
              <w:autoSpaceDE w:val="0"/>
              <w:autoSpaceDN w:val="0"/>
              <w:adjustRightInd w:val="0"/>
              <w:snapToGrid w:val="0"/>
              <w:jc w:val="center"/>
              <w:rPr>
                <w:kern w:val="0"/>
              </w:rPr>
            </w:pPr>
            <w:r>
              <w:rPr>
                <w:kern w:val="0"/>
              </w:rPr>
              <w:t>专项评价设置情况</w:t>
            </w:r>
          </w:p>
        </w:tc>
        <w:tc>
          <w:tcPr>
            <w:tcW w:w="6488" w:type="dxa"/>
            <w:gridSpan w:val="3"/>
            <w:vAlign w:val="center"/>
          </w:tcPr>
          <w:p>
            <w:pPr>
              <w:autoSpaceDE w:val="0"/>
              <w:autoSpaceDN w:val="0"/>
              <w:adjustRightInd w:val="0"/>
              <w:snapToGrid w:val="0"/>
              <w:jc w:val="center"/>
              <w:rPr>
                <w:kern w:val="0"/>
              </w:rPr>
            </w:pPr>
            <w:r>
              <w:rPr>
                <w:lang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382" w:type="dxa"/>
            <w:vAlign w:val="center"/>
          </w:tcPr>
          <w:p>
            <w:pPr>
              <w:autoSpaceDE w:val="0"/>
              <w:autoSpaceDN w:val="0"/>
              <w:adjustRightInd w:val="0"/>
              <w:snapToGrid w:val="0"/>
              <w:jc w:val="center"/>
              <w:rPr>
                <w:kern w:val="0"/>
              </w:rPr>
            </w:pPr>
            <w:r>
              <w:rPr>
                <w:kern w:val="0"/>
              </w:rPr>
              <w:t>规划情况</w:t>
            </w:r>
          </w:p>
        </w:tc>
        <w:tc>
          <w:tcPr>
            <w:tcW w:w="6488" w:type="dxa"/>
            <w:gridSpan w:val="3"/>
            <w:vAlign w:val="center"/>
          </w:tcPr>
          <w:p>
            <w:pPr>
              <w:autoSpaceDE w:val="0"/>
              <w:autoSpaceDN w:val="0"/>
              <w:adjustRightInd w:val="0"/>
              <w:snapToGrid w:val="0"/>
              <w:jc w:val="center"/>
              <w:rPr>
                <w:kern w:val="0"/>
              </w:rPr>
            </w:pPr>
            <w:r>
              <w:rPr>
                <w:rFonts w:hint="eastAsia"/>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2382" w:type="dxa"/>
            <w:vAlign w:val="center"/>
          </w:tcPr>
          <w:p>
            <w:pPr>
              <w:autoSpaceDE w:val="0"/>
              <w:autoSpaceDN w:val="0"/>
              <w:adjustRightInd w:val="0"/>
              <w:snapToGrid w:val="0"/>
              <w:jc w:val="center"/>
              <w:rPr>
                <w:kern w:val="0"/>
              </w:rPr>
            </w:pPr>
            <w:r>
              <w:rPr>
                <w:kern w:val="0"/>
              </w:rPr>
              <w:t>规划环境影响</w:t>
            </w:r>
          </w:p>
          <w:p>
            <w:pPr>
              <w:autoSpaceDE w:val="0"/>
              <w:autoSpaceDN w:val="0"/>
              <w:adjustRightInd w:val="0"/>
              <w:snapToGrid w:val="0"/>
              <w:jc w:val="center"/>
              <w:rPr>
                <w:kern w:val="0"/>
              </w:rPr>
            </w:pPr>
            <w:r>
              <w:rPr>
                <w:kern w:val="0"/>
              </w:rPr>
              <w:t>评价情况</w:t>
            </w:r>
          </w:p>
        </w:tc>
        <w:tc>
          <w:tcPr>
            <w:tcW w:w="6488" w:type="dxa"/>
            <w:gridSpan w:val="3"/>
            <w:vAlign w:val="center"/>
          </w:tcPr>
          <w:p>
            <w:pPr>
              <w:autoSpaceDE w:val="0"/>
              <w:autoSpaceDN w:val="0"/>
              <w:adjustRightInd w:val="0"/>
              <w:snapToGrid w:val="0"/>
              <w:jc w:val="center"/>
              <w:rPr>
                <w:kern w:val="0"/>
              </w:rPr>
            </w:pPr>
            <w:r>
              <w:rPr>
                <w:rFonts w:hint="eastAsia"/>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82" w:type="dxa"/>
            <w:vMerge w:val="restart"/>
            <w:vAlign w:val="center"/>
          </w:tcPr>
          <w:p>
            <w:pPr>
              <w:autoSpaceDE w:val="0"/>
              <w:autoSpaceDN w:val="0"/>
              <w:adjustRightInd w:val="0"/>
              <w:snapToGrid w:val="0"/>
              <w:jc w:val="center"/>
              <w:rPr>
                <w:kern w:val="0"/>
              </w:rPr>
            </w:pPr>
            <w:r>
              <w:rPr>
                <w:kern w:val="0"/>
              </w:rPr>
              <w:t>规划及规划环境</w:t>
            </w:r>
          </w:p>
          <w:p>
            <w:pPr>
              <w:autoSpaceDE w:val="0"/>
              <w:autoSpaceDN w:val="0"/>
              <w:adjustRightInd w:val="0"/>
              <w:snapToGrid w:val="0"/>
              <w:jc w:val="center"/>
              <w:rPr>
                <w:kern w:val="0"/>
              </w:rPr>
            </w:pPr>
            <w:r>
              <w:rPr>
                <w:kern w:val="0"/>
              </w:rPr>
              <w:t>影响评价符合性分析</w:t>
            </w:r>
          </w:p>
        </w:tc>
        <w:tc>
          <w:tcPr>
            <w:tcW w:w="6488" w:type="dxa"/>
            <w:gridSpan w:val="3"/>
            <w:vMerge w:val="restart"/>
            <w:vAlign w:val="center"/>
          </w:tcPr>
          <w:p>
            <w:pPr>
              <w:autoSpaceDE w:val="0"/>
              <w:autoSpaceDN w:val="0"/>
              <w:adjustRightInd w:val="0"/>
              <w:snapToGrid w:val="0"/>
              <w:jc w:val="center"/>
              <w:rPr>
                <w:kern w:val="0"/>
              </w:rPr>
            </w:pPr>
            <w:r>
              <w:rPr>
                <w:rFonts w:hint="eastAsia"/>
                <w:kern w:val="0"/>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82" w:type="dxa"/>
            <w:vMerge w:val="continue"/>
            <w:vAlign w:val="center"/>
          </w:tcPr>
          <w:p>
            <w:pPr>
              <w:autoSpaceDE w:val="0"/>
              <w:autoSpaceDN w:val="0"/>
              <w:adjustRightInd w:val="0"/>
              <w:snapToGrid w:val="0"/>
              <w:jc w:val="center"/>
              <w:rPr>
                <w:kern w:val="0"/>
              </w:rPr>
            </w:pPr>
          </w:p>
        </w:tc>
        <w:tc>
          <w:tcPr>
            <w:tcW w:w="6488" w:type="dxa"/>
            <w:gridSpan w:val="3"/>
            <w:vMerge w:val="continue"/>
            <w:vAlign w:val="center"/>
          </w:tcPr>
          <w:p>
            <w:pPr>
              <w:widowControl/>
              <w:snapToGrid w:val="0"/>
              <w:spacing w:line="360" w:lineRule="auto"/>
              <w:jc w:val="lef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82" w:type="dxa"/>
            <w:vMerge w:val="continue"/>
            <w:vAlign w:val="center"/>
          </w:tcPr>
          <w:p>
            <w:pPr>
              <w:autoSpaceDE w:val="0"/>
              <w:autoSpaceDN w:val="0"/>
              <w:adjustRightInd w:val="0"/>
              <w:snapToGrid w:val="0"/>
              <w:jc w:val="center"/>
              <w:rPr>
                <w:kern w:val="0"/>
              </w:rPr>
            </w:pPr>
          </w:p>
        </w:tc>
        <w:tc>
          <w:tcPr>
            <w:tcW w:w="6488" w:type="dxa"/>
            <w:gridSpan w:val="3"/>
            <w:vMerge w:val="continue"/>
            <w:vAlign w:val="center"/>
          </w:tcPr>
          <w:p>
            <w:pPr>
              <w:widowControl/>
              <w:snapToGrid w:val="0"/>
              <w:spacing w:line="360" w:lineRule="auto"/>
              <w:jc w:val="lef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382" w:type="dxa"/>
            <w:vMerge w:val="continue"/>
            <w:vAlign w:val="center"/>
          </w:tcPr>
          <w:p>
            <w:pPr>
              <w:autoSpaceDE w:val="0"/>
              <w:autoSpaceDN w:val="0"/>
              <w:adjustRightInd w:val="0"/>
              <w:snapToGrid w:val="0"/>
              <w:jc w:val="center"/>
              <w:rPr>
                <w:kern w:val="0"/>
              </w:rPr>
            </w:pPr>
          </w:p>
        </w:tc>
        <w:tc>
          <w:tcPr>
            <w:tcW w:w="6488" w:type="dxa"/>
            <w:gridSpan w:val="3"/>
            <w:vMerge w:val="continue"/>
            <w:vAlign w:val="center"/>
          </w:tcPr>
          <w:p>
            <w:pPr>
              <w:widowControl/>
              <w:spacing w:line="360" w:lineRule="auto"/>
              <w:ind w:firstLine="480" w:firstLineChars="200"/>
              <w:jc w:val="left"/>
              <w:rPr>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45" w:hRule="atLeast"/>
          <w:jc w:val="center"/>
        </w:trPr>
        <w:tc>
          <w:tcPr>
            <w:tcW w:w="2382" w:type="dxa"/>
            <w:vAlign w:val="center"/>
          </w:tcPr>
          <w:p>
            <w:pPr>
              <w:autoSpaceDE w:val="0"/>
              <w:autoSpaceDN w:val="0"/>
              <w:adjustRightInd w:val="0"/>
              <w:snapToGrid w:val="0"/>
              <w:jc w:val="center"/>
              <w:rPr>
                <w:kern w:val="0"/>
              </w:rPr>
            </w:pPr>
            <w:r>
              <w:rPr>
                <w:kern w:val="0"/>
              </w:rPr>
              <w:t>其他符合性分析</w:t>
            </w:r>
          </w:p>
        </w:tc>
        <w:tc>
          <w:tcPr>
            <w:tcW w:w="6488" w:type="dxa"/>
            <w:gridSpan w:val="3"/>
            <w:vAlign w:val="center"/>
          </w:tcPr>
          <w:p>
            <w:pPr>
              <w:pStyle w:val="45"/>
              <w:widowControl/>
              <w:spacing w:line="360" w:lineRule="auto"/>
              <w:ind w:firstLine="0" w:firstLineChars="0"/>
            </w:pPr>
            <w:r>
              <w:t>1、产业政策符合性分析</w:t>
            </w:r>
          </w:p>
          <w:p>
            <w:pPr>
              <w:spacing w:line="360" w:lineRule="auto"/>
              <w:ind w:firstLine="480" w:firstLineChars="200"/>
            </w:pPr>
            <w:r>
              <w:t>根据《产业结构调整指导目录》（2019年本</w:t>
            </w:r>
            <w:r>
              <w:rPr>
                <w:rFonts w:hint="eastAsia"/>
              </w:rPr>
              <w:t>及修订版）</w:t>
            </w:r>
            <w:r>
              <w:t>，本项目不属于鼓励类、限制类和淘汰类，属于允许类项目。</w:t>
            </w:r>
          </w:p>
          <w:p>
            <w:pPr>
              <w:spacing w:line="360" w:lineRule="auto"/>
              <w:ind w:firstLine="480" w:firstLineChars="200"/>
            </w:pPr>
            <w:r>
              <w:t>本项目已于</w:t>
            </w:r>
            <w:r>
              <w:rPr>
                <w:rFonts w:hint="eastAsia"/>
              </w:rPr>
              <w:t>2023年1月16日</w:t>
            </w:r>
            <w:r>
              <w:t>由泗县发展和改革委员会以泗发改备案【202</w:t>
            </w:r>
            <w:r>
              <w:rPr>
                <w:rFonts w:hint="eastAsia"/>
              </w:rPr>
              <w:t>3</w:t>
            </w:r>
            <w:r>
              <w:t>】</w:t>
            </w:r>
            <w:r>
              <w:rPr>
                <w:rFonts w:hint="eastAsia"/>
              </w:rPr>
              <w:t>10</w:t>
            </w:r>
            <w:r>
              <w:t>号予以备案。项目代码为</w:t>
            </w:r>
            <w:r>
              <w:rPr>
                <w:rFonts w:hint="eastAsia"/>
              </w:rPr>
              <w:t>2301-341324-04-03-627756</w:t>
            </w:r>
            <w:r>
              <w:t>。因此，</w:t>
            </w:r>
            <w:r>
              <w:rPr>
                <w:rFonts w:hint="eastAsia"/>
              </w:rPr>
              <w:t>本项目的建设符合</w:t>
            </w:r>
            <w:r>
              <w:t>国家和地方相关产业政策要求。</w:t>
            </w:r>
          </w:p>
          <w:p>
            <w:pPr>
              <w:pStyle w:val="20"/>
              <w:widowControl w:val="0"/>
              <w:spacing w:before="0" w:beforeAutospacing="0" w:after="0" w:afterAutospacing="0" w:line="360" w:lineRule="auto"/>
              <w:jc w:val="both"/>
            </w:pPr>
            <w:r>
              <w:rPr>
                <w:rFonts w:ascii="Times New Roman" w:hAnsi="Times New Roman"/>
              </w:rPr>
              <w:t>2、</w:t>
            </w:r>
            <w:r>
              <w:t>选址的符合性分析</w:t>
            </w:r>
          </w:p>
          <w:p>
            <w:pPr>
              <w:widowControl/>
              <w:spacing w:line="360" w:lineRule="auto"/>
              <w:ind w:firstLine="480" w:firstLineChars="200"/>
              <w:jc w:val="left"/>
            </w:pPr>
            <w:r>
              <w:t>本项目</w:t>
            </w:r>
            <w:r>
              <w:rPr>
                <w:rFonts w:hint="eastAsia"/>
              </w:rPr>
              <w:t>位于安徽省宿州市泗县草沟镇工业园区06号</w:t>
            </w:r>
            <w:r>
              <w:t>，根据</w:t>
            </w:r>
            <w:r>
              <w:rPr>
                <w:rFonts w:hint="eastAsia"/>
              </w:rPr>
              <w:t>附件4 土地性质证明文件</w:t>
            </w:r>
            <w:r>
              <w:t>，项目所在地属于工业用地，符合泗县总体发展规划。</w:t>
            </w:r>
          </w:p>
          <w:p>
            <w:pPr>
              <w:autoSpaceDE w:val="0"/>
              <w:autoSpaceDN w:val="0"/>
              <w:adjustRightInd w:val="0"/>
              <w:spacing w:line="360" w:lineRule="auto"/>
              <w:ind w:firstLine="480" w:firstLineChars="200"/>
            </w:pPr>
            <w:r>
              <w:t>项目</w:t>
            </w:r>
            <w:r>
              <w:rPr>
                <w:rFonts w:hint="eastAsia"/>
              </w:rPr>
              <w:t>东侧</w:t>
            </w:r>
            <w:r>
              <w:t>为</w:t>
            </w:r>
            <w:r>
              <w:rPr>
                <w:rFonts w:hint="eastAsia"/>
              </w:rPr>
              <w:t>空地</w:t>
            </w:r>
            <w:r>
              <w:t>，南侧为</w:t>
            </w:r>
            <w:r>
              <w:rPr>
                <w:rFonts w:hint="eastAsia"/>
              </w:rPr>
              <w:t>泗县通元公路工程有限责任公司</w:t>
            </w:r>
            <w:r>
              <w:t>，</w:t>
            </w:r>
            <w:r>
              <w:rPr>
                <w:rFonts w:hint="eastAsia"/>
              </w:rPr>
              <w:t>西侧为道路</w:t>
            </w:r>
            <w:r>
              <w:t>，北侧为</w:t>
            </w:r>
            <w:r>
              <w:rPr>
                <w:rFonts w:hint="eastAsia"/>
              </w:rPr>
              <w:t>泗县强英饲料有限公司</w:t>
            </w:r>
            <w:r>
              <w:t>，</w:t>
            </w:r>
            <w:r>
              <w:rPr>
                <w:rFonts w:hint="eastAsia"/>
              </w:rPr>
              <w:t>企业间生产影响较小可以兼容。厂界</w:t>
            </w:r>
            <w:r>
              <w:t>周边无饮用水源保护区、自然保护区、风景名胜区、生态环境敏感区等环境保护目标，产生的污染物不会对周围环境造成重大影响，项目与周边环境相容。项目运营消耗资源主要为</w:t>
            </w:r>
            <w:r>
              <w:rPr>
                <w:rFonts w:hint="eastAsia"/>
              </w:rPr>
              <w:t>水、电</w:t>
            </w:r>
            <w:r>
              <w:t>，项目用水为生活用水、生产用水，项目耗电量和消耗水量相对区域资源利用总量较少，满足项目建设外部条件要求。</w:t>
            </w:r>
          </w:p>
          <w:p>
            <w:pPr>
              <w:pStyle w:val="45"/>
              <w:spacing w:line="360" w:lineRule="auto"/>
            </w:pPr>
            <w:r>
              <w:t>总体来说，本项目不会对所在区域环境造成较大影响。</w:t>
            </w:r>
          </w:p>
          <w:p>
            <w:pPr>
              <w:spacing w:line="360" w:lineRule="auto"/>
            </w:pPr>
            <w:r>
              <w:t>3、“三线一单”符合性分析：</w:t>
            </w:r>
          </w:p>
          <w:p>
            <w:pPr>
              <w:spacing w:line="360" w:lineRule="auto"/>
              <w:ind w:firstLine="480"/>
            </w:pPr>
            <w:r>
              <w:t>（1）生态保护红线</w:t>
            </w:r>
          </w:p>
          <w:p>
            <w:pPr>
              <w:autoSpaceDE w:val="0"/>
              <w:autoSpaceDN w:val="0"/>
              <w:adjustRightInd w:val="0"/>
              <w:snapToGrid w:val="0"/>
              <w:spacing w:line="360" w:lineRule="auto"/>
              <w:ind w:firstLine="480" w:firstLineChars="200"/>
              <w:jc w:val="left"/>
            </w:pPr>
            <w:r>
              <w:t>宿州市生态保护红线已由宿州市人民政府于2020年12月</w:t>
            </w:r>
            <w:r>
              <w:rPr>
                <w:rFonts w:hint="eastAsia"/>
              </w:rPr>
              <w:t>发布</w:t>
            </w:r>
            <w:r>
              <w:t>。宿州市生态保护红线基于安徽省政府发布的《安徽省生态保护红线》（皖政秘</w:t>
            </w:r>
            <w:r>
              <w:rPr>
                <w:rFonts w:hint="eastAsia"/>
              </w:rPr>
              <w:t>【</w:t>
            </w:r>
            <w:r>
              <w:t>2018</w:t>
            </w:r>
            <w:r>
              <w:rPr>
                <w:rFonts w:hint="eastAsia"/>
              </w:rPr>
              <w:t>】</w:t>
            </w:r>
            <w:r>
              <w:t>120号）</w:t>
            </w:r>
            <w:r>
              <w:rPr>
                <w:rFonts w:hint="eastAsia"/>
              </w:rPr>
              <w:t>，宿州市的生态保护红线主要分布在以下片区：</w:t>
            </w:r>
          </w:p>
          <w:p>
            <w:pPr>
              <w:adjustRightInd w:val="0"/>
              <w:snapToGrid w:val="0"/>
              <w:spacing w:line="360" w:lineRule="auto"/>
              <w:jc w:val="center"/>
              <w:rPr>
                <w:b/>
                <w:bCs/>
              </w:rPr>
            </w:pPr>
            <w:r>
              <w:rPr>
                <w:rFonts w:hint="eastAsia"/>
                <w:b/>
                <w:bCs/>
              </w:rPr>
              <w:t>表</w:t>
            </w:r>
            <w:r>
              <w:rPr>
                <w:b/>
                <w:bCs/>
              </w:rPr>
              <w:t>1</w:t>
            </w:r>
            <w:r>
              <w:rPr>
                <w:rFonts w:hint="eastAsia"/>
                <w:b/>
                <w:bCs/>
              </w:rPr>
              <w:t xml:space="preserve">-1  </w:t>
            </w:r>
            <w:r>
              <w:rPr>
                <w:b/>
                <w:bCs/>
              </w:rPr>
              <w:t>宿州市生态保护红线登记表</w:t>
            </w:r>
          </w:p>
          <w:tbl>
            <w:tblPr>
              <w:tblStyle w:val="24"/>
              <w:tblW w:w="6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876"/>
              <w:gridCol w:w="959"/>
              <w:gridCol w:w="2486"/>
              <w:gridCol w:w="689"/>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vAlign w:val="center"/>
                </w:tcPr>
                <w:p>
                  <w:pPr>
                    <w:jc w:val="center"/>
                    <w:rPr>
                      <w:b/>
                      <w:bCs/>
                      <w:sz w:val="21"/>
                      <w:szCs w:val="21"/>
                    </w:rPr>
                  </w:pPr>
                  <w:r>
                    <w:rPr>
                      <w:b/>
                      <w:bCs/>
                      <w:sz w:val="21"/>
                      <w:szCs w:val="21"/>
                    </w:rPr>
                    <w:t>类型</w:t>
                  </w:r>
                </w:p>
              </w:tc>
              <w:tc>
                <w:tcPr>
                  <w:tcW w:w="876" w:type="dxa"/>
                  <w:vAlign w:val="center"/>
                </w:tcPr>
                <w:p>
                  <w:pPr>
                    <w:jc w:val="center"/>
                    <w:rPr>
                      <w:b/>
                      <w:bCs/>
                      <w:sz w:val="21"/>
                      <w:szCs w:val="21"/>
                    </w:rPr>
                  </w:pPr>
                  <w:r>
                    <w:rPr>
                      <w:b/>
                      <w:bCs/>
                      <w:sz w:val="21"/>
                      <w:szCs w:val="21"/>
                    </w:rPr>
                    <w:t>名称</w:t>
                  </w:r>
                </w:p>
              </w:tc>
              <w:tc>
                <w:tcPr>
                  <w:tcW w:w="959" w:type="dxa"/>
                  <w:vAlign w:val="center"/>
                </w:tcPr>
                <w:p>
                  <w:pPr>
                    <w:jc w:val="center"/>
                    <w:rPr>
                      <w:b/>
                      <w:bCs/>
                      <w:sz w:val="21"/>
                      <w:szCs w:val="21"/>
                    </w:rPr>
                  </w:pPr>
                  <w:r>
                    <w:rPr>
                      <w:b/>
                      <w:bCs/>
                      <w:sz w:val="21"/>
                      <w:szCs w:val="21"/>
                    </w:rPr>
                    <w:t>生态系统特征</w:t>
                  </w:r>
                </w:p>
              </w:tc>
              <w:tc>
                <w:tcPr>
                  <w:tcW w:w="2486" w:type="dxa"/>
                  <w:vAlign w:val="center"/>
                </w:tcPr>
                <w:p>
                  <w:pPr>
                    <w:jc w:val="center"/>
                    <w:rPr>
                      <w:b/>
                      <w:bCs/>
                      <w:sz w:val="21"/>
                      <w:szCs w:val="21"/>
                    </w:rPr>
                  </w:pPr>
                  <w:r>
                    <w:rPr>
                      <w:b/>
                      <w:bCs/>
                      <w:sz w:val="21"/>
                      <w:szCs w:val="21"/>
                    </w:rPr>
                    <w:t>保护地名录</w:t>
                  </w:r>
                </w:p>
              </w:tc>
              <w:tc>
                <w:tcPr>
                  <w:tcW w:w="689" w:type="dxa"/>
                  <w:vAlign w:val="center"/>
                </w:tcPr>
                <w:p>
                  <w:pPr>
                    <w:jc w:val="center"/>
                    <w:rPr>
                      <w:b/>
                      <w:bCs/>
                      <w:sz w:val="21"/>
                      <w:szCs w:val="21"/>
                    </w:rPr>
                  </w:pPr>
                  <w:r>
                    <w:rPr>
                      <w:b/>
                      <w:bCs/>
                      <w:sz w:val="21"/>
                      <w:szCs w:val="21"/>
                    </w:rPr>
                    <w:t>所属</w:t>
                  </w:r>
                </w:p>
                <w:p>
                  <w:pPr>
                    <w:jc w:val="center"/>
                    <w:rPr>
                      <w:b/>
                      <w:bCs/>
                      <w:sz w:val="21"/>
                      <w:szCs w:val="21"/>
                    </w:rPr>
                  </w:pPr>
                  <w:r>
                    <w:rPr>
                      <w:b/>
                      <w:bCs/>
                      <w:sz w:val="21"/>
                      <w:szCs w:val="21"/>
                    </w:rPr>
                    <w:t>行政区</w:t>
                  </w:r>
                </w:p>
              </w:tc>
              <w:tc>
                <w:tcPr>
                  <w:tcW w:w="667" w:type="dxa"/>
                  <w:vAlign w:val="center"/>
                </w:tcPr>
                <w:p>
                  <w:pPr>
                    <w:jc w:val="center"/>
                    <w:rPr>
                      <w:b/>
                      <w:bCs/>
                      <w:sz w:val="21"/>
                      <w:szCs w:val="21"/>
                    </w:rPr>
                  </w:pPr>
                  <w:r>
                    <w:rPr>
                      <w:b/>
                      <w:bCs/>
                      <w:sz w:val="21"/>
                      <w:szCs w:val="21"/>
                    </w:rPr>
                    <w:t>面积</w:t>
                  </w:r>
                </w:p>
                <w:p>
                  <w:pPr>
                    <w:jc w:val="center"/>
                    <w:rPr>
                      <w:b/>
                      <w:bCs/>
                      <w:sz w:val="21"/>
                      <w:szCs w:val="21"/>
                    </w:rPr>
                  </w:pPr>
                  <w:r>
                    <w:rPr>
                      <w:b/>
                      <w:bCs/>
                      <w:sz w:val="21"/>
                      <w:szCs w:val="21"/>
                    </w:rPr>
                    <w:t>/km</w:t>
                  </w:r>
                  <w:r>
                    <w:rPr>
                      <w:b/>
                      <w:bCs/>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vMerge w:val="restart"/>
                  <w:vAlign w:val="center"/>
                </w:tcPr>
                <w:p>
                  <w:pPr>
                    <w:jc w:val="center"/>
                    <w:rPr>
                      <w:sz w:val="21"/>
                      <w:szCs w:val="21"/>
                    </w:rPr>
                  </w:pPr>
                  <w:r>
                    <w:rPr>
                      <w:sz w:val="21"/>
                      <w:szCs w:val="21"/>
                    </w:rPr>
                    <w:t>Ⅱ水土保持生态保护红线</w:t>
                  </w:r>
                </w:p>
              </w:tc>
              <w:tc>
                <w:tcPr>
                  <w:tcW w:w="876" w:type="dxa"/>
                  <w:vMerge w:val="restart"/>
                  <w:vAlign w:val="center"/>
                </w:tcPr>
                <w:p>
                  <w:pPr>
                    <w:jc w:val="center"/>
                    <w:rPr>
                      <w:sz w:val="21"/>
                      <w:szCs w:val="21"/>
                    </w:rPr>
                  </w:pPr>
                  <w:r>
                    <w:rPr>
                      <w:sz w:val="21"/>
                      <w:szCs w:val="21"/>
                    </w:rPr>
                    <w:t>Ⅱ-1淮北河间平原农产品提供及水土保持生态保护红线</w:t>
                  </w:r>
                </w:p>
              </w:tc>
              <w:tc>
                <w:tcPr>
                  <w:tcW w:w="959" w:type="dxa"/>
                  <w:vMerge w:val="restart"/>
                  <w:vAlign w:val="center"/>
                </w:tcPr>
                <w:p>
                  <w:pPr>
                    <w:jc w:val="center"/>
                    <w:rPr>
                      <w:sz w:val="21"/>
                      <w:szCs w:val="21"/>
                    </w:rPr>
                  </w:pPr>
                  <w:r>
                    <w:rPr>
                      <w:sz w:val="21"/>
                      <w:szCs w:val="21"/>
                    </w:rPr>
                    <w:t>暖温带落叶阔叶林带</w:t>
                  </w:r>
                </w:p>
              </w:tc>
              <w:tc>
                <w:tcPr>
                  <w:tcW w:w="2486" w:type="dxa"/>
                  <w:vMerge w:val="restart"/>
                  <w:vAlign w:val="center"/>
                </w:tcPr>
                <w:p>
                  <w:pPr>
                    <w:jc w:val="center"/>
                    <w:rPr>
                      <w:sz w:val="21"/>
                      <w:szCs w:val="21"/>
                    </w:rPr>
                  </w:pPr>
                  <w:r>
                    <w:rPr>
                      <w:sz w:val="21"/>
                      <w:szCs w:val="21"/>
                    </w:rPr>
                    <w:t>安徽灵璧磐云山国家地质公园、宿州市汴北水厂水源地、宿州市新水厂水源地、宿州市备用水源地</w:t>
                  </w:r>
                </w:p>
              </w:tc>
              <w:tc>
                <w:tcPr>
                  <w:tcW w:w="689" w:type="dxa"/>
                  <w:vAlign w:val="center"/>
                </w:tcPr>
                <w:p>
                  <w:pPr>
                    <w:jc w:val="center"/>
                    <w:rPr>
                      <w:sz w:val="21"/>
                      <w:szCs w:val="21"/>
                    </w:rPr>
                  </w:pPr>
                  <w:r>
                    <w:rPr>
                      <w:sz w:val="21"/>
                      <w:szCs w:val="21"/>
                    </w:rPr>
                    <w:t>灵璧县</w:t>
                  </w:r>
                </w:p>
              </w:tc>
              <w:tc>
                <w:tcPr>
                  <w:tcW w:w="667" w:type="dxa"/>
                  <w:vAlign w:val="center"/>
                </w:tcPr>
                <w:p>
                  <w:pPr>
                    <w:jc w:val="center"/>
                    <w:rPr>
                      <w:sz w:val="21"/>
                      <w:szCs w:val="21"/>
                    </w:rPr>
                  </w:pPr>
                  <w:r>
                    <w:rPr>
                      <w:sz w:val="21"/>
                      <w:szCs w:val="21"/>
                    </w:rPr>
                    <w:t>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vMerge w:val="continue"/>
                  <w:vAlign w:val="center"/>
                </w:tcPr>
                <w:p>
                  <w:pPr>
                    <w:jc w:val="center"/>
                    <w:rPr>
                      <w:sz w:val="21"/>
                      <w:szCs w:val="21"/>
                    </w:rPr>
                  </w:pPr>
                </w:p>
              </w:tc>
              <w:tc>
                <w:tcPr>
                  <w:tcW w:w="876" w:type="dxa"/>
                  <w:vMerge w:val="continue"/>
                  <w:vAlign w:val="center"/>
                </w:tcPr>
                <w:p>
                  <w:pPr>
                    <w:jc w:val="center"/>
                    <w:rPr>
                      <w:sz w:val="21"/>
                      <w:szCs w:val="21"/>
                    </w:rPr>
                  </w:pPr>
                </w:p>
              </w:tc>
              <w:tc>
                <w:tcPr>
                  <w:tcW w:w="959" w:type="dxa"/>
                  <w:vMerge w:val="continue"/>
                  <w:vAlign w:val="center"/>
                </w:tcPr>
                <w:p>
                  <w:pPr>
                    <w:jc w:val="center"/>
                    <w:rPr>
                      <w:sz w:val="21"/>
                      <w:szCs w:val="21"/>
                    </w:rPr>
                  </w:pPr>
                </w:p>
              </w:tc>
              <w:tc>
                <w:tcPr>
                  <w:tcW w:w="2486" w:type="dxa"/>
                  <w:vMerge w:val="continue"/>
                  <w:vAlign w:val="center"/>
                </w:tcPr>
                <w:p>
                  <w:pPr>
                    <w:jc w:val="center"/>
                    <w:rPr>
                      <w:sz w:val="21"/>
                      <w:szCs w:val="21"/>
                    </w:rPr>
                  </w:pPr>
                </w:p>
              </w:tc>
              <w:tc>
                <w:tcPr>
                  <w:tcW w:w="689" w:type="dxa"/>
                  <w:vAlign w:val="center"/>
                </w:tcPr>
                <w:p>
                  <w:pPr>
                    <w:jc w:val="center"/>
                    <w:rPr>
                      <w:sz w:val="21"/>
                      <w:szCs w:val="21"/>
                    </w:rPr>
                  </w:pPr>
                  <w:r>
                    <w:rPr>
                      <w:sz w:val="21"/>
                      <w:szCs w:val="21"/>
                    </w:rPr>
                    <w:t>泗县</w:t>
                  </w:r>
                </w:p>
              </w:tc>
              <w:tc>
                <w:tcPr>
                  <w:tcW w:w="667" w:type="dxa"/>
                  <w:vAlign w:val="center"/>
                </w:tcPr>
                <w:p>
                  <w:pPr>
                    <w:jc w:val="center"/>
                    <w:rPr>
                      <w:sz w:val="21"/>
                      <w:szCs w:val="21"/>
                    </w:rPr>
                  </w:pPr>
                  <w:r>
                    <w:rPr>
                      <w:sz w:val="21"/>
                      <w:szCs w:val="21"/>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vMerge w:val="continue"/>
                  <w:vAlign w:val="center"/>
                </w:tcPr>
                <w:p>
                  <w:pPr>
                    <w:jc w:val="center"/>
                    <w:rPr>
                      <w:sz w:val="21"/>
                      <w:szCs w:val="21"/>
                    </w:rPr>
                  </w:pPr>
                </w:p>
              </w:tc>
              <w:tc>
                <w:tcPr>
                  <w:tcW w:w="876" w:type="dxa"/>
                  <w:vMerge w:val="continue"/>
                  <w:vAlign w:val="center"/>
                </w:tcPr>
                <w:p>
                  <w:pPr>
                    <w:jc w:val="center"/>
                    <w:rPr>
                      <w:sz w:val="21"/>
                      <w:szCs w:val="21"/>
                    </w:rPr>
                  </w:pPr>
                </w:p>
              </w:tc>
              <w:tc>
                <w:tcPr>
                  <w:tcW w:w="959" w:type="dxa"/>
                  <w:vMerge w:val="continue"/>
                  <w:vAlign w:val="center"/>
                </w:tcPr>
                <w:p>
                  <w:pPr>
                    <w:jc w:val="center"/>
                    <w:rPr>
                      <w:sz w:val="21"/>
                      <w:szCs w:val="21"/>
                    </w:rPr>
                  </w:pPr>
                </w:p>
              </w:tc>
              <w:tc>
                <w:tcPr>
                  <w:tcW w:w="2486" w:type="dxa"/>
                  <w:vMerge w:val="continue"/>
                  <w:vAlign w:val="center"/>
                </w:tcPr>
                <w:p>
                  <w:pPr>
                    <w:jc w:val="center"/>
                    <w:rPr>
                      <w:sz w:val="21"/>
                      <w:szCs w:val="21"/>
                    </w:rPr>
                  </w:pPr>
                </w:p>
              </w:tc>
              <w:tc>
                <w:tcPr>
                  <w:tcW w:w="689" w:type="dxa"/>
                  <w:vAlign w:val="center"/>
                </w:tcPr>
                <w:p>
                  <w:pPr>
                    <w:jc w:val="center"/>
                    <w:rPr>
                      <w:sz w:val="21"/>
                      <w:szCs w:val="21"/>
                    </w:rPr>
                  </w:pPr>
                  <w:r>
                    <w:rPr>
                      <w:sz w:val="21"/>
                      <w:szCs w:val="21"/>
                    </w:rPr>
                    <w:t>埇桥区</w:t>
                  </w:r>
                </w:p>
              </w:tc>
              <w:tc>
                <w:tcPr>
                  <w:tcW w:w="667" w:type="dxa"/>
                  <w:vAlign w:val="center"/>
                </w:tcPr>
                <w:p>
                  <w:pPr>
                    <w:jc w:val="center"/>
                    <w:rPr>
                      <w:sz w:val="21"/>
                      <w:szCs w:val="21"/>
                    </w:rPr>
                  </w:pPr>
                  <w:r>
                    <w:rPr>
                      <w:sz w:val="21"/>
                      <w:szCs w:val="21"/>
                    </w:rPr>
                    <w:t>13.32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vMerge w:val="restart"/>
                  <w:vAlign w:val="center"/>
                </w:tcPr>
                <w:p>
                  <w:pPr>
                    <w:jc w:val="center"/>
                    <w:rPr>
                      <w:sz w:val="21"/>
                      <w:szCs w:val="21"/>
                    </w:rPr>
                  </w:pPr>
                  <w:r>
                    <w:rPr>
                      <w:sz w:val="21"/>
                      <w:szCs w:val="21"/>
                    </w:rPr>
                    <w:t>Ⅲ生物多样性维护生态保护红线</w:t>
                  </w:r>
                </w:p>
              </w:tc>
              <w:tc>
                <w:tcPr>
                  <w:tcW w:w="876" w:type="dxa"/>
                  <w:vMerge w:val="restart"/>
                  <w:vAlign w:val="center"/>
                </w:tcPr>
                <w:p>
                  <w:pPr>
                    <w:jc w:val="center"/>
                    <w:rPr>
                      <w:sz w:val="21"/>
                      <w:szCs w:val="21"/>
                    </w:rPr>
                  </w:pPr>
                  <w:r>
                    <w:rPr>
                      <w:sz w:val="21"/>
                      <w:szCs w:val="21"/>
                    </w:rPr>
                    <w:t>Ⅲ-1淮北平原北部生物多样性维护及水土保持生态保护红线</w:t>
                  </w:r>
                </w:p>
              </w:tc>
              <w:tc>
                <w:tcPr>
                  <w:tcW w:w="959" w:type="dxa"/>
                  <w:vMerge w:val="restart"/>
                  <w:vAlign w:val="center"/>
                </w:tcPr>
                <w:p>
                  <w:pPr>
                    <w:jc w:val="center"/>
                    <w:rPr>
                      <w:sz w:val="21"/>
                      <w:szCs w:val="21"/>
                    </w:rPr>
                  </w:pPr>
                  <w:r>
                    <w:rPr>
                      <w:sz w:val="21"/>
                      <w:szCs w:val="21"/>
                    </w:rPr>
                    <w:t>暖温带落叶阔叶林带</w:t>
                  </w:r>
                </w:p>
              </w:tc>
              <w:tc>
                <w:tcPr>
                  <w:tcW w:w="2486" w:type="dxa"/>
                  <w:vMerge w:val="restart"/>
                  <w:vAlign w:val="center"/>
                </w:tcPr>
                <w:p>
                  <w:pPr>
                    <w:jc w:val="center"/>
                    <w:rPr>
                      <w:sz w:val="21"/>
                      <w:szCs w:val="21"/>
                    </w:rPr>
                  </w:pPr>
                  <w:r>
                    <w:rPr>
                      <w:sz w:val="21"/>
                      <w:szCs w:val="21"/>
                    </w:rPr>
                    <w:t>安徽砀山黄河故道湿地自然保护区、安徽萧县皇藏峪省级自然保护区、安徽萧县黄河故道省级自然保护区、安徽宿州大方寺省级自然保护区、安徽砀山酥梨种质资源省级自然保护区、皇藏峪风景名胜区（核心景区）、五柳风景名胜区（核心景区）、皇藏峪国家森林公园（生态保育区和核心景观区）、古黄河省级森林公园、梅山省级森林公园、安徽砀山古黄河省级地质公园、故黄河砀山段黄河鲤国家级水产种质资源保护区</w:t>
                  </w:r>
                </w:p>
              </w:tc>
              <w:tc>
                <w:tcPr>
                  <w:tcW w:w="689" w:type="dxa"/>
                  <w:vAlign w:val="center"/>
                </w:tcPr>
                <w:p>
                  <w:pPr>
                    <w:jc w:val="center"/>
                    <w:rPr>
                      <w:sz w:val="21"/>
                      <w:szCs w:val="21"/>
                    </w:rPr>
                  </w:pPr>
                  <w:r>
                    <w:rPr>
                      <w:sz w:val="21"/>
                      <w:szCs w:val="21"/>
                    </w:rPr>
                    <w:t>砀山县</w:t>
                  </w:r>
                </w:p>
              </w:tc>
              <w:tc>
                <w:tcPr>
                  <w:tcW w:w="667" w:type="dxa"/>
                  <w:vAlign w:val="center"/>
                </w:tcPr>
                <w:p>
                  <w:pPr>
                    <w:jc w:val="center"/>
                    <w:rPr>
                      <w:sz w:val="21"/>
                      <w:szCs w:val="21"/>
                    </w:rPr>
                  </w:pPr>
                  <w:r>
                    <w:rPr>
                      <w:sz w:val="21"/>
                      <w:szCs w:val="21"/>
                    </w:rPr>
                    <w:t>363.73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vMerge w:val="continue"/>
                  <w:vAlign w:val="center"/>
                </w:tcPr>
                <w:p>
                  <w:pPr>
                    <w:jc w:val="center"/>
                    <w:rPr>
                      <w:sz w:val="21"/>
                      <w:szCs w:val="21"/>
                    </w:rPr>
                  </w:pPr>
                </w:p>
              </w:tc>
              <w:tc>
                <w:tcPr>
                  <w:tcW w:w="876" w:type="dxa"/>
                  <w:vMerge w:val="continue"/>
                  <w:vAlign w:val="center"/>
                </w:tcPr>
                <w:p>
                  <w:pPr>
                    <w:jc w:val="center"/>
                    <w:rPr>
                      <w:sz w:val="21"/>
                      <w:szCs w:val="21"/>
                    </w:rPr>
                  </w:pPr>
                </w:p>
              </w:tc>
              <w:tc>
                <w:tcPr>
                  <w:tcW w:w="959" w:type="dxa"/>
                  <w:vMerge w:val="continue"/>
                  <w:vAlign w:val="center"/>
                </w:tcPr>
                <w:p>
                  <w:pPr>
                    <w:jc w:val="center"/>
                    <w:rPr>
                      <w:sz w:val="21"/>
                      <w:szCs w:val="21"/>
                    </w:rPr>
                  </w:pPr>
                </w:p>
              </w:tc>
              <w:tc>
                <w:tcPr>
                  <w:tcW w:w="2486" w:type="dxa"/>
                  <w:vMerge w:val="continue"/>
                  <w:vAlign w:val="center"/>
                </w:tcPr>
                <w:p>
                  <w:pPr>
                    <w:jc w:val="center"/>
                    <w:rPr>
                      <w:sz w:val="21"/>
                      <w:szCs w:val="21"/>
                    </w:rPr>
                  </w:pPr>
                </w:p>
              </w:tc>
              <w:tc>
                <w:tcPr>
                  <w:tcW w:w="689" w:type="dxa"/>
                  <w:vAlign w:val="center"/>
                </w:tcPr>
                <w:p>
                  <w:pPr>
                    <w:jc w:val="center"/>
                    <w:rPr>
                      <w:sz w:val="21"/>
                      <w:szCs w:val="21"/>
                    </w:rPr>
                  </w:pPr>
                  <w:r>
                    <w:rPr>
                      <w:sz w:val="21"/>
                      <w:szCs w:val="21"/>
                    </w:rPr>
                    <w:t>灵璧县</w:t>
                  </w:r>
                </w:p>
              </w:tc>
              <w:tc>
                <w:tcPr>
                  <w:tcW w:w="667" w:type="dxa"/>
                  <w:vAlign w:val="center"/>
                </w:tcPr>
                <w:p>
                  <w:pPr>
                    <w:jc w:val="center"/>
                    <w:rPr>
                      <w:sz w:val="21"/>
                      <w:szCs w:val="21"/>
                    </w:rPr>
                  </w:pPr>
                  <w:r>
                    <w:rPr>
                      <w:sz w:val="21"/>
                      <w:szCs w:val="21"/>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vMerge w:val="continue"/>
                  <w:vAlign w:val="center"/>
                </w:tcPr>
                <w:p>
                  <w:pPr>
                    <w:jc w:val="center"/>
                    <w:rPr>
                      <w:sz w:val="21"/>
                      <w:szCs w:val="21"/>
                    </w:rPr>
                  </w:pPr>
                </w:p>
              </w:tc>
              <w:tc>
                <w:tcPr>
                  <w:tcW w:w="876" w:type="dxa"/>
                  <w:vMerge w:val="continue"/>
                  <w:vAlign w:val="center"/>
                </w:tcPr>
                <w:p>
                  <w:pPr>
                    <w:jc w:val="center"/>
                    <w:rPr>
                      <w:sz w:val="21"/>
                      <w:szCs w:val="21"/>
                    </w:rPr>
                  </w:pPr>
                </w:p>
              </w:tc>
              <w:tc>
                <w:tcPr>
                  <w:tcW w:w="959" w:type="dxa"/>
                  <w:vMerge w:val="continue"/>
                  <w:vAlign w:val="center"/>
                </w:tcPr>
                <w:p>
                  <w:pPr>
                    <w:jc w:val="center"/>
                    <w:rPr>
                      <w:sz w:val="21"/>
                      <w:szCs w:val="21"/>
                    </w:rPr>
                  </w:pPr>
                </w:p>
              </w:tc>
              <w:tc>
                <w:tcPr>
                  <w:tcW w:w="2486" w:type="dxa"/>
                  <w:vMerge w:val="continue"/>
                  <w:vAlign w:val="center"/>
                </w:tcPr>
                <w:p>
                  <w:pPr>
                    <w:jc w:val="center"/>
                    <w:rPr>
                      <w:sz w:val="21"/>
                      <w:szCs w:val="21"/>
                    </w:rPr>
                  </w:pPr>
                </w:p>
              </w:tc>
              <w:tc>
                <w:tcPr>
                  <w:tcW w:w="689" w:type="dxa"/>
                  <w:vAlign w:val="center"/>
                </w:tcPr>
                <w:p>
                  <w:pPr>
                    <w:jc w:val="center"/>
                    <w:rPr>
                      <w:sz w:val="21"/>
                      <w:szCs w:val="21"/>
                    </w:rPr>
                  </w:pPr>
                  <w:r>
                    <w:rPr>
                      <w:sz w:val="21"/>
                      <w:szCs w:val="21"/>
                    </w:rPr>
                    <w:t>萧县</w:t>
                  </w:r>
                </w:p>
              </w:tc>
              <w:tc>
                <w:tcPr>
                  <w:tcW w:w="667" w:type="dxa"/>
                  <w:vAlign w:val="center"/>
                </w:tcPr>
                <w:p>
                  <w:pPr>
                    <w:jc w:val="center"/>
                    <w:rPr>
                      <w:sz w:val="21"/>
                      <w:szCs w:val="21"/>
                    </w:rPr>
                  </w:pPr>
                  <w:r>
                    <w:rPr>
                      <w:sz w:val="21"/>
                      <w:szCs w:val="21"/>
                    </w:rPr>
                    <w:t>123.40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vMerge w:val="continue"/>
                  <w:vAlign w:val="center"/>
                </w:tcPr>
                <w:p>
                  <w:pPr>
                    <w:jc w:val="center"/>
                    <w:rPr>
                      <w:sz w:val="21"/>
                      <w:szCs w:val="21"/>
                    </w:rPr>
                  </w:pPr>
                </w:p>
              </w:tc>
              <w:tc>
                <w:tcPr>
                  <w:tcW w:w="876" w:type="dxa"/>
                  <w:vMerge w:val="continue"/>
                  <w:vAlign w:val="center"/>
                </w:tcPr>
                <w:p>
                  <w:pPr>
                    <w:jc w:val="center"/>
                    <w:rPr>
                      <w:sz w:val="21"/>
                      <w:szCs w:val="21"/>
                    </w:rPr>
                  </w:pPr>
                </w:p>
              </w:tc>
              <w:tc>
                <w:tcPr>
                  <w:tcW w:w="959" w:type="dxa"/>
                  <w:vMerge w:val="continue"/>
                  <w:vAlign w:val="center"/>
                </w:tcPr>
                <w:p>
                  <w:pPr>
                    <w:jc w:val="center"/>
                    <w:rPr>
                      <w:sz w:val="21"/>
                      <w:szCs w:val="21"/>
                    </w:rPr>
                  </w:pPr>
                </w:p>
              </w:tc>
              <w:tc>
                <w:tcPr>
                  <w:tcW w:w="2486" w:type="dxa"/>
                  <w:vMerge w:val="continue"/>
                  <w:vAlign w:val="center"/>
                </w:tcPr>
                <w:p>
                  <w:pPr>
                    <w:jc w:val="center"/>
                    <w:rPr>
                      <w:sz w:val="21"/>
                      <w:szCs w:val="21"/>
                    </w:rPr>
                  </w:pPr>
                </w:p>
              </w:tc>
              <w:tc>
                <w:tcPr>
                  <w:tcW w:w="689" w:type="dxa"/>
                  <w:vAlign w:val="center"/>
                </w:tcPr>
                <w:p>
                  <w:pPr>
                    <w:jc w:val="center"/>
                    <w:rPr>
                      <w:sz w:val="21"/>
                      <w:szCs w:val="21"/>
                    </w:rPr>
                  </w:pPr>
                  <w:r>
                    <w:rPr>
                      <w:sz w:val="21"/>
                      <w:szCs w:val="21"/>
                    </w:rPr>
                    <w:t>埇桥区</w:t>
                  </w:r>
                </w:p>
              </w:tc>
              <w:tc>
                <w:tcPr>
                  <w:tcW w:w="667" w:type="dxa"/>
                  <w:vAlign w:val="center"/>
                </w:tcPr>
                <w:p>
                  <w:pPr>
                    <w:jc w:val="center"/>
                    <w:rPr>
                      <w:sz w:val="21"/>
                      <w:szCs w:val="21"/>
                    </w:rPr>
                  </w:pPr>
                  <w:r>
                    <w:rPr>
                      <w:sz w:val="21"/>
                      <w:szCs w:val="21"/>
                    </w:rPr>
                    <w:t>111.08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vMerge w:val="restart"/>
                  <w:vAlign w:val="center"/>
                </w:tcPr>
                <w:p>
                  <w:pPr>
                    <w:jc w:val="center"/>
                    <w:rPr>
                      <w:sz w:val="21"/>
                      <w:szCs w:val="21"/>
                    </w:rPr>
                  </w:pPr>
                  <w:r>
                    <w:rPr>
                      <w:sz w:val="21"/>
                      <w:szCs w:val="21"/>
                    </w:rPr>
                    <w:t>Ⅲ生物多样性维护生态保护红线</w:t>
                  </w:r>
                </w:p>
              </w:tc>
              <w:tc>
                <w:tcPr>
                  <w:tcW w:w="876" w:type="dxa"/>
                  <w:vMerge w:val="restart"/>
                  <w:vAlign w:val="center"/>
                </w:tcPr>
                <w:p>
                  <w:pPr>
                    <w:jc w:val="center"/>
                    <w:rPr>
                      <w:sz w:val="21"/>
                      <w:szCs w:val="21"/>
                    </w:rPr>
                  </w:pPr>
                  <w:r>
                    <w:rPr>
                      <w:sz w:val="21"/>
                      <w:szCs w:val="21"/>
                    </w:rPr>
                    <w:t>Ⅲ-5淮河中下游湖泊洼地生物多样性维护生态保护红线</w:t>
                  </w:r>
                </w:p>
              </w:tc>
              <w:tc>
                <w:tcPr>
                  <w:tcW w:w="959" w:type="dxa"/>
                  <w:vMerge w:val="restart"/>
                  <w:vAlign w:val="center"/>
                </w:tcPr>
                <w:p>
                  <w:pPr>
                    <w:jc w:val="center"/>
                    <w:rPr>
                      <w:sz w:val="21"/>
                      <w:szCs w:val="21"/>
                    </w:rPr>
                  </w:pPr>
                  <w:r>
                    <w:rPr>
                      <w:sz w:val="21"/>
                      <w:szCs w:val="21"/>
                    </w:rPr>
                    <w:t>暖温带与北亚热带落叶阔叶林过渡带；河流和湖泊湿地类型为主</w:t>
                  </w:r>
                </w:p>
              </w:tc>
              <w:tc>
                <w:tcPr>
                  <w:tcW w:w="2486" w:type="dxa"/>
                  <w:vMerge w:val="restart"/>
                  <w:vAlign w:val="center"/>
                </w:tcPr>
                <w:p>
                  <w:pPr>
                    <w:jc w:val="center"/>
                    <w:rPr>
                      <w:sz w:val="21"/>
                      <w:szCs w:val="21"/>
                    </w:rPr>
                  </w:pPr>
                  <w:r>
                    <w:rPr>
                      <w:sz w:val="21"/>
                      <w:szCs w:val="21"/>
                    </w:rPr>
                    <w:t>安徽泗县沱河省级自然保护区、石龙湖国家湿地公园</w:t>
                  </w:r>
                </w:p>
              </w:tc>
              <w:tc>
                <w:tcPr>
                  <w:tcW w:w="689" w:type="dxa"/>
                  <w:vAlign w:val="center"/>
                </w:tcPr>
                <w:p>
                  <w:pPr>
                    <w:jc w:val="center"/>
                    <w:rPr>
                      <w:sz w:val="21"/>
                      <w:szCs w:val="21"/>
                    </w:rPr>
                  </w:pPr>
                  <w:r>
                    <w:rPr>
                      <w:sz w:val="21"/>
                      <w:szCs w:val="21"/>
                    </w:rPr>
                    <w:t>灵璧县</w:t>
                  </w:r>
                </w:p>
              </w:tc>
              <w:tc>
                <w:tcPr>
                  <w:tcW w:w="667" w:type="dxa"/>
                  <w:vAlign w:val="center"/>
                </w:tcPr>
                <w:p>
                  <w:pPr>
                    <w:jc w:val="center"/>
                    <w:rPr>
                      <w:sz w:val="21"/>
                      <w:szCs w:val="21"/>
                    </w:rPr>
                  </w:pPr>
                  <w:r>
                    <w:rPr>
                      <w:sz w:val="21"/>
                      <w:szCs w:val="21"/>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85" w:type="dxa"/>
                  <w:vMerge w:val="continue"/>
                  <w:vAlign w:val="center"/>
                </w:tcPr>
                <w:p>
                  <w:pPr>
                    <w:jc w:val="center"/>
                    <w:rPr>
                      <w:sz w:val="21"/>
                      <w:szCs w:val="21"/>
                    </w:rPr>
                  </w:pPr>
                </w:p>
              </w:tc>
              <w:tc>
                <w:tcPr>
                  <w:tcW w:w="876" w:type="dxa"/>
                  <w:vMerge w:val="continue"/>
                  <w:vAlign w:val="center"/>
                </w:tcPr>
                <w:p>
                  <w:pPr>
                    <w:jc w:val="center"/>
                    <w:rPr>
                      <w:sz w:val="21"/>
                      <w:szCs w:val="21"/>
                    </w:rPr>
                  </w:pPr>
                </w:p>
              </w:tc>
              <w:tc>
                <w:tcPr>
                  <w:tcW w:w="959" w:type="dxa"/>
                  <w:vMerge w:val="continue"/>
                  <w:vAlign w:val="center"/>
                </w:tcPr>
                <w:p>
                  <w:pPr>
                    <w:jc w:val="center"/>
                    <w:rPr>
                      <w:sz w:val="21"/>
                      <w:szCs w:val="21"/>
                    </w:rPr>
                  </w:pPr>
                </w:p>
              </w:tc>
              <w:tc>
                <w:tcPr>
                  <w:tcW w:w="2486" w:type="dxa"/>
                  <w:vMerge w:val="continue"/>
                  <w:vAlign w:val="center"/>
                </w:tcPr>
                <w:p>
                  <w:pPr>
                    <w:jc w:val="center"/>
                    <w:rPr>
                      <w:sz w:val="21"/>
                      <w:szCs w:val="21"/>
                    </w:rPr>
                  </w:pPr>
                </w:p>
              </w:tc>
              <w:tc>
                <w:tcPr>
                  <w:tcW w:w="689" w:type="dxa"/>
                  <w:vAlign w:val="center"/>
                </w:tcPr>
                <w:p>
                  <w:pPr>
                    <w:jc w:val="center"/>
                    <w:rPr>
                      <w:sz w:val="21"/>
                      <w:szCs w:val="21"/>
                    </w:rPr>
                  </w:pPr>
                  <w:r>
                    <w:rPr>
                      <w:sz w:val="21"/>
                      <w:szCs w:val="21"/>
                    </w:rPr>
                    <w:t>泗县</w:t>
                  </w:r>
                </w:p>
              </w:tc>
              <w:tc>
                <w:tcPr>
                  <w:tcW w:w="667" w:type="dxa"/>
                  <w:vAlign w:val="center"/>
                </w:tcPr>
                <w:p>
                  <w:pPr>
                    <w:jc w:val="center"/>
                    <w:rPr>
                      <w:sz w:val="21"/>
                      <w:szCs w:val="21"/>
                    </w:rPr>
                  </w:pPr>
                  <w:r>
                    <w:rPr>
                      <w:sz w:val="21"/>
                      <w:szCs w:val="21"/>
                    </w:rPr>
                    <w:t>19.46</w:t>
                  </w:r>
                </w:p>
              </w:tc>
            </w:tr>
          </w:tbl>
          <w:p>
            <w:pPr>
              <w:autoSpaceDE w:val="0"/>
              <w:autoSpaceDN w:val="0"/>
              <w:adjustRightInd w:val="0"/>
              <w:snapToGrid w:val="0"/>
              <w:spacing w:before="120" w:beforeLines="50" w:line="360" w:lineRule="auto"/>
              <w:ind w:firstLine="480" w:firstLineChars="200"/>
              <w:jc w:val="left"/>
            </w:pPr>
            <w:r>
              <w:t>本项目</w:t>
            </w:r>
            <w:r>
              <w:rPr>
                <w:rFonts w:hint="eastAsia"/>
              </w:rPr>
              <w:t>位于安徽省宿州市泗县草沟镇工业园区06号</w:t>
            </w:r>
            <w:r>
              <w:t>，</w:t>
            </w:r>
            <w:r>
              <w:rPr>
                <w:rFonts w:hint="eastAsia"/>
              </w:rPr>
              <w:t>不在生态红线范围内</w:t>
            </w:r>
            <w:r>
              <w:t>，详见</w:t>
            </w:r>
            <w:r>
              <w:rPr>
                <w:rFonts w:hint="eastAsia"/>
              </w:rPr>
              <w:t>附图</w:t>
            </w:r>
            <w:r>
              <w:t>宿州市生态保护红线。因此，本项</w:t>
            </w:r>
            <w:r>
              <w:rPr>
                <w:rFonts w:hint="eastAsia"/>
              </w:rPr>
              <w:t>目的建设符合</w:t>
            </w:r>
            <w:r>
              <w:t>宿州市生态保护红线</w:t>
            </w:r>
            <w:r>
              <w:rPr>
                <w:rFonts w:hint="eastAsia"/>
              </w:rPr>
              <w:t>的要求</w:t>
            </w:r>
            <w:r>
              <w:t>。</w:t>
            </w:r>
          </w:p>
          <w:p>
            <w:pPr>
              <w:spacing w:line="360" w:lineRule="auto"/>
              <w:ind w:firstLine="480"/>
            </w:pPr>
            <w:r>
              <w:t>（2）环境质量底线</w:t>
            </w:r>
          </w:p>
          <w:p>
            <w:pPr>
              <w:widowControl/>
              <w:spacing w:line="360" w:lineRule="auto"/>
              <w:ind w:firstLine="480"/>
            </w:pPr>
            <w:r>
              <w:t>项目区域大气环境质量</w:t>
            </w:r>
            <w:r>
              <w:rPr>
                <w:rFonts w:hint="eastAsia"/>
                <w:lang w:bidi="ar"/>
              </w:rPr>
              <w:t>PM</w:t>
            </w:r>
            <w:r>
              <w:rPr>
                <w:rFonts w:hint="eastAsia"/>
                <w:vertAlign w:val="subscript"/>
                <w:lang w:bidi="ar"/>
              </w:rPr>
              <w:t>10</w:t>
            </w:r>
            <w:r>
              <w:rPr>
                <w:rFonts w:hint="eastAsia"/>
                <w:lang w:bidi="ar"/>
              </w:rPr>
              <w:t>、PM</w:t>
            </w:r>
            <w:r>
              <w:rPr>
                <w:rFonts w:hint="eastAsia"/>
                <w:vertAlign w:val="subscript"/>
                <w:lang w:bidi="ar"/>
              </w:rPr>
              <w:t>2.5</w:t>
            </w:r>
            <w:r>
              <w:t>不满足《环境空气质量标准》（GB3095-2012）二级标准，为改善环境空气质量情况，宿州市通过优化产业结构和布局，严格控制高耗能、高污染项目建设，对</w:t>
            </w:r>
            <w:r>
              <w:rPr>
                <w:rFonts w:hint="eastAsia"/>
              </w:rPr>
              <w:t>“</w:t>
            </w:r>
            <w:r>
              <w:t>散乱污</w:t>
            </w:r>
            <w:r>
              <w:rPr>
                <w:rFonts w:hint="eastAsia"/>
              </w:rPr>
              <w:t>”</w:t>
            </w:r>
            <w:r>
              <w:t>企业进行综合整治，加强扬尘综合整治，严格控制污染物新增排放量，大力发展清洁能源，加强区域工业废气的收集和处理，大力淘汰老旧车辆，加强区域联防联控，以及严格要求和管理企业，减少移动污染源的排放，严格施工和道路扬尘监管，则本地区的环境空气质量将逐渐得到改善。项目</w:t>
            </w:r>
            <w:r>
              <w:rPr>
                <w:rFonts w:hint="eastAsia"/>
              </w:rPr>
              <w:t>无废水外排</w:t>
            </w:r>
            <w:r>
              <w:t>。声环境质量可以满足《声环境质量标准》(GB3096-2008)中</w:t>
            </w:r>
            <w:r>
              <w:rPr>
                <w:rFonts w:hint="eastAsia"/>
              </w:rPr>
              <w:t>3类</w:t>
            </w:r>
            <w:r>
              <w:t>标准。固体废物分类收集，分类处置，均可得到合理处置。本项目产生的污染物均得到合理处置，不会触碰区域环境质量底线。</w:t>
            </w:r>
          </w:p>
          <w:p>
            <w:pPr>
              <w:spacing w:before="120" w:beforeLines="50" w:line="360" w:lineRule="auto"/>
              <w:ind w:firstLine="480" w:firstLineChars="200"/>
            </w:pPr>
            <w:r>
              <w:t>（</w:t>
            </w:r>
            <w:r>
              <w:rPr>
                <w:rFonts w:hint="eastAsia"/>
              </w:rPr>
              <w:t>3</w:t>
            </w:r>
            <w:r>
              <w:t>）资源利用上线</w:t>
            </w:r>
          </w:p>
          <w:p>
            <w:pPr>
              <w:spacing w:line="360" w:lineRule="auto"/>
              <w:ind w:firstLine="480" w:firstLineChars="200"/>
            </w:pPr>
            <w:r>
              <w:t>本项目所在地不属于资源、能源紧缺区域，且本项目用地性质为工业用地。从资源角度，本项目的建设充分利用了现有土地资源，减少了土地资源的浪费。从能源角度，本项目消耗能源主要为电，不消耗煤炭、天然气等资源，不突破当地资源利用上限要求。</w:t>
            </w:r>
          </w:p>
          <w:p>
            <w:pPr>
              <w:spacing w:line="360" w:lineRule="auto"/>
              <w:ind w:firstLine="480"/>
            </w:pPr>
            <w:r>
              <w:rPr>
                <w:rFonts w:hint="eastAsia"/>
              </w:rPr>
              <w:t>（4）环境准入负面订单</w:t>
            </w:r>
          </w:p>
          <w:p>
            <w:pPr>
              <w:spacing w:line="360" w:lineRule="auto"/>
              <w:ind w:firstLine="480" w:firstLineChars="200"/>
            </w:pPr>
            <w:r>
              <w:t>根据《产业结构调整指导目录》（2019年本</w:t>
            </w:r>
            <w:r>
              <w:rPr>
                <w:rFonts w:hint="eastAsia"/>
              </w:rPr>
              <w:t>及修订版）</w:t>
            </w:r>
            <w:r>
              <w:t>，本项目不属于鼓励类、限制类和淘汰类，属于允许类项目</w:t>
            </w:r>
            <w:r>
              <w:rPr>
                <w:color w:val="000000"/>
                <w:lang w:bidi="ar"/>
              </w:rPr>
              <w:t>，不在负面清单内。</w:t>
            </w:r>
          </w:p>
          <w:p>
            <w:pPr>
              <w:spacing w:line="360" w:lineRule="auto"/>
              <w:ind w:firstLine="480" w:firstLineChars="200"/>
            </w:pPr>
            <w:r>
              <w:t>综上分析，本项目建设符合</w:t>
            </w:r>
            <w:r>
              <w:rPr>
                <w:rFonts w:hint="eastAsia"/>
              </w:rPr>
              <w:t>“</w:t>
            </w:r>
            <w:r>
              <w:t>三线一单</w:t>
            </w:r>
            <w:r>
              <w:rPr>
                <w:rFonts w:hint="eastAsia"/>
              </w:rPr>
              <w:t>”</w:t>
            </w:r>
            <w:r>
              <w:t>的要求。</w:t>
            </w:r>
          </w:p>
          <w:p>
            <w:pPr>
              <w:widowControl/>
              <w:spacing w:line="360" w:lineRule="auto"/>
              <w:ind w:firstLine="480" w:firstLineChars="200"/>
              <w:jc w:val="left"/>
            </w:pPr>
            <w:r>
              <w:rPr>
                <w:rFonts w:hint="eastAsia"/>
              </w:rPr>
              <w:t>（5）生态环境分区管控要求</w:t>
            </w:r>
          </w:p>
          <w:p>
            <w:pPr>
              <w:spacing w:line="360" w:lineRule="auto"/>
              <w:ind w:firstLine="480" w:firstLineChars="200"/>
            </w:pPr>
            <w:r>
              <w:rPr>
                <w:rFonts w:hint="eastAsia"/>
              </w:rPr>
              <w:t>本项目位于安徽省宿州市泗县草沟镇工业园区06号，对照《宿州市“三线一单”生态环境准入清单》中环境管控单元划分，项目所在地大气环境、水环境属于重点管控区，土壤环境属于一般管控区。</w:t>
            </w:r>
          </w:p>
          <w:p>
            <w:pPr>
              <w:spacing w:line="360" w:lineRule="auto"/>
              <w:ind w:firstLine="480" w:firstLineChars="200"/>
            </w:pPr>
            <w:r>
              <w:rPr>
                <w:rFonts w:hint="eastAsia"/>
              </w:rPr>
              <w:t>项目位置与宿州市环境管控单元图详见附图。项目与宿州市“三线一单”生态环境准入清单符合性分析见下表。</w:t>
            </w:r>
          </w:p>
          <w:p>
            <w:pPr>
              <w:widowControl/>
              <w:snapToGrid w:val="0"/>
              <w:spacing w:before="60" w:after="160" w:line="360" w:lineRule="auto"/>
              <w:ind w:right="113"/>
              <w:jc w:val="center"/>
              <w:rPr>
                <w:b/>
                <w:bCs/>
                <w:kern w:val="0"/>
                <w:szCs w:val="28"/>
              </w:rPr>
            </w:pPr>
            <w:r>
              <w:rPr>
                <w:b/>
                <w:bCs/>
                <w:kern w:val="0"/>
                <w:szCs w:val="28"/>
              </w:rPr>
              <w:t>表1-</w:t>
            </w:r>
            <w:r>
              <w:rPr>
                <w:rFonts w:hint="eastAsia"/>
                <w:b/>
                <w:bCs/>
                <w:kern w:val="0"/>
                <w:szCs w:val="28"/>
              </w:rPr>
              <w:t>2</w:t>
            </w:r>
            <w:r>
              <w:rPr>
                <w:b/>
                <w:bCs/>
                <w:kern w:val="0"/>
                <w:szCs w:val="28"/>
              </w:rPr>
              <w:t xml:space="preserve">  项目与宿州市“三线一单”生态环境准入清单符合性分析一览表</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0"/>
              <w:gridCol w:w="387"/>
              <w:gridCol w:w="418"/>
              <w:gridCol w:w="359"/>
              <w:gridCol w:w="2443"/>
              <w:gridCol w:w="1843"/>
              <w:gridCol w:w="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Align w:val="center"/>
                </w:tcPr>
                <w:p>
                  <w:pPr>
                    <w:adjustRightInd w:val="0"/>
                    <w:snapToGrid w:val="0"/>
                    <w:jc w:val="center"/>
                    <w:rPr>
                      <w:b/>
                      <w:bCs/>
                      <w:sz w:val="21"/>
                      <w:szCs w:val="21"/>
                    </w:rPr>
                  </w:pPr>
                  <w:r>
                    <w:rPr>
                      <w:b/>
                      <w:bCs/>
                      <w:sz w:val="21"/>
                      <w:szCs w:val="21"/>
                    </w:rPr>
                    <w:t>分类</w:t>
                  </w:r>
                </w:p>
              </w:tc>
              <w:tc>
                <w:tcPr>
                  <w:tcW w:w="620" w:type="pct"/>
                  <w:gridSpan w:val="2"/>
                  <w:vAlign w:val="center"/>
                </w:tcPr>
                <w:p>
                  <w:pPr>
                    <w:adjustRightInd w:val="0"/>
                    <w:snapToGrid w:val="0"/>
                    <w:jc w:val="center"/>
                    <w:rPr>
                      <w:b/>
                      <w:bCs/>
                      <w:sz w:val="21"/>
                      <w:szCs w:val="21"/>
                    </w:rPr>
                  </w:pPr>
                  <w:r>
                    <w:rPr>
                      <w:b/>
                      <w:bCs/>
                      <w:sz w:val="21"/>
                      <w:szCs w:val="21"/>
                    </w:rPr>
                    <w:t>管控</w:t>
                  </w:r>
                </w:p>
              </w:tc>
              <w:tc>
                <w:tcPr>
                  <w:tcW w:w="1951" w:type="pct"/>
                  <w:vAlign w:val="center"/>
                </w:tcPr>
                <w:p>
                  <w:pPr>
                    <w:adjustRightInd w:val="0"/>
                    <w:snapToGrid w:val="0"/>
                    <w:jc w:val="center"/>
                    <w:rPr>
                      <w:b/>
                      <w:bCs/>
                      <w:sz w:val="21"/>
                      <w:szCs w:val="21"/>
                    </w:rPr>
                  </w:pPr>
                  <w:r>
                    <w:rPr>
                      <w:b/>
                      <w:bCs/>
                      <w:sz w:val="21"/>
                      <w:szCs w:val="21"/>
                    </w:rPr>
                    <w:t>管控要求</w:t>
                  </w:r>
                </w:p>
              </w:tc>
              <w:tc>
                <w:tcPr>
                  <w:tcW w:w="1472" w:type="pct"/>
                  <w:vAlign w:val="center"/>
                </w:tcPr>
                <w:p>
                  <w:pPr>
                    <w:adjustRightInd w:val="0"/>
                    <w:snapToGrid w:val="0"/>
                    <w:jc w:val="center"/>
                    <w:rPr>
                      <w:b/>
                      <w:bCs/>
                      <w:sz w:val="21"/>
                      <w:szCs w:val="21"/>
                    </w:rPr>
                  </w:pPr>
                  <w:r>
                    <w:rPr>
                      <w:b/>
                      <w:bCs/>
                      <w:sz w:val="21"/>
                      <w:szCs w:val="21"/>
                    </w:rPr>
                    <w:t>项目情况</w:t>
                  </w:r>
                </w:p>
              </w:tc>
              <w:tc>
                <w:tcPr>
                  <w:tcW w:w="341" w:type="pct"/>
                  <w:vAlign w:val="center"/>
                </w:tcPr>
                <w:p>
                  <w:pPr>
                    <w:adjustRightInd w:val="0"/>
                    <w:snapToGrid w:val="0"/>
                    <w:jc w:val="center"/>
                    <w:rPr>
                      <w:b/>
                      <w:bCs/>
                      <w:sz w:val="21"/>
                      <w:szCs w:val="21"/>
                    </w:rPr>
                  </w:pPr>
                  <w:r>
                    <w:rPr>
                      <w:b/>
                      <w:bCs/>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restart"/>
                  <w:vAlign w:val="center"/>
                </w:tcPr>
                <w:p>
                  <w:pPr>
                    <w:adjustRightInd w:val="0"/>
                    <w:snapToGrid w:val="0"/>
                    <w:jc w:val="center"/>
                    <w:rPr>
                      <w:sz w:val="21"/>
                      <w:szCs w:val="21"/>
                    </w:rPr>
                  </w:pPr>
                  <w:r>
                    <w:rPr>
                      <w:sz w:val="21"/>
                      <w:szCs w:val="21"/>
                    </w:rPr>
                    <w:t>大气重点管控区</w:t>
                  </w:r>
                </w:p>
              </w:tc>
              <w:tc>
                <w:tcPr>
                  <w:tcW w:w="334" w:type="pct"/>
                  <w:vMerge w:val="restart"/>
                  <w:vAlign w:val="center"/>
                </w:tcPr>
                <w:p>
                  <w:pPr>
                    <w:adjustRightInd w:val="0"/>
                    <w:snapToGrid w:val="0"/>
                    <w:jc w:val="center"/>
                    <w:rPr>
                      <w:sz w:val="21"/>
                      <w:szCs w:val="21"/>
                    </w:rPr>
                  </w:pPr>
                  <w:r>
                    <w:rPr>
                      <w:sz w:val="21"/>
                      <w:szCs w:val="21"/>
                    </w:rPr>
                    <w:t>空间布局约束</w:t>
                  </w:r>
                </w:p>
              </w:tc>
              <w:tc>
                <w:tcPr>
                  <w:tcW w:w="286" w:type="pct"/>
                  <w:vMerge w:val="restart"/>
                  <w:vAlign w:val="center"/>
                </w:tcPr>
                <w:p>
                  <w:pPr>
                    <w:adjustRightInd w:val="0"/>
                    <w:snapToGrid w:val="0"/>
                    <w:jc w:val="center"/>
                    <w:rPr>
                      <w:sz w:val="21"/>
                      <w:szCs w:val="21"/>
                    </w:rPr>
                  </w:pPr>
                  <w:r>
                    <w:rPr>
                      <w:sz w:val="21"/>
                      <w:szCs w:val="21"/>
                    </w:rPr>
                    <w:t>禁止开发建设活动的要求</w:t>
                  </w:r>
                </w:p>
              </w:tc>
              <w:tc>
                <w:tcPr>
                  <w:tcW w:w="1951" w:type="pct"/>
                  <w:vAlign w:val="center"/>
                </w:tcPr>
                <w:p>
                  <w:pPr>
                    <w:jc w:val="center"/>
                    <w:rPr>
                      <w:color w:val="auto"/>
                      <w:sz w:val="21"/>
                      <w:szCs w:val="21"/>
                    </w:rPr>
                  </w:pPr>
                  <w:r>
                    <w:rPr>
                      <w:color w:val="auto"/>
                      <w:sz w:val="21"/>
                      <w:szCs w:val="21"/>
                    </w:rPr>
                    <w:t xml:space="preserve">在城市城区及其近郊禁止新建、扩建钢铁、有色、石化、水泥、化工等重污染企业。 </w:t>
                  </w:r>
                </w:p>
              </w:tc>
              <w:tc>
                <w:tcPr>
                  <w:tcW w:w="1472" w:type="pct"/>
                  <w:vAlign w:val="center"/>
                </w:tcPr>
                <w:p>
                  <w:pPr>
                    <w:jc w:val="center"/>
                    <w:rPr>
                      <w:color w:val="auto"/>
                      <w:sz w:val="21"/>
                      <w:szCs w:val="21"/>
                    </w:rPr>
                  </w:pPr>
                  <w:r>
                    <w:rPr>
                      <w:color w:val="auto"/>
                      <w:sz w:val="21"/>
                      <w:szCs w:val="21"/>
                    </w:rPr>
                    <w:t>本项目位于安徽省宿州市泗县草沟镇工业园区06号，属于C3021水泥制品制造，不属于重污染企业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color w:val="auto"/>
                      <w:sz w:val="21"/>
                      <w:szCs w:val="21"/>
                    </w:rPr>
                  </w:pPr>
                  <w:r>
                    <w:rPr>
                      <w:color w:val="auto"/>
                      <w:sz w:val="21"/>
                      <w:szCs w:val="21"/>
                    </w:rPr>
                    <w:t>禁止新建燃料类煤气发生炉（园区现有企业统一建设的清洁煤制气中心除外）。</w:t>
                  </w:r>
                </w:p>
              </w:tc>
              <w:tc>
                <w:tcPr>
                  <w:tcW w:w="1472" w:type="pct"/>
                  <w:vAlign w:val="center"/>
                </w:tcPr>
                <w:p>
                  <w:pPr>
                    <w:jc w:val="center"/>
                    <w:rPr>
                      <w:rFonts w:hint="default"/>
                      <w:color w:val="auto"/>
                      <w:sz w:val="21"/>
                      <w:szCs w:val="21"/>
                      <w:lang w:val="en-US"/>
                    </w:rPr>
                  </w:pPr>
                  <w:r>
                    <w:rPr>
                      <w:color w:val="auto"/>
                      <w:sz w:val="21"/>
                      <w:szCs w:val="21"/>
                    </w:rPr>
                    <w:t>本项目</w:t>
                  </w:r>
                  <w:r>
                    <w:rPr>
                      <w:rFonts w:hint="eastAsia"/>
                      <w:color w:val="auto"/>
                      <w:sz w:val="21"/>
                      <w:szCs w:val="21"/>
                      <w:lang w:val="en-US" w:eastAsia="zh-CN"/>
                    </w:rPr>
                    <w:t>不建设煤气发生炉</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color w:val="auto"/>
                      <w:sz w:val="21"/>
                      <w:szCs w:val="21"/>
                    </w:rPr>
                  </w:pPr>
                  <w:r>
                    <w:rPr>
                      <w:color w:val="auto"/>
                      <w:sz w:val="21"/>
                      <w:szCs w:val="21"/>
                    </w:rPr>
                    <w:t>严禁新增钢铁、焦化、电解铝、铸造、水泥和平板玻璃等产能；严格执行钢铁、水泥、平板玻璃等行业产能置换实施办法。</w:t>
                  </w:r>
                </w:p>
              </w:tc>
              <w:tc>
                <w:tcPr>
                  <w:tcW w:w="1472" w:type="pct"/>
                  <w:vAlign w:val="center"/>
                </w:tcPr>
                <w:p>
                  <w:pPr>
                    <w:jc w:val="center"/>
                    <w:rPr>
                      <w:color w:val="auto"/>
                      <w:sz w:val="21"/>
                      <w:szCs w:val="21"/>
                    </w:rPr>
                  </w:pPr>
                  <w:r>
                    <w:rPr>
                      <w:color w:val="auto"/>
                      <w:sz w:val="21"/>
                      <w:szCs w:val="21"/>
                    </w:rPr>
                    <w:t>本项目属于C3021水泥制品制造，不属于上述行业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严格执行国家关于“两高”产业准入目录和产能总量控制政策措施。严禁新增钢铁、焦化、电解铝、铸造、水泥和平板玻璃等产能；新、改、扩建涉及大宗物料运输的建设项目，原则上不得采用公路运输。</w:t>
                  </w:r>
                </w:p>
              </w:tc>
              <w:tc>
                <w:tcPr>
                  <w:tcW w:w="1472" w:type="pct"/>
                  <w:vAlign w:val="center"/>
                </w:tcPr>
                <w:p>
                  <w:pPr>
                    <w:jc w:val="center"/>
                    <w:rPr>
                      <w:sz w:val="21"/>
                      <w:szCs w:val="21"/>
                    </w:rPr>
                  </w:pPr>
                  <w:r>
                    <w:rPr>
                      <w:sz w:val="21"/>
                      <w:szCs w:val="21"/>
                    </w:rPr>
                    <w:t>根据《安徽省“两高”项目管理目录（试行）》，本项目属于C3021水泥制品制造，不属于其中“两高”行业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禁止建设生产和使用高VOCs含量的溶剂型涂料、油墨、胶粘剂等项目。</w:t>
                  </w:r>
                </w:p>
              </w:tc>
              <w:tc>
                <w:tcPr>
                  <w:tcW w:w="1472" w:type="pct"/>
                  <w:vAlign w:val="center"/>
                </w:tcPr>
                <w:p>
                  <w:pPr>
                    <w:jc w:val="center"/>
                    <w:rPr>
                      <w:sz w:val="21"/>
                      <w:szCs w:val="21"/>
                    </w:rPr>
                  </w:pPr>
                  <w:r>
                    <w:rPr>
                      <w:sz w:val="21"/>
                      <w:szCs w:val="21"/>
                    </w:rPr>
                    <w:t>本项目属于C3021水泥制品制造，生产过程</w:t>
                  </w:r>
                  <w:r>
                    <w:rPr>
                      <w:rFonts w:hint="eastAsia"/>
                      <w:sz w:val="21"/>
                      <w:szCs w:val="21"/>
                    </w:rPr>
                    <w:t>不涉及涂料、油墨、胶粘剂等项目</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非电行业新建项目，禁止配套建设自备纯凝、抽凝燃煤电站。</w:t>
                  </w:r>
                </w:p>
              </w:tc>
              <w:tc>
                <w:tcPr>
                  <w:tcW w:w="1472" w:type="pct"/>
                  <w:vAlign w:val="center"/>
                </w:tcPr>
                <w:p>
                  <w:pPr>
                    <w:jc w:val="center"/>
                    <w:rPr>
                      <w:sz w:val="21"/>
                      <w:szCs w:val="21"/>
                    </w:rPr>
                  </w:pPr>
                  <w:r>
                    <w:rPr>
                      <w:sz w:val="21"/>
                      <w:szCs w:val="21"/>
                    </w:rPr>
                    <w:t>本项目由园区供电，不配套建设纯凝、抽凝燃煤电站</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在城市建成区及居民区、医院、学校等环境敏感区域，严禁现场露天灰土拌合。</w:t>
                  </w:r>
                </w:p>
              </w:tc>
              <w:tc>
                <w:tcPr>
                  <w:tcW w:w="1472" w:type="pct"/>
                  <w:vAlign w:val="center"/>
                </w:tcPr>
                <w:p>
                  <w:pPr>
                    <w:jc w:val="center"/>
                    <w:rPr>
                      <w:sz w:val="21"/>
                      <w:szCs w:val="21"/>
                    </w:rPr>
                  </w:pPr>
                  <w:r>
                    <w:rPr>
                      <w:sz w:val="21"/>
                      <w:szCs w:val="21"/>
                    </w:rPr>
                    <w:t>本项目不涉及露天灰土拌合</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在城市规划区内禁止新建、扩建大气污染严重的建设项目。</w:t>
                  </w:r>
                </w:p>
              </w:tc>
              <w:tc>
                <w:tcPr>
                  <w:tcW w:w="1472" w:type="pct"/>
                  <w:vAlign w:val="center"/>
                </w:tcPr>
                <w:p>
                  <w:pPr>
                    <w:jc w:val="center"/>
                    <w:rPr>
                      <w:sz w:val="21"/>
                      <w:szCs w:val="21"/>
                    </w:rPr>
                  </w:pPr>
                  <w:r>
                    <w:rPr>
                      <w:sz w:val="21"/>
                      <w:szCs w:val="21"/>
                    </w:rPr>
                    <w:t>项目位于安徽省宿州市泗县草沟镇工业园区06号，项目产生的</w:t>
                  </w:r>
                  <w:r>
                    <w:rPr>
                      <w:rFonts w:hint="eastAsia"/>
                      <w:sz w:val="21"/>
                      <w:szCs w:val="21"/>
                    </w:rPr>
                    <w:t>粉尘</w:t>
                  </w:r>
                  <w:r>
                    <w:rPr>
                      <w:sz w:val="21"/>
                      <w:szCs w:val="21"/>
                    </w:rPr>
                    <w:t>均能得到有效的处理处置，不属于废气污染严重的项目</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禁止高灰分、高硫分煤炭进入市场。新建煤矿应当同步建设煤炭洗选设施，已建成的煤矿所采煤炭属于高灰分、高硫分的，应当在国家和省规定的期限内建成配套的煤炭洗选设施，使煤炭中的灰分、硫分达到规定的标准。</w:t>
                  </w:r>
                </w:p>
              </w:tc>
              <w:tc>
                <w:tcPr>
                  <w:tcW w:w="1472" w:type="pct"/>
                  <w:vAlign w:val="center"/>
                </w:tcPr>
                <w:p>
                  <w:pPr>
                    <w:jc w:val="center"/>
                    <w:rPr>
                      <w:sz w:val="21"/>
                      <w:szCs w:val="21"/>
                    </w:rPr>
                  </w:pPr>
                  <w:r>
                    <w:rPr>
                      <w:sz w:val="21"/>
                      <w:szCs w:val="21"/>
                    </w:rPr>
                    <w:t>项目属于C3021水泥制品制造，不涉及煤炭且不涉及煤炭选洗设施</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禁止在人口集中地区、机场周围、交通干线附近以及当地人民政府划定的区域露天焚烧秸秆、落叶、垃圾等产生烟尘污染的物质。</w:t>
                  </w:r>
                </w:p>
              </w:tc>
              <w:tc>
                <w:tcPr>
                  <w:tcW w:w="1472" w:type="pct"/>
                  <w:vAlign w:val="center"/>
                </w:tcPr>
                <w:p>
                  <w:pPr>
                    <w:jc w:val="center"/>
                    <w:rPr>
                      <w:sz w:val="21"/>
                      <w:szCs w:val="21"/>
                    </w:rPr>
                  </w:pPr>
                  <w:r>
                    <w:rPr>
                      <w:sz w:val="21"/>
                      <w:szCs w:val="21"/>
                    </w:rPr>
                    <w:t>项目不涉及露天焚烧，且产生的废气均得到收集处理</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在燃气管网和集中供热管网覆盖的区域，不得新建、扩建、改建燃烧煤炭、重油、渣油的供热设施；原有分散的中小型燃煤供热锅炉应当限期拆除。</w:t>
                  </w:r>
                </w:p>
              </w:tc>
              <w:tc>
                <w:tcPr>
                  <w:tcW w:w="1472" w:type="pct"/>
                  <w:vAlign w:val="center"/>
                </w:tcPr>
                <w:p>
                  <w:pPr>
                    <w:jc w:val="center"/>
                    <w:rPr>
                      <w:sz w:val="21"/>
                      <w:szCs w:val="21"/>
                    </w:rPr>
                  </w:pPr>
                  <w:r>
                    <w:rPr>
                      <w:sz w:val="21"/>
                      <w:szCs w:val="21"/>
                    </w:rPr>
                    <w:t>项目主要使用能源为电，不涉及煤炭锅炉</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禁止在居民住宅楼、未配套设立专用烟道的商住综合楼、商住综合楼内与居住层相邻的商业楼层内新建、改建、扩建产生油烟、异味、废气的饮食服务项目。</w:t>
                  </w:r>
                </w:p>
              </w:tc>
              <w:tc>
                <w:tcPr>
                  <w:tcW w:w="1472" w:type="pct"/>
                  <w:vAlign w:val="center"/>
                </w:tcPr>
                <w:p>
                  <w:pPr>
                    <w:jc w:val="center"/>
                    <w:rPr>
                      <w:sz w:val="21"/>
                      <w:szCs w:val="21"/>
                    </w:rPr>
                  </w:pPr>
                  <w:r>
                    <w:rPr>
                      <w:sz w:val="21"/>
                      <w:szCs w:val="21"/>
                    </w:rPr>
                    <w:t>本项目属于C3021水泥制品制造，不属于饮食服务项目</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任何单位和个人不得在政府划定的禁止露天烧烤区域内露天烧烤食品或者为露天烧烤食品提供场地。</w:t>
                  </w:r>
                </w:p>
              </w:tc>
              <w:tc>
                <w:tcPr>
                  <w:tcW w:w="1472" w:type="pct"/>
                  <w:vAlign w:val="center"/>
                </w:tcPr>
                <w:p>
                  <w:pPr>
                    <w:jc w:val="center"/>
                    <w:rPr>
                      <w:sz w:val="21"/>
                      <w:szCs w:val="21"/>
                    </w:rPr>
                  </w:pPr>
                  <w:r>
                    <w:rPr>
                      <w:sz w:val="21"/>
                      <w:szCs w:val="21"/>
                    </w:rPr>
                    <w:t>本项目属于C3021水泥制品制造，生产制造均在室内进行</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在机关、学校、医院、居民住宅区等人口集中地区和其他依法需要特殊保护的区域内，禁止从事下列生产活动：</w:t>
                  </w:r>
                </w:p>
                <w:p>
                  <w:pPr>
                    <w:jc w:val="center"/>
                    <w:rPr>
                      <w:sz w:val="21"/>
                      <w:szCs w:val="21"/>
                    </w:rPr>
                  </w:pPr>
                  <w:r>
                    <w:rPr>
                      <w:sz w:val="21"/>
                      <w:szCs w:val="21"/>
                    </w:rPr>
                    <w:t>（1）橡胶制品生产、经营性喷漆、制骨胶、制骨粉、屠宰、畜禽养殖、生物发酵等产生恶臭、有毒有害气体的生产经营活动；</w:t>
                  </w:r>
                </w:p>
                <w:p>
                  <w:pPr>
                    <w:jc w:val="center"/>
                    <w:rPr>
                      <w:sz w:val="21"/>
                      <w:szCs w:val="21"/>
                    </w:rPr>
                  </w:pPr>
                  <w:r>
                    <w:rPr>
                      <w:sz w:val="21"/>
                      <w:szCs w:val="21"/>
                    </w:rPr>
                    <w:t>（2）露天焚烧油毡、沥青、橡胶、塑料、皮革、垃圾或者其他可能产生恶臭、有毒有害气体的活动。</w:t>
                  </w:r>
                </w:p>
              </w:tc>
              <w:tc>
                <w:tcPr>
                  <w:tcW w:w="1472" w:type="pct"/>
                  <w:vAlign w:val="center"/>
                </w:tcPr>
                <w:p>
                  <w:pPr>
                    <w:jc w:val="center"/>
                    <w:rPr>
                      <w:sz w:val="21"/>
                      <w:szCs w:val="21"/>
                    </w:rPr>
                  </w:pPr>
                  <w:r>
                    <w:rPr>
                      <w:sz w:val="21"/>
                      <w:szCs w:val="21"/>
                    </w:rPr>
                    <w:t>项目位于安徽省宿州市泗县草沟镇工业园区06号，周边无人口集中区且无其他需要特殊保护的区域</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在城市建成区，禁止新建 VOCs高污染企业。</w:t>
                  </w:r>
                </w:p>
              </w:tc>
              <w:tc>
                <w:tcPr>
                  <w:tcW w:w="1472" w:type="pct"/>
                  <w:vAlign w:val="center"/>
                </w:tcPr>
                <w:p>
                  <w:pPr>
                    <w:jc w:val="center"/>
                    <w:rPr>
                      <w:sz w:val="21"/>
                      <w:szCs w:val="21"/>
                    </w:rPr>
                  </w:pPr>
                  <w:r>
                    <w:rPr>
                      <w:sz w:val="21"/>
                      <w:szCs w:val="21"/>
                    </w:rPr>
                    <w:t>项目位于安徽省宿州市泗县草沟镇工业园区06号，且项目</w:t>
                  </w:r>
                  <w:r>
                    <w:rPr>
                      <w:rFonts w:hint="eastAsia"/>
                      <w:sz w:val="21"/>
                      <w:szCs w:val="21"/>
                    </w:rPr>
                    <w:t>不产生有机废气，不属于</w:t>
                  </w:r>
                  <w:r>
                    <w:rPr>
                      <w:sz w:val="21"/>
                      <w:szCs w:val="21"/>
                    </w:rPr>
                    <w:t>VOCs高污染企业。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restart"/>
                  <w:vAlign w:val="center"/>
                </w:tcPr>
                <w:p>
                  <w:pPr>
                    <w:adjustRightInd w:val="0"/>
                    <w:snapToGrid w:val="0"/>
                    <w:jc w:val="center"/>
                    <w:rPr>
                      <w:sz w:val="21"/>
                      <w:szCs w:val="21"/>
                    </w:rPr>
                  </w:pPr>
                  <w:r>
                    <w:rPr>
                      <w:sz w:val="21"/>
                      <w:szCs w:val="21"/>
                    </w:rPr>
                    <w:t>限制开发建设活动的要求</w:t>
                  </w:r>
                </w:p>
              </w:tc>
              <w:tc>
                <w:tcPr>
                  <w:tcW w:w="1951" w:type="pct"/>
                  <w:vAlign w:val="center"/>
                </w:tcPr>
                <w:p>
                  <w:pPr>
                    <w:jc w:val="center"/>
                    <w:rPr>
                      <w:sz w:val="21"/>
                      <w:szCs w:val="21"/>
                    </w:rPr>
                  </w:pPr>
                  <w:r>
                    <w:rPr>
                      <w:sz w:val="21"/>
                      <w:szCs w:val="21"/>
                    </w:rPr>
                    <w:t>加大钢铁、铸造、炼焦、建材、电解铝等产能压减力度。</w:t>
                  </w:r>
                </w:p>
              </w:tc>
              <w:tc>
                <w:tcPr>
                  <w:tcW w:w="1472" w:type="pct"/>
                  <w:vAlign w:val="center"/>
                </w:tcPr>
                <w:p>
                  <w:pPr>
                    <w:jc w:val="center"/>
                    <w:rPr>
                      <w:sz w:val="21"/>
                      <w:szCs w:val="21"/>
                    </w:rPr>
                  </w:pPr>
                  <w:r>
                    <w:rPr>
                      <w:sz w:val="21"/>
                      <w:szCs w:val="21"/>
                    </w:rPr>
                    <w:t>项目属于C3021水泥制品制造，不属于钢铁、铸造、炼焦、建材、电解铝行业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严格资源节约和环保准入门槛，转入项目必须符合国家产业政策、资源节约和污染物排放强度要求，避免产业转移中的资源浪费和污染扩散。</w:t>
                  </w:r>
                </w:p>
              </w:tc>
              <w:tc>
                <w:tcPr>
                  <w:tcW w:w="1472" w:type="pct"/>
                  <w:vAlign w:val="center"/>
                </w:tcPr>
                <w:p>
                  <w:pPr>
                    <w:jc w:val="center"/>
                    <w:rPr>
                      <w:sz w:val="21"/>
                      <w:szCs w:val="21"/>
                    </w:rPr>
                  </w:pPr>
                  <w:r>
                    <w:rPr>
                      <w:sz w:val="21"/>
                      <w:szCs w:val="21"/>
                    </w:rPr>
                    <w:t>项目属于C3021水泥制品制造，且项目资源使用和污染物排放均符合国家规定和地方要求</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restart"/>
                  <w:vAlign w:val="center"/>
                </w:tcPr>
                <w:p>
                  <w:pPr>
                    <w:adjustRightInd w:val="0"/>
                    <w:snapToGrid w:val="0"/>
                    <w:jc w:val="center"/>
                    <w:rPr>
                      <w:sz w:val="21"/>
                      <w:szCs w:val="21"/>
                    </w:rPr>
                  </w:pPr>
                  <w:r>
                    <w:rPr>
                      <w:sz w:val="21"/>
                      <w:szCs w:val="21"/>
                    </w:rPr>
                    <w:t>不符合空间布局要求活动的退出要求</w:t>
                  </w:r>
                </w:p>
              </w:tc>
              <w:tc>
                <w:tcPr>
                  <w:tcW w:w="1951" w:type="pct"/>
                  <w:vAlign w:val="center"/>
                </w:tcPr>
                <w:p>
                  <w:pPr>
                    <w:jc w:val="center"/>
                    <w:rPr>
                      <w:sz w:val="21"/>
                      <w:szCs w:val="21"/>
                    </w:rPr>
                  </w:pPr>
                  <w:r>
                    <w:rPr>
                      <w:sz w:val="21"/>
                      <w:szCs w:val="21"/>
                    </w:rPr>
                    <w:t>坚决关停用地、工商手续不全并难以通过改造达标的企业，限期治理可以达标改造的企业，逾期依法一律关停。到2020年，具备改造条件的燃煤电厂全部完成超低排放改造，重点区域不具备改造条件的高污染燃煤电厂逐步关停。</w:t>
                  </w:r>
                </w:p>
              </w:tc>
              <w:tc>
                <w:tcPr>
                  <w:tcW w:w="1472" w:type="pct"/>
                  <w:vAlign w:val="center"/>
                </w:tcPr>
                <w:p>
                  <w:pPr>
                    <w:jc w:val="center"/>
                    <w:rPr>
                      <w:sz w:val="21"/>
                      <w:szCs w:val="21"/>
                    </w:rPr>
                  </w:pPr>
                  <w:r>
                    <w:rPr>
                      <w:sz w:val="21"/>
                      <w:szCs w:val="21"/>
                    </w:rPr>
                    <w:t>项目新建，属于C3021水泥制品制造，产品生产、污染物排放要求均满足国家地方相关要求</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加快城市建成区、重点流域的重污染企业和危险化学品企业搬迁改造，加快推进危险化学品生产企业搬迁改造工程。</w:t>
                  </w:r>
                </w:p>
              </w:tc>
              <w:tc>
                <w:tcPr>
                  <w:tcW w:w="1472" w:type="pct"/>
                  <w:vAlign w:val="center"/>
                </w:tcPr>
                <w:p>
                  <w:pPr>
                    <w:jc w:val="center"/>
                    <w:rPr>
                      <w:sz w:val="21"/>
                      <w:szCs w:val="21"/>
                    </w:rPr>
                  </w:pPr>
                  <w:r>
                    <w:rPr>
                      <w:sz w:val="21"/>
                      <w:szCs w:val="21"/>
                    </w:rPr>
                    <w:t>项目位于安徽省宿州市泗县草沟镇工业园区06号，且</w:t>
                  </w:r>
                  <w:r>
                    <w:rPr>
                      <w:rFonts w:hint="eastAsia"/>
                      <w:sz w:val="21"/>
                      <w:szCs w:val="21"/>
                    </w:rPr>
                    <w:t>不属于</w:t>
                  </w:r>
                  <w:r>
                    <w:rPr>
                      <w:sz w:val="21"/>
                      <w:szCs w:val="21"/>
                    </w:rPr>
                    <w:t>危险化学品生产企业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城市规划区内已建的大气污染严重的建设项目应当搬迁、改造，城市建成区应当在规定的时间内完成重污染企业搬迁、改造或者关闭退出。</w:t>
                  </w:r>
                </w:p>
              </w:tc>
              <w:tc>
                <w:tcPr>
                  <w:tcW w:w="1472" w:type="pct"/>
                  <w:vAlign w:val="center"/>
                </w:tcPr>
                <w:p>
                  <w:pPr>
                    <w:jc w:val="center"/>
                    <w:rPr>
                      <w:sz w:val="21"/>
                      <w:szCs w:val="21"/>
                    </w:rPr>
                  </w:pPr>
                  <w:r>
                    <w:rPr>
                      <w:sz w:val="21"/>
                      <w:szCs w:val="21"/>
                    </w:rPr>
                    <w:t>项目</w:t>
                  </w:r>
                  <w:r>
                    <w:rPr>
                      <w:rFonts w:hint="eastAsia"/>
                      <w:sz w:val="21"/>
                      <w:szCs w:val="21"/>
                    </w:rPr>
                    <w:t>产生的粉尘均得到有效处理，不属于污染严重的项目</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全面开展“散乱污”企业及集群综合整治行动。细化“散乱污”企业及集群整治标准。列入整合搬迁类的，要按照产业发展规模化、现代化的原则，搬迁至合规工业园区并实施升级改造。</w:t>
                  </w:r>
                </w:p>
              </w:tc>
              <w:tc>
                <w:tcPr>
                  <w:tcW w:w="1472" w:type="pct"/>
                  <w:vAlign w:val="center"/>
                </w:tcPr>
                <w:p>
                  <w:pPr>
                    <w:jc w:val="center"/>
                    <w:rPr>
                      <w:sz w:val="21"/>
                      <w:szCs w:val="21"/>
                    </w:rPr>
                  </w:pPr>
                  <w:r>
                    <w:rPr>
                      <w:sz w:val="21"/>
                      <w:szCs w:val="21"/>
                    </w:rPr>
                    <w:t>项目位于安徽省宿州市泗县草沟镇工业园区06号，不属于“散乱污”企业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对城市建成区和重要生态功能区内现有重污染企业结合产业布局调整实施搬迁或改造，积极推动VOCs排放重点行业企业向园区集中。</w:t>
                  </w:r>
                </w:p>
              </w:tc>
              <w:tc>
                <w:tcPr>
                  <w:tcW w:w="1472" w:type="pct"/>
                  <w:vAlign w:val="center"/>
                </w:tcPr>
                <w:p>
                  <w:pPr>
                    <w:jc w:val="center"/>
                    <w:rPr>
                      <w:sz w:val="21"/>
                      <w:szCs w:val="21"/>
                    </w:rPr>
                  </w:pPr>
                  <w:r>
                    <w:rPr>
                      <w:sz w:val="21"/>
                      <w:szCs w:val="21"/>
                    </w:rPr>
                    <w:t>项目位于安徽省宿州市泗县草沟镇工业园区06号，</w:t>
                  </w:r>
                  <w:r>
                    <w:rPr>
                      <w:rFonts w:hint="eastAsia"/>
                      <w:sz w:val="21"/>
                      <w:szCs w:val="21"/>
                    </w:rPr>
                    <w:t>且不涉及</w:t>
                  </w:r>
                  <w:r>
                    <w:rPr>
                      <w:sz w:val="21"/>
                      <w:szCs w:val="21"/>
                    </w:rPr>
                    <w:t>VOCs排放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restart"/>
                  <w:vAlign w:val="center"/>
                </w:tcPr>
                <w:p>
                  <w:pPr>
                    <w:adjustRightInd w:val="0"/>
                    <w:snapToGrid w:val="0"/>
                    <w:jc w:val="center"/>
                    <w:rPr>
                      <w:sz w:val="21"/>
                      <w:szCs w:val="21"/>
                    </w:rPr>
                  </w:pPr>
                  <w:r>
                    <w:rPr>
                      <w:sz w:val="21"/>
                      <w:szCs w:val="21"/>
                    </w:rPr>
                    <w:t>其他空间布局约束要求</w:t>
                  </w:r>
                </w:p>
              </w:tc>
              <w:tc>
                <w:tcPr>
                  <w:tcW w:w="1951" w:type="pct"/>
                  <w:vAlign w:val="center"/>
                </w:tcPr>
                <w:p>
                  <w:pPr>
                    <w:jc w:val="center"/>
                    <w:rPr>
                      <w:sz w:val="21"/>
                      <w:szCs w:val="21"/>
                    </w:rPr>
                  </w:pPr>
                  <w:r>
                    <w:rPr>
                      <w:sz w:val="21"/>
                      <w:szCs w:val="21"/>
                    </w:rPr>
                    <w:t>强化“散乱污”企业综合整治。全面开展“散乱污”企业及集群综合整治行动。根据产业政策、产业布局规划，以及土地、环保、质量、安全、能耗等要求，制定“散乱污”企业及集群整治标准。按照“先停后治”的原则，实施分类处置。</w:t>
                  </w:r>
                </w:p>
              </w:tc>
              <w:tc>
                <w:tcPr>
                  <w:tcW w:w="1472" w:type="pct"/>
                  <w:vAlign w:val="center"/>
                </w:tcPr>
                <w:p>
                  <w:pPr>
                    <w:jc w:val="center"/>
                    <w:rPr>
                      <w:sz w:val="21"/>
                      <w:szCs w:val="21"/>
                    </w:rPr>
                  </w:pPr>
                  <w:r>
                    <w:rPr>
                      <w:sz w:val="21"/>
                      <w:szCs w:val="21"/>
                    </w:rPr>
                    <w:t>项目位于安徽省宿州市泗县草沟镇工业园区06号，不属于“散乱污”企业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企业应当全面推进清洁生产，优先采用能源和原材料利用效率高、污染物排放量少的清洁生产技术、工艺和设备，淘汰严重污染大气环境质量的产品、落后工艺和落后设备，减少大气污染物的产生和排放。</w:t>
                  </w:r>
                </w:p>
              </w:tc>
              <w:tc>
                <w:tcPr>
                  <w:tcW w:w="1472" w:type="pct"/>
                  <w:vAlign w:val="center"/>
                </w:tcPr>
                <w:p>
                  <w:pPr>
                    <w:jc w:val="center"/>
                    <w:rPr>
                      <w:sz w:val="21"/>
                      <w:szCs w:val="21"/>
                    </w:rPr>
                  </w:pPr>
                  <w:r>
                    <w:rPr>
                      <w:sz w:val="21"/>
                      <w:szCs w:val="21"/>
                    </w:rPr>
                    <w:t>项目属于C3021水泥制品制造，使用先进的生产设备且污染物经处理后达标排放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全面开展“散乱污”企业及集群综合整治行动。细化“散乱污”企业及集群整治标准。列入升级改造类的，树立行业标杆，实施清洁生产技术改造，全面提升污染治理水平。</w:t>
                  </w:r>
                </w:p>
              </w:tc>
              <w:tc>
                <w:tcPr>
                  <w:tcW w:w="1472" w:type="pct"/>
                  <w:vAlign w:val="center"/>
                </w:tcPr>
                <w:p>
                  <w:pPr>
                    <w:jc w:val="center"/>
                    <w:rPr>
                      <w:sz w:val="21"/>
                      <w:szCs w:val="21"/>
                    </w:rPr>
                  </w:pPr>
                  <w:r>
                    <w:rPr>
                      <w:sz w:val="21"/>
                      <w:szCs w:val="21"/>
                    </w:rPr>
                    <w:t>项目位于安徽省宿州市泗县草沟镇工业园区06号，不属于“散乱污”企业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restart"/>
                  <w:vAlign w:val="center"/>
                </w:tcPr>
                <w:p>
                  <w:pPr>
                    <w:adjustRightInd w:val="0"/>
                    <w:snapToGrid w:val="0"/>
                    <w:jc w:val="center"/>
                    <w:rPr>
                      <w:sz w:val="21"/>
                      <w:szCs w:val="21"/>
                    </w:rPr>
                  </w:pPr>
                  <w:r>
                    <w:rPr>
                      <w:sz w:val="21"/>
                      <w:szCs w:val="21"/>
                    </w:rPr>
                    <w:t>污染物排放管控</w:t>
                  </w:r>
                </w:p>
              </w:tc>
              <w:tc>
                <w:tcPr>
                  <w:tcW w:w="286" w:type="pct"/>
                  <w:vAlign w:val="center"/>
                </w:tcPr>
                <w:p>
                  <w:pPr>
                    <w:adjustRightInd w:val="0"/>
                    <w:snapToGrid w:val="0"/>
                    <w:jc w:val="center"/>
                    <w:rPr>
                      <w:sz w:val="21"/>
                      <w:szCs w:val="21"/>
                    </w:rPr>
                  </w:pPr>
                  <w:r>
                    <w:rPr>
                      <w:sz w:val="21"/>
                      <w:szCs w:val="21"/>
                    </w:rPr>
                    <w:t>允许排放量要求</w:t>
                  </w:r>
                </w:p>
              </w:tc>
              <w:tc>
                <w:tcPr>
                  <w:tcW w:w="1951" w:type="pct"/>
                  <w:vAlign w:val="center"/>
                </w:tcPr>
                <w:p>
                  <w:pPr>
                    <w:jc w:val="center"/>
                    <w:rPr>
                      <w:sz w:val="21"/>
                      <w:szCs w:val="21"/>
                    </w:rPr>
                  </w:pPr>
                  <w:r>
                    <w:rPr>
                      <w:sz w:val="21"/>
                      <w:szCs w:val="21"/>
                    </w:rPr>
                    <w:t>新建、改建、扩建排放重点大气污染物的项目不符合总量控制要求的，不得通过环境影响评价。</w:t>
                  </w:r>
                </w:p>
              </w:tc>
              <w:tc>
                <w:tcPr>
                  <w:tcW w:w="1472" w:type="pct"/>
                  <w:vAlign w:val="center"/>
                </w:tcPr>
                <w:p>
                  <w:pPr>
                    <w:jc w:val="center"/>
                    <w:rPr>
                      <w:sz w:val="21"/>
                      <w:szCs w:val="21"/>
                    </w:rPr>
                  </w:pPr>
                  <w:r>
                    <w:rPr>
                      <w:sz w:val="21"/>
                      <w:szCs w:val="21"/>
                    </w:rPr>
                    <w:t>项目新建，已取得宿州市生态环境局核定的总量文件，废气排放满足总量控制要求</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restart"/>
                  <w:vAlign w:val="center"/>
                </w:tcPr>
                <w:p>
                  <w:pPr>
                    <w:adjustRightInd w:val="0"/>
                    <w:snapToGrid w:val="0"/>
                    <w:jc w:val="center"/>
                    <w:rPr>
                      <w:sz w:val="21"/>
                      <w:szCs w:val="21"/>
                    </w:rPr>
                  </w:pPr>
                  <w:r>
                    <w:rPr>
                      <w:sz w:val="21"/>
                      <w:szCs w:val="21"/>
                    </w:rPr>
                    <w:t>区域大气污染物削减/替代要求</w:t>
                  </w:r>
                </w:p>
              </w:tc>
              <w:tc>
                <w:tcPr>
                  <w:tcW w:w="1951" w:type="pct"/>
                  <w:vAlign w:val="center"/>
                </w:tcPr>
                <w:p>
                  <w:pPr>
                    <w:jc w:val="center"/>
                    <w:rPr>
                      <w:sz w:val="21"/>
                      <w:szCs w:val="21"/>
                    </w:rPr>
                  </w:pPr>
                  <w:r>
                    <w:rPr>
                      <w:sz w:val="21"/>
                      <w:szCs w:val="21"/>
                    </w:rPr>
                    <w:t>实行重点排放源排放浓度与去除效率双重控制。车间或生产设施收集排放的废气，VOCs初始排放速率大于等于2千克/小时的，应加大控制力度，除确保排放浓度稳定达标外，还应实行去除效率控制，去除效率不低于80%；采用的原辅材料符合国家有关低VOCs含量产品规定的除外，有行业排放标准的按其相关规定执行。</w:t>
                  </w:r>
                </w:p>
              </w:tc>
              <w:tc>
                <w:tcPr>
                  <w:tcW w:w="1472" w:type="pct"/>
                  <w:vAlign w:val="center"/>
                </w:tcPr>
                <w:p>
                  <w:pPr>
                    <w:jc w:val="center"/>
                    <w:rPr>
                      <w:sz w:val="21"/>
                      <w:szCs w:val="21"/>
                    </w:rPr>
                  </w:pPr>
                  <w:r>
                    <w:rPr>
                      <w:sz w:val="21"/>
                      <w:szCs w:val="21"/>
                    </w:rPr>
                    <w:t>项目</w:t>
                  </w:r>
                  <w:r>
                    <w:rPr>
                      <w:rFonts w:hint="eastAsia"/>
                      <w:sz w:val="21"/>
                      <w:szCs w:val="21"/>
                    </w:rPr>
                    <w:t>不涉及</w:t>
                  </w:r>
                  <w:r>
                    <w:rPr>
                      <w:sz w:val="21"/>
                      <w:szCs w:val="21"/>
                    </w:rPr>
                    <w:t>VOCs</w:t>
                  </w:r>
                  <w:r>
                    <w:rPr>
                      <w:rFonts w:hint="eastAsia"/>
                      <w:sz w:val="21"/>
                      <w:szCs w:val="21"/>
                    </w:rPr>
                    <w:t>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使用粉末、水性、高固体分、辐射固化等低VOCs含量的涂料替代溶剂型涂料。汽车制造底漆大力推广使用水性涂料，乘用车中涂、色漆大力推广使用高固体分或水性涂料，加快客车、货车等中涂、色漆改造。钢制集装箱制造在箱内、箱外、木地板涂装等工序大力推广使用水性涂料，在确保防腐蚀功能的前提下，加快推进特种集装箱采用水性涂料。木质家具制造大力推广使用水性、辐射固化、粉末等涂料和水性胶粘剂；金属家具制造大力推广使用粉末涂料；软体家具制造大力推广使用水性胶粘剂。工程机械制造大力推广使用水性、粉末和高固体分涂料。电子产品制造推广使用粉末、水性、辐射固化等涂料。</w:t>
                  </w:r>
                </w:p>
              </w:tc>
              <w:tc>
                <w:tcPr>
                  <w:tcW w:w="1472" w:type="pct"/>
                  <w:vAlign w:val="center"/>
                </w:tcPr>
                <w:p>
                  <w:pPr>
                    <w:jc w:val="center"/>
                    <w:rPr>
                      <w:sz w:val="21"/>
                      <w:szCs w:val="21"/>
                    </w:rPr>
                  </w:pPr>
                  <w:r>
                    <w:rPr>
                      <w:sz w:val="21"/>
                      <w:szCs w:val="21"/>
                    </w:rPr>
                    <w:t>项目属于C3021水泥制品制造，生产过程</w:t>
                  </w:r>
                  <w:r>
                    <w:rPr>
                      <w:rFonts w:hint="eastAsia"/>
                      <w:sz w:val="21"/>
                      <w:szCs w:val="21"/>
                    </w:rPr>
                    <w:t>不涉及</w:t>
                  </w:r>
                  <w:r>
                    <w:rPr>
                      <w:sz w:val="21"/>
                      <w:szCs w:val="21"/>
                    </w:rPr>
                    <w:t>VOCs涂料</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将控制挥发性有机物排放列入建设项目环境影响评价重要内容，严格环境准入，严控“两高”行业新增产能。建立VOCs排放总量控制制度。重点行业建设项目报批环评文件时应附VOCs等量替代的来源说明，并落实相应的有机废气治理措施。</w:t>
                  </w:r>
                </w:p>
              </w:tc>
              <w:tc>
                <w:tcPr>
                  <w:tcW w:w="1472" w:type="pct"/>
                  <w:vAlign w:val="center"/>
                </w:tcPr>
                <w:p>
                  <w:pPr>
                    <w:jc w:val="center"/>
                    <w:rPr>
                      <w:sz w:val="21"/>
                      <w:szCs w:val="21"/>
                    </w:rPr>
                  </w:pPr>
                  <w:r>
                    <w:rPr>
                      <w:sz w:val="21"/>
                      <w:szCs w:val="21"/>
                    </w:rPr>
                    <w:t>根据《安徽省</w:t>
                  </w:r>
                  <w:r>
                    <w:rPr>
                      <w:rFonts w:hint="eastAsia"/>
                      <w:sz w:val="21"/>
                      <w:szCs w:val="21"/>
                    </w:rPr>
                    <w:t>“</w:t>
                  </w:r>
                  <w:r>
                    <w:rPr>
                      <w:sz w:val="21"/>
                      <w:szCs w:val="21"/>
                    </w:rPr>
                    <w:t>两高</w:t>
                  </w:r>
                  <w:r>
                    <w:rPr>
                      <w:rFonts w:hint="eastAsia"/>
                      <w:sz w:val="21"/>
                      <w:szCs w:val="21"/>
                    </w:rPr>
                    <w:t>”</w:t>
                  </w:r>
                  <w:r>
                    <w:rPr>
                      <w:sz w:val="21"/>
                      <w:szCs w:val="21"/>
                    </w:rPr>
                    <w:t>项目管理目录（试行）》，本项目属于C3021水泥制品制造，不属于其中</w:t>
                  </w:r>
                  <w:r>
                    <w:rPr>
                      <w:rFonts w:hint="eastAsia"/>
                      <w:sz w:val="21"/>
                      <w:szCs w:val="21"/>
                    </w:rPr>
                    <w:t>“</w:t>
                  </w:r>
                  <w:r>
                    <w:rPr>
                      <w:sz w:val="21"/>
                      <w:szCs w:val="21"/>
                    </w:rPr>
                    <w:t>两高</w:t>
                  </w:r>
                  <w:r>
                    <w:rPr>
                      <w:rFonts w:hint="eastAsia"/>
                      <w:sz w:val="21"/>
                      <w:szCs w:val="21"/>
                    </w:rPr>
                    <w:t>”</w:t>
                  </w:r>
                  <w:r>
                    <w:rPr>
                      <w:sz w:val="21"/>
                      <w:szCs w:val="21"/>
                    </w:rPr>
                    <w:t>行业且项目污染物排放已申请总量控制指标</w:t>
                  </w:r>
                  <w:r>
                    <w:rPr>
                      <w:rFonts w:hint="eastAsia"/>
                      <w:sz w:val="21"/>
                      <w:szCs w:val="21"/>
                    </w:rPr>
                    <w:t>且项目不涉及</w:t>
                  </w:r>
                  <w:r>
                    <w:rPr>
                      <w:sz w:val="21"/>
                      <w:szCs w:val="21"/>
                    </w:rPr>
                    <w:t>VOCs</w:t>
                  </w:r>
                  <w:r>
                    <w:rPr>
                      <w:rFonts w:hint="eastAsia"/>
                      <w:sz w:val="21"/>
                      <w:szCs w:val="21"/>
                    </w:rPr>
                    <w:t>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新建、迁建 VOCs 排放量大的企业应入工业园区并符合规划要求，必须建设挥发性有机物污染治理施，安装废气收集、回收或净化装置，原则上总净化效率不得低于90%。</w:t>
                  </w:r>
                </w:p>
              </w:tc>
              <w:tc>
                <w:tcPr>
                  <w:tcW w:w="1472" w:type="pct"/>
                  <w:vAlign w:val="center"/>
                </w:tcPr>
                <w:p>
                  <w:pPr>
                    <w:jc w:val="center"/>
                    <w:rPr>
                      <w:sz w:val="21"/>
                      <w:szCs w:val="21"/>
                    </w:rPr>
                  </w:pPr>
                  <w:r>
                    <w:rPr>
                      <w:sz w:val="21"/>
                      <w:szCs w:val="21"/>
                    </w:rPr>
                    <w:t>项目新建，位于安徽省宿州市泗县草沟镇工业园区06号，项目不涉及VOCs排放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restart"/>
                  <w:vAlign w:val="center"/>
                </w:tcPr>
                <w:p>
                  <w:pPr>
                    <w:adjustRightInd w:val="0"/>
                    <w:snapToGrid w:val="0"/>
                    <w:jc w:val="center"/>
                    <w:rPr>
                      <w:sz w:val="21"/>
                      <w:szCs w:val="21"/>
                    </w:rPr>
                  </w:pPr>
                  <w:r>
                    <w:rPr>
                      <w:sz w:val="21"/>
                      <w:szCs w:val="21"/>
                    </w:rPr>
                    <w:t>其他污染物排放管控要求</w:t>
                  </w:r>
                </w:p>
              </w:tc>
              <w:tc>
                <w:tcPr>
                  <w:tcW w:w="1951" w:type="pct"/>
                  <w:vAlign w:val="center"/>
                </w:tcPr>
                <w:p>
                  <w:pPr>
                    <w:jc w:val="center"/>
                    <w:rPr>
                      <w:sz w:val="21"/>
                      <w:szCs w:val="21"/>
                    </w:rPr>
                  </w:pPr>
                  <w:r>
                    <w:rPr>
                      <w:sz w:val="21"/>
                      <w:szCs w:val="21"/>
                    </w:rPr>
                    <w:t>强化工业企业无组织排放管理，推进挥发性有机物排放综合整治，开展大气氨排放控制试点。</w:t>
                  </w:r>
                </w:p>
              </w:tc>
              <w:tc>
                <w:tcPr>
                  <w:tcW w:w="1472" w:type="pct"/>
                  <w:vAlign w:val="center"/>
                </w:tcPr>
                <w:p>
                  <w:pPr>
                    <w:jc w:val="center"/>
                    <w:rPr>
                      <w:sz w:val="21"/>
                      <w:szCs w:val="21"/>
                    </w:rPr>
                  </w:pPr>
                  <w:r>
                    <w:rPr>
                      <w:rFonts w:hint="eastAsia"/>
                      <w:sz w:val="21"/>
                      <w:szCs w:val="21"/>
                    </w:rPr>
                    <w:t>项目产生废气均得到有效处理，废气处理不涉及大气氨</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深化工业污染治理，工业污染源全面达标排放，未达标排放的企业一律依法停产整治。</w:t>
                  </w:r>
                </w:p>
              </w:tc>
              <w:tc>
                <w:tcPr>
                  <w:tcW w:w="1472" w:type="pct"/>
                  <w:vAlign w:val="center"/>
                </w:tcPr>
                <w:p>
                  <w:pPr>
                    <w:jc w:val="center"/>
                    <w:rPr>
                      <w:sz w:val="21"/>
                      <w:szCs w:val="21"/>
                    </w:rPr>
                  </w:pPr>
                  <w:r>
                    <w:rPr>
                      <w:sz w:val="21"/>
                      <w:szCs w:val="21"/>
                    </w:rPr>
                    <w:t>项目新建，项目</w:t>
                  </w:r>
                  <w:r>
                    <w:rPr>
                      <w:rFonts w:hint="eastAsia"/>
                      <w:sz w:val="21"/>
                      <w:szCs w:val="21"/>
                    </w:rPr>
                    <w:t>粉尘经布袋除尘器</w:t>
                  </w:r>
                  <w:r>
                    <w:rPr>
                      <w:sz w:val="21"/>
                      <w:szCs w:val="21"/>
                    </w:rPr>
                    <w:t>处理后达标排放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2" w:type="pct"/>
                  <w:gridSpan w:val="2"/>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工业生产中产生的可燃性气体应当回收利用。不具备回收利用条件而向大气排放的，应当进行污染防治处理。</w:t>
                  </w:r>
                </w:p>
              </w:tc>
              <w:tc>
                <w:tcPr>
                  <w:tcW w:w="1472" w:type="pct"/>
                  <w:vAlign w:val="center"/>
                </w:tcPr>
                <w:p>
                  <w:pPr>
                    <w:jc w:val="center"/>
                    <w:rPr>
                      <w:sz w:val="21"/>
                      <w:szCs w:val="21"/>
                    </w:rPr>
                  </w:pPr>
                  <w:r>
                    <w:rPr>
                      <w:sz w:val="21"/>
                      <w:szCs w:val="21"/>
                    </w:rPr>
                    <w:t>项目新建，项目</w:t>
                  </w:r>
                  <w:r>
                    <w:rPr>
                      <w:rFonts w:hint="eastAsia"/>
                      <w:sz w:val="21"/>
                      <w:szCs w:val="21"/>
                    </w:rPr>
                    <w:t>粉尘经布袋除尘器</w:t>
                  </w:r>
                  <w:r>
                    <w:rPr>
                      <w:sz w:val="21"/>
                      <w:szCs w:val="21"/>
                    </w:rPr>
                    <w:t>处理后达标排放，产生的废气均进行污染防治处理</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restart"/>
                  <w:vAlign w:val="center"/>
                </w:tcPr>
                <w:p>
                  <w:pPr>
                    <w:adjustRightInd w:val="0"/>
                    <w:snapToGrid w:val="0"/>
                    <w:jc w:val="center"/>
                    <w:rPr>
                      <w:sz w:val="21"/>
                      <w:szCs w:val="21"/>
                    </w:rPr>
                  </w:pPr>
                  <w:r>
                    <w:rPr>
                      <w:sz w:val="21"/>
                      <w:szCs w:val="21"/>
                    </w:rPr>
                    <w:t>水重点管控区</w:t>
                  </w:r>
                </w:p>
              </w:tc>
              <w:tc>
                <w:tcPr>
                  <w:tcW w:w="309" w:type="pct"/>
                  <w:vMerge w:val="restart"/>
                  <w:vAlign w:val="center"/>
                </w:tcPr>
                <w:p>
                  <w:pPr>
                    <w:adjustRightInd w:val="0"/>
                    <w:snapToGrid w:val="0"/>
                    <w:jc w:val="center"/>
                    <w:rPr>
                      <w:sz w:val="21"/>
                      <w:szCs w:val="21"/>
                    </w:rPr>
                  </w:pPr>
                  <w:r>
                    <w:rPr>
                      <w:sz w:val="21"/>
                      <w:szCs w:val="21"/>
                    </w:rPr>
                    <w:t>工业重点管控区</w:t>
                  </w:r>
                </w:p>
              </w:tc>
              <w:tc>
                <w:tcPr>
                  <w:tcW w:w="334" w:type="pct"/>
                  <w:vMerge w:val="restart"/>
                  <w:vAlign w:val="center"/>
                </w:tcPr>
                <w:p>
                  <w:pPr>
                    <w:adjustRightInd w:val="0"/>
                    <w:snapToGrid w:val="0"/>
                    <w:jc w:val="center"/>
                    <w:rPr>
                      <w:sz w:val="21"/>
                      <w:szCs w:val="21"/>
                    </w:rPr>
                  </w:pPr>
                  <w:r>
                    <w:rPr>
                      <w:sz w:val="21"/>
                      <w:szCs w:val="21"/>
                    </w:rPr>
                    <w:t>空间布局约束</w:t>
                  </w:r>
                </w:p>
              </w:tc>
              <w:tc>
                <w:tcPr>
                  <w:tcW w:w="286" w:type="pct"/>
                  <w:vMerge w:val="restart"/>
                  <w:vAlign w:val="center"/>
                </w:tcPr>
                <w:p>
                  <w:pPr>
                    <w:adjustRightInd w:val="0"/>
                    <w:snapToGrid w:val="0"/>
                    <w:jc w:val="center"/>
                    <w:rPr>
                      <w:sz w:val="21"/>
                      <w:szCs w:val="21"/>
                    </w:rPr>
                  </w:pPr>
                  <w:r>
                    <w:rPr>
                      <w:sz w:val="21"/>
                      <w:szCs w:val="21"/>
                    </w:rPr>
                    <w:t>禁止开发建设活动的要求</w:t>
                  </w:r>
                </w:p>
              </w:tc>
              <w:tc>
                <w:tcPr>
                  <w:tcW w:w="1951" w:type="pct"/>
                  <w:vAlign w:val="center"/>
                </w:tcPr>
                <w:p>
                  <w:pPr>
                    <w:jc w:val="center"/>
                    <w:rPr>
                      <w:sz w:val="21"/>
                      <w:szCs w:val="21"/>
                    </w:rPr>
                  </w:pPr>
                  <w:r>
                    <w:rPr>
                      <w:sz w:val="21"/>
                      <w:szCs w:val="21"/>
                    </w:rPr>
                    <w:t>取缔“十小”企业。全面排查装备水平低、环保设施差的小型工业企业。按照水污染防治法律法规要求，全面排查和取缔不符合国家产业政策的小型造纸、制革、印染、染料、炼焦、炼硫、炼砷、炼油、电镀、农药等严重污染水环境的生产项目。</w:t>
                  </w:r>
                </w:p>
              </w:tc>
              <w:tc>
                <w:tcPr>
                  <w:tcW w:w="1472" w:type="pct"/>
                  <w:vAlign w:val="center"/>
                </w:tcPr>
                <w:p>
                  <w:pPr>
                    <w:jc w:val="center"/>
                    <w:rPr>
                      <w:sz w:val="21"/>
                      <w:szCs w:val="21"/>
                    </w:rPr>
                  </w:pPr>
                  <w:r>
                    <w:rPr>
                      <w:sz w:val="21"/>
                      <w:szCs w:val="21"/>
                    </w:rPr>
                    <w:t>项目属于C3021水泥制品制造，不属于小型造纸、制革、印染、染料、炼焦、炼硫、炼砷、炼油、电镀、农药等生产项目</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严格城市规划蓝线管理，城市规划区范围内应保留一定比例的水域面积，现有水域面积不得减少。新建项目一律不得违规占用水域。</w:t>
                  </w:r>
                </w:p>
              </w:tc>
              <w:tc>
                <w:tcPr>
                  <w:tcW w:w="1472" w:type="pct"/>
                  <w:vAlign w:val="center"/>
                </w:tcPr>
                <w:p>
                  <w:pPr>
                    <w:jc w:val="center"/>
                    <w:rPr>
                      <w:sz w:val="21"/>
                      <w:szCs w:val="21"/>
                    </w:rPr>
                  </w:pPr>
                  <w:r>
                    <w:rPr>
                      <w:sz w:val="21"/>
                      <w:szCs w:val="21"/>
                    </w:rPr>
                    <w:t>项目位于安徽省宿州市泗县草沟镇工业园区06号，不涉及水域面积的违规占用</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Align w:val="center"/>
                </w:tcPr>
                <w:p>
                  <w:pPr>
                    <w:adjustRightInd w:val="0"/>
                    <w:snapToGrid w:val="0"/>
                    <w:jc w:val="center"/>
                    <w:rPr>
                      <w:sz w:val="21"/>
                      <w:szCs w:val="21"/>
                    </w:rPr>
                  </w:pPr>
                  <w:r>
                    <w:rPr>
                      <w:sz w:val="21"/>
                      <w:szCs w:val="21"/>
                    </w:rPr>
                    <w:t>允许开发建设活动的特殊要求</w:t>
                  </w:r>
                </w:p>
              </w:tc>
              <w:tc>
                <w:tcPr>
                  <w:tcW w:w="1951" w:type="pct"/>
                  <w:vAlign w:val="center"/>
                </w:tcPr>
                <w:p>
                  <w:pPr>
                    <w:jc w:val="center"/>
                    <w:rPr>
                      <w:sz w:val="21"/>
                      <w:szCs w:val="21"/>
                    </w:rPr>
                  </w:pPr>
                  <w:r>
                    <w:rPr>
                      <w:sz w:val="21"/>
                      <w:szCs w:val="21"/>
                    </w:rPr>
                    <w:t>合理确定发展布局、结构和规模。充分考虑水环境承载能力和水资源开发利用效率，以水定城、以水定地、以水定人、以水定产。重大项目原则上布局在优化开发区和重点开发区，并符合城乡规划和土地利用总体规划。</w:t>
                  </w:r>
                </w:p>
              </w:tc>
              <w:tc>
                <w:tcPr>
                  <w:tcW w:w="1472" w:type="pct"/>
                  <w:vAlign w:val="center"/>
                </w:tcPr>
                <w:p>
                  <w:pPr>
                    <w:jc w:val="center"/>
                    <w:rPr>
                      <w:sz w:val="21"/>
                      <w:szCs w:val="21"/>
                    </w:rPr>
                  </w:pPr>
                  <w:r>
                    <w:rPr>
                      <w:sz w:val="21"/>
                      <w:szCs w:val="21"/>
                    </w:rPr>
                    <w:t>项目位于安徽省宿州市泗县草沟镇工业园区06号，符合园区发展规划和土地总体利用规划</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restart"/>
                  <w:vAlign w:val="center"/>
                </w:tcPr>
                <w:p>
                  <w:pPr>
                    <w:adjustRightInd w:val="0"/>
                    <w:snapToGrid w:val="0"/>
                    <w:jc w:val="center"/>
                    <w:rPr>
                      <w:sz w:val="21"/>
                      <w:szCs w:val="21"/>
                    </w:rPr>
                  </w:pPr>
                  <w:r>
                    <w:rPr>
                      <w:sz w:val="21"/>
                      <w:szCs w:val="21"/>
                    </w:rPr>
                    <w:t>不符合空间布局要求活动的退出要求</w:t>
                  </w:r>
                </w:p>
              </w:tc>
              <w:tc>
                <w:tcPr>
                  <w:tcW w:w="1951" w:type="pct"/>
                  <w:vAlign w:val="center"/>
                </w:tcPr>
                <w:p>
                  <w:pPr>
                    <w:jc w:val="center"/>
                    <w:rPr>
                      <w:sz w:val="21"/>
                      <w:szCs w:val="21"/>
                    </w:rPr>
                  </w:pPr>
                  <w:r>
                    <w:rPr>
                      <w:sz w:val="21"/>
                      <w:szCs w:val="21"/>
                    </w:rPr>
                    <w:t>调整产业结构。依法淘汰落后产能。各地要制定实施分年度的落后产能淘汰方案，未完成淘汰任务的地区，暂停审批和核准其相关行业新建项目。</w:t>
                  </w:r>
                </w:p>
              </w:tc>
              <w:tc>
                <w:tcPr>
                  <w:tcW w:w="1472" w:type="pct"/>
                  <w:vAlign w:val="center"/>
                </w:tcPr>
                <w:p>
                  <w:pPr>
                    <w:jc w:val="center"/>
                    <w:rPr>
                      <w:sz w:val="21"/>
                      <w:szCs w:val="21"/>
                    </w:rPr>
                  </w:pPr>
                  <w:r>
                    <w:rPr>
                      <w:sz w:val="21"/>
                      <w:szCs w:val="21"/>
                    </w:rPr>
                    <w:t>项目属于C3021水泥制品制造，不属于淘汰行业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推动污染企业退出。城市建成区内现有钢铁、有色金属、造纸、印染、原料药制造、化工等污染较重的企业应有序搬迁改造或依法关闭。</w:t>
                  </w:r>
                </w:p>
              </w:tc>
              <w:tc>
                <w:tcPr>
                  <w:tcW w:w="1472" w:type="pct"/>
                  <w:vAlign w:val="center"/>
                </w:tcPr>
                <w:p>
                  <w:pPr>
                    <w:jc w:val="center"/>
                    <w:rPr>
                      <w:sz w:val="21"/>
                      <w:szCs w:val="21"/>
                    </w:rPr>
                  </w:pPr>
                  <w:r>
                    <w:rPr>
                      <w:sz w:val="21"/>
                      <w:szCs w:val="21"/>
                    </w:rPr>
                    <w:t>项目属于C3021水泥制品制造，位于安徽省宿州市泗县草沟镇工业园区06号，不涉及钢铁、有色金属、造纸、印染、原料药制造、化工等</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严格水域岸线用途管制，土地开发利用应按照有关法律法规和技术标准要求，留足河道、湖泊的管理和保护范围，非法挤占的应限期退出。</w:t>
                  </w:r>
                </w:p>
              </w:tc>
              <w:tc>
                <w:tcPr>
                  <w:tcW w:w="1472" w:type="pct"/>
                  <w:vAlign w:val="center"/>
                </w:tcPr>
                <w:p>
                  <w:pPr>
                    <w:jc w:val="center"/>
                    <w:rPr>
                      <w:sz w:val="21"/>
                      <w:szCs w:val="21"/>
                    </w:rPr>
                  </w:pPr>
                  <w:r>
                    <w:rPr>
                      <w:sz w:val="21"/>
                      <w:szCs w:val="21"/>
                    </w:rPr>
                    <w:t>项目位于安徽省宿州市泗县草沟镇工业园区06号，不涉及水域岸线用途管制</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国家禁止新建不符合国家产业政策的小型造纸、制革、印染、染料、炼焦、炼硫、炼砷、炼汞、炼油、电镀、农药、石棉、水泥、玻璃、钢铁、火电以及其他严重污染水环境的生产项目。</w:t>
                  </w:r>
                </w:p>
              </w:tc>
              <w:tc>
                <w:tcPr>
                  <w:tcW w:w="1472" w:type="pct"/>
                  <w:vAlign w:val="center"/>
                </w:tcPr>
                <w:p>
                  <w:pPr>
                    <w:jc w:val="center"/>
                    <w:rPr>
                      <w:sz w:val="21"/>
                      <w:szCs w:val="21"/>
                    </w:rPr>
                  </w:pPr>
                  <w:r>
                    <w:rPr>
                      <w:sz w:val="21"/>
                      <w:szCs w:val="21"/>
                    </w:rPr>
                    <w:t>项目属于C3021水泥制品制造，不属于上述行业</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restart"/>
                  <w:vAlign w:val="center"/>
                </w:tcPr>
                <w:p>
                  <w:pPr>
                    <w:adjustRightInd w:val="0"/>
                    <w:snapToGrid w:val="0"/>
                    <w:jc w:val="center"/>
                    <w:rPr>
                      <w:sz w:val="21"/>
                      <w:szCs w:val="21"/>
                    </w:rPr>
                  </w:pPr>
                  <w:r>
                    <w:rPr>
                      <w:sz w:val="21"/>
                      <w:szCs w:val="21"/>
                    </w:rPr>
                    <w:t>污染物排放管控</w:t>
                  </w:r>
                </w:p>
              </w:tc>
              <w:tc>
                <w:tcPr>
                  <w:tcW w:w="286" w:type="pct"/>
                  <w:vMerge w:val="restart"/>
                  <w:vAlign w:val="center"/>
                </w:tcPr>
                <w:p>
                  <w:pPr>
                    <w:adjustRightInd w:val="0"/>
                    <w:snapToGrid w:val="0"/>
                    <w:jc w:val="center"/>
                    <w:rPr>
                      <w:sz w:val="21"/>
                      <w:szCs w:val="21"/>
                    </w:rPr>
                  </w:pPr>
                  <w:r>
                    <w:rPr>
                      <w:sz w:val="21"/>
                      <w:szCs w:val="21"/>
                    </w:rPr>
                    <w:t>区域水污染物削减/替代要求</w:t>
                  </w:r>
                </w:p>
              </w:tc>
              <w:tc>
                <w:tcPr>
                  <w:tcW w:w="1951" w:type="pct"/>
                  <w:vAlign w:val="center"/>
                </w:tcPr>
                <w:p>
                  <w:pPr>
                    <w:jc w:val="center"/>
                    <w:rPr>
                      <w:sz w:val="21"/>
                      <w:szCs w:val="21"/>
                    </w:rPr>
                  </w:pPr>
                  <w:r>
                    <w:rPr>
                      <w:sz w:val="21"/>
                      <w:szCs w:val="21"/>
                    </w:rPr>
                    <w:t>企业事业单位和其他生产经营者超过污染物排放标准或者超过重点污染物排放总量控制指标排放污染物的，县级以上人民政府环境保护主管部门可以责令其采取限制生产、停产整治等措施；情节严重的，报经有批准权的人民政府批准，责令停业、关闭。</w:t>
                  </w:r>
                </w:p>
              </w:tc>
              <w:tc>
                <w:tcPr>
                  <w:tcW w:w="1472" w:type="pct"/>
                  <w:vAlign w:val="center"/>
                </w:tcPr>
                <w:p>
                  <w:pPr>
                    <w:jc w:val="center"/>
                    <w:rPr>
                      <w:sz w:val="21"/>
                      <w:szCs w:val="21"/>
                    </w:rPr>
                  </w:pPr>
                  <w:r>
                    <w:rPr>
                      <w:rFonts w:hint="eastAsia"/>
                      <w:sz w:val="21"/>
                      <w:szCs w:val="21"/>
                    </w:rPr>
                    <w:t>项目生活污水经化粪池处理后定期清掏不外排，不涉及污水排放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严格控制缺水地区、水污染严重地区和敏感区域高耗水、高污染行业发展，新建、改建、扩建重点行业建设项目实行主要污染物排放减量置换。</w:t>
                  </w:r>
                </w:p>
              </w:tc>
              <w:tc>
                <w:tcPr>
                  <w:tcW w:w="1472" w:type="pct"/>
                  <w:vAlign w:val="center"/>
                </w:tcPr>
                <w:p>
                  <w:pPr>
                    <w:jc w:val="center"/>
                    <w:rPr>
                      <w:sz w:val="21"/>
                      <w:szCs w:val="21"/>
                    </w:rPr>
                  </w:pPr>
                  <w:r>
                    <w:rPr>
                      <w:sz w:val="21"/>
                      <w:szCs w:val="21"/>
                    </w:rPr>
                    <w:t>项目生活污水经化粪池处理后定期清掏不外排，不涉及污水排放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新建、改建、扩建造纸、焦化、氮肥、有色金属、印染、农副食品加工、原料药制造、制革、农药、电镀等行业建设项目实行主要污染物排放等量或减量置换。</w:t>
                  </w:r>
                </w:p>
              </w:tc>
              <w:tc>
                <w:tcPr>
                  <w:tcW w:w="1472" w:type="pct"/>
                  <w:vAlign w:val="center"/>
                </w:tcPr>
                <w:p>
                  <w:pPr>
                    <w:jc w:val="center"/>
                    <w:rPr>
                      <w:sz w:val="21"/>
                      <w:szCs w:val="21"/>
                    </w:rPr>
                  </w:pPr>
                  <w:r>
                    <w:rPr>
                      <w:sz w:val="21"/>
                      <w:szCs w:val="21"/>
                    </w:rPr>
                    <w:t>项目新建，生活污水经化粪池处理后定期清掏不外排，不涉及污水排放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restart"/>
                  <w:vAlign w:val="center"/>
                </w:tcPr>
                <w:p>
                  <w:pPr>
                    <w:adjustRightInd w:val="0"/>
                    <w:snapToGrid w:val="0"/>
                    <w:jc w:val="center"/>
                    <w:rPr>
                      <w:sz w:val="21"/>
                      <w:szCs w:val="21"/>
                    </w:rPr>
                  </w:pPr>
                  <w:r>
                    <w:rPr>
                      <w:sz w:val="21"/>
                      <w:szCs w:val="21"/>
                    </w:rPr>
                    <w:t>水污染控制措施要求</w:t>
                  </w:r>
                </w:p>
              </w:tc>
              <w:tc>
                <w:tcPr>
                  <w:tcW w:w="1951" w:type="pct"/>
                  <w:vAlign w:val="center"/>
                </w:tcPr>
                <w:p>
                  <w:pPr>
                    <w:jc w:val="center"/>
                    <w:rPr>
                      <w:sz w:val="21"/>
                      <w:szCs w:val="21"/>
                    </w:rPr>
                  </w:pPr>
                  <w:r>
                    <w:rPr>
                      <w:sz w:val="21"/>
                      <w:szCs w:val="21"/>
                    </w:rPr>
                    <w:t>所有排污单位必须依法实现全面达标排放。逐一排查工业企业排污情况，达标企业应采取措施确保稳定达标；对超标和超总量的企业予以“黄牌”警示，一律限制生产或停产整治；对整治仍不能达到要求且情节严重的企业予以“红牌”处罚，一律停业、关闭。</w:t>
                  </w:r>
                </w:p>
              </w:tc>
              <w:tc>
                <w:tcPr>
                  <w:tcW w:w="1472" w:type="pct"/>
                  <w:vAlign w:val="center"/>
                </w:tcPr>
                <w:p>
                  <w:pPr>
                    <w:jc w:val="center"/>
                    <w:rPr>
                      <w:sz w:val="21"/>
                      <w:szCs w:val="21"/>
                    </w:rPr>
                  </w:pPr>
                  <w:r>
                    <w:rPr>
                      <w:sz w:val="21"/>
                      <w:szCs w:val="21"/>
                    </w:rPr>
                    <w:t>项目生活污水经化粪池处理后定期清掏不外排，不涉及污水排放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3" w:type="pct"/>
                  <w:vMerge w:val="continue"/>
                  <w:vAlign w:val="center"/>
                </w:tcPr>
                <w:p>
                  <w:pPr>
                    <w:adjustRightInd w:val="0"/>
                    <w:snapToGrid w:val="0"/>
                    <w:jc w:val="center"/>
                    <w:rPr>
                      <w:sz w:val="21"/>
                      <w:szCs w:val="21"/>
                    </w:rPr>
                  </w:pPr>
                </w:p>
              </w:tc>
              <w:tc>
                <w:tcPr>
                  <w:tcW w:w="309" w:type="pct"/>
                  <w:vMerge w:val="continue"/>
                  <w:vAlign w:val="center"/>
                </w:tcPr>
                <w:p>
                  <w:pPr>
                    <w:adjustRightInd w:val="0"/>
                    <w:snapToGrid w:val="0"/>
                    <w:jc w:val="center"/>
                    <w:rPr>
                      <w:sz w:val="21"/>
                      <w:szCs w:val="21"/>
                    </w:rPr>
                  </w:pPr>
                </w:p>
              </w:tc>
              <w:tc>
                <w:tcPr>
                  <w:tcW w:w="334" w:type="pct"/>
                  <w:vMerge w:val="continue"/>
                  <w:vAlign w:val="center"/>
                </w:tcPr>
                <w:p>
                  <w:pPr>
                    <w:adjustRightInd w:val="0"/>
                    <w:snapToGrid w:val="0"/>
                    <w:jc w:val="center"/>
                    <w:rPr>
                      <w:sz w:val="21"/>
                      <w:szCs w:val="21"/>
                    </w:rPr>
                  </w:pPr>
                </w:p>
              </w:tc>
              <w:tc>
                <w:tcPr>
                  <w:tcW w:w="286" w:type="pct"/>
                  <w:vMerge w:val="continue"/>
                  <w:vAlign w:val="center"/>
                </w:tcPr>
                <w:p>
                  <w:pPr>
                    <w:adjustRightInd w:val="0"/>
                    <w:snapToGrid w:val="0"/>
                    <w:jc w:val="center"/>
                    <w:rPr>
                      <w:sz w:val="21"/>
                      <w:szCs w:val="21"/>
                    </w:rPr>
                  </w:pPr>
                </w:p>
              </w:tc>
              <w:tc>
                <w:tcPr>
                  <w:tcW w:w="1951" w:type="pct"/>
                  <w:vAlign w:val="center"/>
                </w:tcPr>
                <w:p>
                  <w:pPr>
                    <w:jc w:val="center"/>
                    <w:rPr>
                      <w:sz w:val="21"/>
                      <w:szCs w:val="21"/>
                    </w:rPr>
                  </w:pPr>
                  <w:r>
                    <w:rPr>
                      <w:sz w:val="21"/>
                      <w:szCs w:val="21"/>
                    </w:rPr>
                    <w:t>开展经济技术开发区、高新技术产业开发区、出口加工区等工业集聚区水污染治理设施排查和污染治理，全面推行工业集聚区企业废水量、水污染物纳管总量双控制度。集聚区内工业废水必须经预处理达到集中处理要求，方可进入污水集中处理设施。</w:t>
                  </w:r>
                </w:p>
              </w:tc>
              <w:tc>
                <w:tcPr>
                  <w:tcW w:w="1472" w:type="pct"/>
                  <w:vAlign w:val="center"/>
                </w:tcPr>
                <w:p>
                  <w:pPr>
                    <w:jc w:val="center"/>
                    <w:rPr>
                      <w:sz w:val="21"/>
                      <w:szCs w:val="21"/>
                    </w:rPr>
                  </w:pPr>
                  <w:r>
                    <w:rPr>
                      <w:sz w:val="21"/>
                      <w:szCs w:val="21"/>
                    </w:rPr>
                    <w:t>项目位于安徽省宿州市泗县草沟镇工业园区06号，生活污水经化粪池处理后定期清掏不外排，不涉及污水排放</w:t>
                  </w:r>
                </w:p>
              </w:tc>
              <w:tc>
                <w:tcPr>
                  <w:tcW w:w="341" w:type="pct"/>
                  <w:vAlign w:val="center"/>
                </w:tcPr>
                <w:p>
                  <w:pPr>
                    <w:adjustRightInd w:val="0"/>
                    <w:snapToGrid w:val="0"/>
                    <w:jc w:val="center"/>
                    <w:rPr>
                      <w:sz w:val="21"/>
                      <w:szCs w:val="21"/>
                    </w:rPr>
                  </w:pPr>
                  <w:r>
                    <w:rPr>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3" w:type="pct"/>
                  <w:gridSpan w:val="4"/>
                  <w:vAlign w:val="center"/>
                </w:tcPr>
                <w:p>
                  <w:pPr>
                    <w:adjustRightInd w:val="0"/>
                    <w:snapToGrid w:val="0"/>
                    <w:jc w:val="center"/>
                    <w:rPr>
                      <w:sz w:val="21"/>
                      <w:szCs w:val="21"/>
                    </w:rPr>
                  </w:pPr>
                  <w:r>
                    <w:rPr>
                      <w:sz w:val="21"/>
                      <w:szCs w:val="21"/>
                    </w:rPr>
                    <w:t>其他一般管控单元</w:t>
                  </w:r>
                </w:p>
              </w:tc>
              <w:tc>
                <w:tcPr>
                  <w:tcW w:w="1951" w:type="pct"/>
                  <w:vAlign w:val="center"/>
                </w:tcPr>
                <w:p>
                  <w:pPr>
                    <w:jc w:val="center"/>
                    <w:rPr>
                      <w:sz w:val="21"/>
                      <w:szCs w:val="21"/>
                    </w:rPr>
                  </w:pPr>
                  <w:r>
                    <w:rPr>
                      <w:sz w:val="21"/>
                      <w:szCs w:val="21"/>
                    </w:rPr>
                    <w:t>一般管控单元内，执行现有法律法规和政策文件。</w:t>
                  </w:r>
                </w:p>
              </w:tc>
              <w:tc>
                <w:tcPr>
                  <w:tcW w:w="1472" w:type="pct"/>
                  <w:vAlign w:val="center"/>
                </w:tcPr>
                <w:p>
                  <w:pPr>
                    <w:jc w:val="center"/>
                    <w:rPr>
                      <w:sz w:val="21"/>
                      <w:szCs w:val="21"/>
                    </w:rPr>
                  </w:pPr>
                  <w:r>
                    <w:rPr>
                      <w:sz w:val="21"/>
                      <w:szCs w:val="21"/>
                    </w:rPr>
                    <w:t>项目的建设和生产均符合现有法律法规和政策文件</w:t>
                  </w:r>
                </w:p>
              </w:tc>
              <w:tc>
                <w:tcPr>
                  <w:tcW w:w="341" w:type="pct"/>
                  <w:vAlign w:val="center"/>
                </w:tcPr>
                <w:p>
                  <w:pPr>
                    <w:adjustRightInd w:val="0"/>
                    <w:snapToGrid w:val="0"/>
                    <w:jc w:val="center"/>
                    <w:rPr>
                      <w:sz w:val="21"/>
                      <w:szCs w:val="21"/>
                    </w:rPr>
                  </w:pPr>
                  <w:r>
                    <w:rPr>
                      <w:sz w:val="21"/>
                      <w:szCs w:val="21"/>
                    </w:rPr>
                    <w:t>符合</w:t>
                  </w:r>
                </w:p>
              </w:tc>
            </w:tr>
          </w:tbl>
          <w:p>
            <w:pPr>
              <w:pStyle w:val="45"/>
              <w:spacing w:line="360" w:lineRule="auto"/>
            </w:pPr>
            <w:r>
              <w:t>综上分析，本项目建设符合“三线一单”的要求。</w:t>
            </w:r>
          </w:p>
          <w:p>
            <w:pPr>
              <w:pStyle w:val="11"/>
            </w:pPr>
          </w:p>
        </w:tc>
      </w:tr>
    </w:tbl>
    <w:p>
      <w:pPr>
        <w:spacing w:line="360" w:lineRule="auto"/>
        <w:outlineLvl w:val="0"/>
        <w:rPr>
          <w:rFonts w:eastAsia="黑体"/>
          <w:sz w:val="30"/>
        </w:rPr>
        <w:sectPr>
          <w:headerReference r:id="rId7" w:type="default"/>
          <w:footerReference r:id="rId8" w:type="default"/>
          <w:pgSz w:w="11906" w:h="16838"/>
          <w:pgMar w:top="1701" w:right="1531" w:bottom="1701" w:left="1531" w:header="851" w:footer="1077" w:gutter="0"/>
          <w:pgNumType w:start="1"/>
          <w:cols w:space="720" w:num="1"/>
          <w:docGrid w:linePitch="312" w:charSpace="0"/>
        </w:sectPr>
      </w:pPr>
    </w:p>
    <w:p>
      <w:pPr>
        <w:pStyle w:val="20"/>
        <w:jc w:val="center"/>
        <w:outlineLvl w:val="0"/>
        <w:rPr>
          <w:rFonts w:ascii="Times New Roman" w:hAnsi="Times New Roman" w:eastAsia="黑体"/>
          <w:snapToGrid w:val="0"/>
          <w:sz w:val="30"/>
          <w:szCs w:val="30"/>
        </w:rPr>
      </w:pPr>
      <w:r>
        <w:rPr>
          <w:rFonts w:ascii="Times New Roman" w:hAnsi="Times New Roman"/>
          <w:snapToGrid w:val="0"/>
          <w:sz w:val="30"/>
          <w:szCs w:val="30"/>
        </w:rPr>
        <w:t>二、建设项目工程分析</w:t>
      </w:r>
    </w:p>
    <w:tbl>
      <w:tblPr>
        <w:tblStyle w:val="24"/>
        <w:tblW w:w="898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1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02" w:hRule="atLeast"/>
          <w:jc w:val="center"/>
        </w:trPr>
        <w:tc>
          <w:tcPr>
            <w:tcW w:w="823" w:type="dxa"/>
            <w:vAlign w:val="center"/>
          </w:tcPr>
          <w:p>
            <w:pPr>
              <w:pStyle w:val="20"/>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建设内容</w:t>
            </w:r>
          </w:p>
        </w:tc>
        <w:tc>
          <w:tcPr>
            <w:tcW w:w="8161" w:type="dxa"/>
          </w:tcPr>
          <w:p>
            <w:pPr>
              <w:spacing w:line="360" w:lineRule="auto"/>
              <w:ind w:firstLine="480" w:firstLineChars="200"/>
              <w:jc w:val="left"/>
            </w:pPr>
            <w:r>
              <w:t>1、项目名称、地点、建设单位及性质</w:t>
            </w:r>
          </w:p>
          <w:p>
            <w:pPr>
              <w:spacing w:line="360" w:lineRule="auto"/>
              <w:ind w:firstLine="480" w:firstLineChars="200"/>
            </w:pPr>
            <w:r>
              <w:t>项目名称：年产20万平方米轻质隔墙板项目；</w:t>
            </w:r>
          </w:p>
          <w:p>
            <w:pPr>
              <w:spacing w:line="360" w:lineRule="auto"/>
              <w:ind w:firstLine="480" w:firstLineChars="200"/>
            </w:pPr>
            <w:r>
              <w:t>建设地点：安徽省宿州市泗县草沟镇工业园区06号；</w:t>
            </w:r>
          </w:p>
          <w:p>
            <w:pPr>
              <w:spacing w:line="360" w:lineRule="auto"/>
              <w:ind w:firstLine="480" w:firstLineChars="200"/>
            </w:pPr>
            <w:r>
              <w:t>建设单位：安徽筑上建材有限责任公司；</w:t>
            </w:r>
          </w:p>
          <w:p>
            <w:pPr>
              <w:spacing w:line="360" w:lineRule="auto"/>
              <w:ind w:firstLine="480" w:firstLineChars="200"/>
            </w:pPr>
            <w:r>
              <w:t>建设性质：新建；</w:t>
            </w:r>
          </w:p>
          <w:p>
            <w:pPr>
              <w:spacing w:line="360" w:lineRule="auto"/>
              <w:ind w:firstLine="480" w:firstLineChars="200"/>
            </w:pPr>
            <w:r>
              <w:t>建设规模</w:t>
            </w:r>
            <w:r>
              <w:rPr>
                <w:rFonts w:hint="eastAsia"/>
              </w:rPr>
              <w:t>：</w:t>
            </w:r>
            <w:r>
              <w:t>项目租赁</w:t>
            </w:r>
            <w:r>
              <w:rPr>
                <w:rFonts w:hint="eastAsia"/>
              </w:rPr>
              <w:t>标准化厂房13000平方米</w:t>
            </w:r>
            <w:r>
              <w:t>，用于</w:t>
            </w:r>
            <w:r>
              <w:rPr>
                <w:rFonts w:hint="eastAsia"/>
              </w:rPr>
              <w:t>原材料及生产车间、仓库和辅助设施用</w:t>
            </w:r>
            <w:r>
              <w:t>，</w:t>
            </w:r>
            <w:r>
              <w:rPr>
                <w:rFonts w:hint="eastAsia"/>
              </w:rPr>
              <w:t>购置配料仓、水泥仓、轻质隔墙板机等设备</w:t>
            </w:r>
            <w:r>
              <w:t>，</w:t>
            </w:r>
            <w:r>
              <w:rPr>
                <w:rFonts w:hint="eastAsia"/>
              </w:rPr>
              <w:t>项目建成后可达到年产20万平方米轻质隔墙板的生产能力</w:t>
            </w:r>
            <w:r>
              <w:t>；</w:t>
            </w:r>
          </w:p>
          <w:p>
            <w:pPr>
              <w:spacing w:line="360" w:lineRule="auto"/>
              <w:ind w:firstLine="480" w:firstLineChars="200"/>
            </w:pPr>
            <w:r>
              <w:t>总投资：</w:t>
            </w:r>
            <w:r>
              <w:rPr>
                <w:rFonts w:hint="eastAsia"/>
              </w:rPr>
              <w:t>130</w:t>
            </w:r>
            <w:r>
              <w:t>万元</w:t>
            </w:r>
            <w:r>
              <w:rPr>
                <w:rFonts w:hint="eastAsia"/>
              </w:rPr>
              <w:t>，其中环保投资20万元，环保投资占比15.38%</w:t>
            </w:r>
            <w:r>
              <w:t>。</w:t>
            </w:r>
          </w:p>
          <w:p>
            <w:pPr>
              <w:spacing w:line="360" w:lineRule="auto"/>
              <w:ind w:firstLine="480" w:firstLineChars="200"/>
            </w:pPr>
            <w:r>
              <w:t>项目建设情况具体见下表。</w:t>
            </w:r>
          </w:p>
          <w:p>
            <w:pPr>
              <w:autoSpaceDE w:val="0"/>
              <w:autoSpaceDN w:val="0"/>
              <w:adjustRightInd w:val="0"/>
              <w:spacing w:line="360" w:lineRule="auto"/>
              <w:jc w:val="center"/>
            </w:pPr>
            <w:r>
              <w:rPr>
                <w:b/>
                <w:bCs/>
              </w:rPr>
              <w:t>表2-1  项目主要建设内容一览表</w:t>
            </w:r>
          </w:p>
          <w:tbl>
            <w:tblPr>
              <w:tblStyle w:val="24"/>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634"/>
              <w:gridCol w:w="3975"/>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106" w:type="dxa"/>
                  <w:vAlign w:val="center"/>
                </w:tcPr>
                <w:p>
                  <w:pPr>
                    <w:jc w:val="center"/>
                    <w:rPr>
                      <w:b/>
                      <w:bCs/>
                      <w:sz w:val="21"/>
                      <w:szCs w:val="21"/>
                    </w:rPr>
                  </w:pPr>
                  <w:r>
                    <w:rPr>
                      <w:b/>
                      <w:bCs/>
                      <w:sz w:val="21"/>
                      <w:szCs w:val="21"/>
                    </w:rPr>
                    <w:t>类别</w:t>
                  </w:r>
                </w:p>
              </w:tc>
              <w:tc>
                <w:tcPr>
                  <w:tcW w:w="1634" w:type="dxa"/>
                  <w:vAlign w:val="center"/>
                </w:tcPr>
                <w:p>
                  <w:pPr>
                    <w:jc w:val="center"/>
                    <w:rPr>
                      <w:b/>
                      <w:bCs/>
                      <w:sz w:val="21"/>
                      <w:szCs w:val="21"/>
                    </w:rPr>
                  </w:pPr>
                  <w:r>
                    <w:rPr>
                      <w:b/>
                      <w:bCs/>
                      <w:sz w:val="21"/>
                      <w:szCs w:val="21"/>
                    </w:rPr>
                    <w:t>单项工程名称</w:t>
                  </w:r>
                </w:p>
              </w:tc>
              <w:tc>
                <w:tcPr>
                  <w:tcW w:w="3975" w:type="dxa"/>
                  <w:vAlign w:val="center"/>
                </w:tcPr>
                <w:p>
                  <w:pPr>
                    <w:jc w:val="center"/>
                    <w:rPr>
                      <w:b/>
                      <w:bCs/>
                      <w:sz w:val="21"/>
                      <w:szCs w:val="21"/>
                    </w:rPr>
                  </w:pPr>
                  <w:r>
                    <w:rPr>
                      <w:b/>
                      <w:bCs/>
                      <w:sz w:val="21"/>
                      <w:szCs w:val="21"/>
                    </w:rPr>
                    <w:t>建设内容</w:t>
                  </w:r>
                </w:p>
              </w:tc>
              <w:tc>
                <w:tcPr>
                  <w:tcW w:w="1222" w:type="dxa"/>
                  <w:vAlign w:val="center"/>
                </w:tcPr>
                <w:p>
                  <w:pPr>
                    <w:jc w:val="center"/>
                    <w:rPr>
                      <w:b/>
                      <w:bCs/>
                      <w:sz w:val="21"/>
                      <w:szCs w:val="21"/>
                    </w:rPr>
                  </w:pPr>
                  <w:r>
                    <w:rPr>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106" w:type="dxa"/>
                  <w:vMerge w:val="restart"/>
                  <w:vAlign w:val="center"/>
                </w:tcPr>
                <w:p>
                  <w:pPr>
                    <w:jc w:val="center"/>
                    <w:rPr>
                      <w:sz w:val="21"/>
                      <w:szCs w:val="21"/>
                    </w:rPr>
                  </w:pPr>
                  <w:bookmarkStart w:id="2" w:name="OLE_LINK22" w:colFirst="0" w:colLast="0"/>
                  <w:r>
                    <w:rPr>
                      <w:sz w:val="21"/>
                      <w:szCs w:val="21"/>
                    </w:rPr>
                    <w:t>主体工程</w:t>
                  </w:r>
                </w:p>
              </w:tc>
              <w:tc>
                <w:tcPr>
                  <w:tcW w:w="1634" w:type="dxa"/>
                  <w:vAlign w:val="center"/>
                </w:tcPr>
                <w:p>
                  <w:pPr>
                    <w:adjustRightInd w:val="0"/>
                    <w:snapToGrid w:val="0"/>
                    <w:jc w:val="center"/>
                    <w:rPr>
                      <w:sz w:val="21"/>
                      <w:szCs w:val="21"/>
                    </w:rPr>
                  </w:pPr>
                  <w:r>
                    <w:rPr>
                      <w:rFonts w:hint="eastAsia"/>
                      <w:sz w:val="21"/>
                      <w:szCs w:val="21"/>
                    </w:rPr>
                    <w:t>1#</w:t>
                  </w:r>
                  <w:r>
                    <w:rPr>
                      <w:sz w:val="21"/>
                      <w:szCs w:val="21"/>
                    </w:rPr>
                    <w:t>生产</w:t>
                  </w:r>
                  <w:r>
                    <w:rPr>
                      <w:rFonts w:hint="eastAsia"/>
                      <w:sz w:val="21"/>
                      <w:szCs w:val="21"/>
                    </w:rPr>
                    <w:t>车间</w:t>
                  </w:r>
                </w:p>
              </w:tc>
              <w:tc>
                <w:tcPr>
                  <w:tcW w:w="3975" w:type="dxa"/>
                  <w:vAlign w:val="center"/>
                </w:tcPr>
                <w:p>
                  <w:pPr>
                    <w:widowControl/>
                    <w:jc w:val="center"/>
                    <w:rPr>
                      <w:sz w:val="21"/>
                      <w:szCs w:val="21"/>
                    </w:rPr>
                  </w:pPr>
                  <w:r>
                    <w:rPr>
                      <w:rFonts w:hint="eastAsia"/>
                      <w:sz w:val="21"/>
                      <w:szCs w:val="21"/>
                    </w:rPr>
                    <w:t>位于厂房内西部，占地面积约为1000</w:t>
                  </w:r>
                  <w:r>
                    <w:rPr>
                      <w:sz w:val="21"/>
                      <w:szCs w:val="21"/>
                    </w:rPr>
                    <w:t>m</w:t>
                  </w:r>
                  <w:r>
                    <w:rPr>
                      <w:sz w:val="21"/>
                      <w:szCs w:val="21"/>
                      <w:vertAlign w:val="superscript"/>
                    </w:rPr>
                    <w:t>2</w:t>
                  </w:r>
                  <w:r>
                    <w:rPr>
                      <w:rFonts w:hint="eastAsia"/>
                      <w:sz w:val="21"/>
                      <w:szCs w:val="21"/>
                    </w:rPr>
                    <w:t>，设置安装搅拌系统、JQT轻质隔墙板机等生产设备及其配套设施，车间封闭</w:t>
                  </w:r>
                </w:p>
              </w:tc>
              <w:tc>
                <w:tcPr>
                  <w:tcW w:w="1222" w:type="dxa"/>
                  <w:vMerge w:val="restart"/>
                  <w:vAlign w:val="center"/>
                </w:tcPr>
                <w:p>
                  <w:pPr>
                    <w:jc w:val="center"/>
                    <w:rPr>
                      <w:sz w:val="21"/>
                      <w:szCs w:val="21"/>
                    </w:rPr>
                  </w:pPr>
                  <w:r>
                    <w:rPr>
                      <w:sz w:val="21"/>
                      <w:szCs w:val="21"/>
                    </w:rPr>
                    <w:t>项目建成后可达到年产20万平方米轻质隔墙板的生产能力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106" w:type="dxa"/>
                  <w:vMerge w:val="continue"/>
                  <w:vAlign w:val="center"/>
                </w:tcPr>
                <w:p>
                  <w:pPr>
                    <w:jc w:val="center"/>
                    <w:rPr>
                      <w:sz w:val="21"/>
                      <w:szCs w:val="21"/>
                    </w:rPr>
                  </w:pPr>
                </w:p>
              </w:tc>
              <w:tc>
                <w:tcPr>
                  <w:tcW w:w="1634" w:type="dxa"/>
                  <w:vAlign w:val="center"/>
                </w:tcPr>
                <w:p>
                  <w:pPr>
                    <w:adjustRightInd w:val="0"/>
                    <w:snapToGrid w:val="0"/>
                    <w:jc w:val="center"/>
                    <w:rPr>
                      <w:sz w:val="21"/>
                      <w:szCs w:val="21"/>
                    </w:rPr>
                  </w:pPr>
                  <w:r>
                    <w:rPr>
                      <w:rFonts w:hint="eastAsia"/>
                      <w:sz w:val="21"/>
                      <w:szCs w:val="21"/>
                    </w:rPr>
                    <w:t>2#</w:t>
                  </w:r>
                  <w:r>
                    <w:rPr>
                      <w:sz w:val="21"/>
                      <w:szCs w:val="21"/>
                    </w:rPr>
                    <w:t>生产</w:t>
                  </w:r>
                  <w:r>
                    <w:rPr>
                      <w:rFonts w:hint="eastAsia"/>
                      <w:sz w:val="21"/>
                      <w:szCs w:val="21"/>
                    </w:rPr>
                    <w:t>车间</w:t>
                  </w:r>
                </w:p>
              </w:tc>
              <w:tc>
                <w:tcPr>
                  <w:tcW w:w="3975" w:type="dxa"/>
                  <w:vAlign w:val="center"/>
                </w:tcPr>
                <w:p>
                  <w:pPr>
                    <w:widowControl/>
                    <w:jc w:val="center"/>
                    <w:rPr>
                      <w:sz w:val="21"/>
                      <w:szCs w:val="21"/>
                    </w:rPr>
                  </w:pPr>
                  <w:r>
                    <w:rPr>
                      <w:rFonts w:hint="eastAsia"/>
                      <w:sz w:val="21"/>
                      <w:szCs w:val="21"/>
                    </w:rPr>
                    <w:t>位于厂房内西部1#</w:t>
                  </w:r>
                  <w:r>
                    <w:rPr>
                      <w:sz w:val="21"/>
                      <w:szCs w:val="21"/>
                    </w:rPr>
                    <w:t>生产</w:t>
                  </w:r>
                  <w:r>
                    <w:rPr>
                      <w:rFonts w:hint="eastAsia"/>
                      <w:sz w:val="21"/>
                      <w:szCs w:val="21"/>
                    </w:rPr>
                    <w:t>车间东部，占地面积约为1000</w:t>
                  </w:r>
                  <w:r>
                    <w:rPr>
                      <w:sz w:val="21"/>
                      <w:szCs w:val="21"/>
                    </w:rPr>
                    <w:t>m</w:t>
                  </w:r>
                  <w:r>
                    <w:rPr>
                      <w:sz w:val="21"/>
                      <w:szCs w:val="21"/>
                      <w:vertAlign w:val="superscript"/>
                    </w:rPr>
                    <w:t>2</w:t>
                  </w:r>
                  <w:r>
                    <w:rPr>
                      <w:rFonts w:hint="eastAsia"/>
                      <w:sz w:val="21"/>
                      <w:szCs w:val="21"/>
                    </w:rPr>
                    <w:t>，设置安装搅拌系统、JQT轻质隔墙板机等生产设备及其配套设施，车间封闭</w:t>
                  </w: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sz w:val="21"/>
                      <w:szCs w:val="21"/>
                    </w:rPr>
                  </w:pPr>
                </w:p>
              </w:tc>
              <w:tc>
                <w:tcPr>
                  <w:tcW w:w="1634" w:type="dxa"/>
                  <w:vAlign w:val="center"/>
                </w:tcPr>
                <w:p>
                  <w:pPr>
                    <w:adjustRightInd w:val="0"/>
                    <w:snapToGrid w:val="0"/>
                    <w:jc w:val="center"/>
                    <w:rPr>
                      <w:sz w:val="21"/>
                      <w:szCs w:val="21"/>
                    </w:rPr>
                  </w:pPr>
                  <w:r>
                    <w:rPr>
                      <w:rFonts w:hint="eastAsia"/>
                      <w:sz w:val="21"/>
                      <w:szCs w:val="21"/>
                    </w:rPr>
                    <w:t>3#</w:t>
                  </w:r>
                  <w:r>
                    <w:rPr>
                      <w:sz w:val="21"/>
                      <w:szCs w:val="21"/>
                    </w:rPr>
                    <w:t>生产</w:t>
                  </w:r>
                  <w:r>
                    <w:rPr>
                      <w:rFonts w:hint="eastAsia"/>
                      <w:sz w:val="21"/>
                      <w:szCs w:val="21"/>
                    </w:rPr>
                    <w:t>车间</w:t>
                  </w:r>
                </w:p>
              </w:tc>
              <w:tc>
                <w:tcPr>
                  <w:tcW w:w="3975" w:type="dxa"/>
                  <w:vAlign w:val="center"/>
                </w:tcPr>
                <w:p>
                  <w:pPr>
                    <w:widowControl/>
                    <w:jc w:val="center"/>
                    <w:rPr>
                      <w:sz w:val="21"/>
                      <w:szCs w:val="21"/>
                    </w:rPr>
                  </w:pPr>
                  <w:r>
                    <w:rPr>
                      <w:rFonts w:hint="eastAsia"/>
                      <w:sz w:val="21"/>
                      <w:szCs w:val="21"/>
                    </w:rPr>
                    <w:t>位于厂房内西部2#</w:t>
                  </w:r>
                  <w:r>
                    <w:rPr>
                      <w:sz w:val="21"/>
                      <w:szCs w:val="21"/>
                    </w:rPr>
                    <w:t>生产</w:t>
                  </w:r>
                  <w:r>
                    <w:rPr>
                      <w:rFonts w:hint="eastAsia"/>
                      <w:sz w:val="21"/>
                      <w:szCs w:val="21"/>
                    </w:rPr>
                    <w:t>车间东部，占地面积约为1000</w:t>
                  </w:r>
                  <w:r>
                    <w:rPr>
                      <w:sz w:val="21"/>
                      <w:szCs w:val="21"/>
                    </w:rPr>
                    <w:t>m</w:t>
                  </w:r>
                  <w:r>
                    <w:rPr>
                      <w:sz w:val="21"/>
                      <w:szCs w:val="21"/>
                      <w:vertAlign w:val="superscript"/>
                    </w:rPr>
                    <w:t>2</w:t>
                  </w:r>
                  <w:r>
                    <w:rPr>
                      <w:rFonts w:hint="eastAsia"/>
                      <w:sz w:val="21"/>
                      <w:szCs w:val="21"/>
                    </w:rPr>
                    <w:t>，JQT轻质隔墙板机等生产设备及其配套设施，车间封闭</w:t>
                  </w: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106" w:type="dxa"/>
                  <w:vMerge w:val="continue"/>
                  <w:vAlign w:val="center"/>
                </w:tcPr>
                <w:p>
                  <w:pPr>
                    <w:jc w:val="center"/>
                    <w:rPr>
                      <w:sz w:val="21"/>
                      <w:szCs w:val="21"/>
                    </w:rPr>
                  </w:pPr>
                </w:p>
              </w:tc>
              <w:tc>
                <w:tcPr>
                  <w:tcW w:w="1634" w:type="dxa"/>
                  <w:vAlign w:val="center"/>
                </w:tcPr>
                <w:p>
                  <w:pPr>
                    <w:adjustRightInd w:val="0"/>
                    <w:snapToGrid w:val="0"/>
                    <w:jc w:val="center"/>
                    <w:rPr>
                      <w:sz w:val="21"/>
                      <w:szCs w:val="21"/>
                    </w:rPr>
                  </w:pPr>
                  <w:r>
                    <w:rPr>
                      <w:rFonts w:hint="eastAsia"/>
                      <w:sz w:val="21"/>
                      <w:szCs w:val="21"/>
                    </w:rPr>
                    <w:t>养护区</w:t>
                  </w:r>
                </w:p>
              </w:tc>
              <w:tc>
                <w:tcPr>
                  <w:tcW w:w="3975" w:type="dxa"/>
                  <w:vAlign w:val="center"/>
                </w:tcPr>
                <w:p>
                  <w:pPr>
                    <w:widowControl/>
                    <w:jc w:val="center"/>
                    <w:rPr>
                      <w:sz w:val="21"/>
                      <w:szCs w:val="21"/>
                    </w:rPr>
                  </w:pPr>
                  <w:r>
                    <w:rPr>
                      <w:rFonts w:hint="eastAsia"/>
                      <w:sz w:val="21"/>
                      <w:szCs w:val="21"/>
                    </w:rPr>
                    <w:t>位于厂房内东部，占地面积约为5000</w:t>
                  </w:r>
                  <w:r>
                    <w:rPr>
                      <w:sz w:val="21"/>
                      <w:szCs w:val="21"/>
                    </w:rPr>
                    <w:t>m</w:t>
                  </w:r>
                  <w:r>
                    <w:rPr>
                      <w:sz w:val="21"/>
                      <w:szCs w:val="21"/>
                      <w:vertAlign w:val="superscript"/>
                    </w:rPr>
                    <w:t>2</w:t>
                  </w:r>
                  <w:r>
                    <w:rPr>
                      <w:rFonts w:hint="eastAsia"/>
                      <w:sz w:val="21"/>
                      <w:szCs w:val="21"/>
                    </w:rPr>
                    <w:t>，露天区域地面硬化，用于产品的养护、晾晒</w:t>
                  </w: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06" w:type="dxa"/>
                  <w:vMerge w:val="restart"/>
                  <w:vAlign w:val="center"/>
                </w:tcPr>
                <w:p>
                  <w:pPr>
                    <w:jc w:val="center"/>
                    <w:rPr>
                      <w:sz w:val="21"/>
                      <w:szCs w:val="21"/>
                    </w:rPr>
                  </w:pPr>
                  <w:r>
                    <w:rPr>
                      <w:sz w:val="21"/>
                      <w:szCs w:val="21"/>
                    </w:rPr>
                    <w:t>辅助工程</w:t>
                  </w:r>
                </w:p>
              </w:tc>
              <w:tc>
                <w:tcPr>
                  <w:tcW w:w="1634" w:type="dxa"/>
                  <w:vAlign w:val="center"/>
                </w:tcPr>
                <w:p>
                  <w:pPr>
                    <w:jc w:val="center"/>
                    <w:rPr>
                      <w:sz w:val="21"/>
                      <w:szCs w:val="21"/>
                    </w:rPr>
                  </w:pPr>
                  <w:r>
                    <w:rPr>
                      <w:sz w:val="21"/>
                      <w:szCs w:val="21"/>
                    </w:rPr>
                    <w:t>办公</w:t>
                  </w:r>
                  <w:r>
                    <w:rPr>
                      <w:rFonts w:hint="eastAsia"/>
                      <w:sz w:val="21"/>
                      <w:szCs w:val="21"/>
                    </w:rPr>
                    <w:t>区</w:t>
                  </w:r>
                </w:p>
              </w:tc>
              <w:tc>
                <w:tcPr>
                  <w:tcW w:w="3975" w:type="dxa"/>
                  <w:vAlign w:val="center"/>
                </w:tcPr>
                <w:p>
                  <w:pPr>
                    <w:jc w:val="center"/>
                    <w:rPr>
                      <w:sz w:val="21"/>
                      <w:szCs w:val="21"/>
                    </w:rPr>
                  </w:pPr>
                  <w:r>
                    <w:rPr>
                      <w:rFonts w:hint="eastAsia"/>
                      <w:sz w:val="21"/>
                      <w:szCs w:val="21"/>
                    </w:rPr>
                    <w:t>建筑面积约为200</w:t>
                  </w:r>
                  <w:r>
                    <w:rPr>
                      <w:sz w:val="21"/>
                      <w:szCs w:val="21"/>
                    </w:rPr>
                    <w:t>m</w:t>
                  </w:r>
                  <w:r>
                    <w:rPr>
                      <w:sz w:val="21"/>
                      <w:szCs w:val="21"/>
                      <w:vertAlign w:val="superscript"/>
                    </w:rPr>
                    <w:t>2</w:t>
                  </w:r>
                  <w:r>
                    <w:rPr>
                      <w:rFonts w:hint="eastAsia"/>
                      <w:sz w:val="21"/>
                      <w:szCs w:val="21"/>
                    </w:rPr>
                    <w:t>，位于生产车间东侧，主要用于员工的办公和日常休息</w:t>
                  </w:r>
                </w:p>
              </w:tc>
              <w:tc>
                <w:tcPr>
                  <w:tcW w:w="1222" w:type="dxa"/>
                  <w:vAlign w:val="center"/>
                </w:tcPr>
                <w:p>
                  <w:pPr>
                    <w:jc w:val="center"/>
                    <w:rPr>
                      <w:sz w:val="21"/>
                      <w:szCs w:val="21"/>
                    </w:rPr>
                  </w:pPr>
                  <w:r>
                    <w:rPr>
                      <w:rFonts w:hint="eastAsia"/>
                      <w:sz w:val="21"/>
                      <w:szCs w:val="21"/>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21"/>
                    </w:rPr>
                  </w:pPr>
                  <w:r>
                    <w:rPr>
                      <w:sz w:val="21"/>
                      <w:szCs w:val="21"/>
                    </w:rPr>
                    <w:t>食堂</w:t>
                  </w:r>
                </w:p>
              </w:tc>
              <w:tc>
                <w:tcPr>
                  <w:tcW w:w="3975" w:type="dxa"/>
                  <w:vAlign w:val="center"/>
                </w:tcPr>
                <w:p>
                  <w:pPr>
                    <w:jc w:val="center"/>
                    <w:rPr>
                      <w:sz w:val="21"/>
                      <w:szCs w:val="21"/>
                    </w:rPr>
                  </w:pPr>
                  <w:r>
                    <w:rPr>
                      <w:rFonts w:hint="eastAsia"/>
                      <w:sz w:val="21"/>
                      <w:szCs w:val="21"/>
                    </w:rPr>
                    <w:t>建筑面积约为30m</w:t>
                  </w:r>
                  <w:r>
                    <w:rPr>
                      <w:rFonts w:hint="eastAsia"/>
                      <w:sz w:val="21"/>
                      <w:szCs w:val="21"/>
                      <w:vertAlign w:val="superscript"/>
                    </w:rPr>
                    <w:t>2</w:t>
                  </w:r>
                  <w:r>
                    <w:rPr>
                      <w:rFonts w:hint="eastAsia"/>
                      <w:sz w:val="21"/>
                      <w:szCs w:val="21"/>
                    </w:rPr>
                    <w:t>，位于办公区内北部，用于员工就餐，1个灶</w:t>
                  </w:r>
                </w:p>
              </w:tc>
              <w:tc>
                <w:tcPr>
                  <w:tcW w:w="1222" w:type="dxa"/>
                  <w:vAlign w:val="center"/>
                </w:tcPr>
                <w:p>
                  <w:pPr>
                    <w:jc w:val="center"/>
                    <w:rPr>
                      <w:sz w:val="21"/>
                      <w:szCs w:val="21"/>
                    </w:rPr>
                  </w:pPr>
                  <w:r>
                    <w:rPr>
                      <w:rFonts w:hint="eastAsia"/>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21"/>
                    </w:rPr>
                  </w:pPr>
                  <w:r>
                    <w:rPr>
                      <w:rFonts w:hint="eastAsia"/>
                      <w:sz w:val="21"/>
                      <w:szCs w:val="21"/>
                    </w:rPr>
                    <w:t>保卫室</w:t>
                  </w:r>
                </w:p>
              </w:tc>
              <w:tc>
                <w:tcPr>
                  <w:tcW w:w="3975" w:type="dxa"/>
                  <w:vAlign w:val="center"/>
                </w:tcPr>
                <w:p>
                  <w:pPr>
                    <w:jc w:val="center"/>
                    <w:rPr>
                      <w:color w:val="auto"/>
                      <w:sz w:val="21"/>
                      <w:szCs w:val="21"/>
                    </w:rPr>
                  </w:pPr>
                  <w:r>
                    <w:rPr>
                      <w:rFonts w:hint="eastAsia"/>
                      <w:color w:val="auto"/>
                      <w:sz w:val="21"/>
                      <w:szCs w:val="21"/>
                    </w:rPr>
                    <w:t>建筑面积约为30m</w:t>
                  </w:r>
                  <w:r>
                    <w:rPr>
                      <w:rFonts w:hint="eastAsia"/>
                      <w:color w:val="auto"/>
                      <w:sz w:val="21"/>
                      <w:szCs w:val="21"/>
                      <w:vertAlign w:val="superscript"/>
                    </w:rPr>
                    <w:t>2</w:t>
                  </w:r>
                  <w:r>
                    <w:rPr>
                      <w:rFonts w:hint="eastAsia"/>
                      <w:color w:val="auto"/>
                      <w:sz w:val="21"/>
                      <w:szCs w:val="21"/>
                    </w:rPr>
                    <w:t>，位于厂区西部，服务于厂内的安全管理、安全服务等</w:t>
                  </w:r>
                </w:p>
              </w:tc>
              <w:tc>
                <w:tcPr>
                  <w:tcW w:w="1222" w:type="dxa"/>
                  <w:vAlign w:val="center"/>
                </w:tcPr>
                <w:p>
                  <w:pPr>
                    <w:jc w:val="center"/>
                    <w:rPr>
                      <w:color w:val="auto"/>
                      <w:sz w:val="21"/>
                      <w:szCs w:val="21"/>
                    </w:rPr>
                  </w:pPr>
                  <w:r>
                    <w:rPr>
                      <w:rFonts w:hint="eastAsia"/>
                      <w:color w:val="auto"/>
                      <w:sz w:val="21"/>
                      <w:szCs w:val="21"/>
                    </w:rPr>
                    <w:t>依托现有</w:t>
                  </w:r>
                  <w:r>
                    <w:rPr>
                      <w:rFonts w:hint="eastAsia"/>
                      <w:color w:val="auto"/>
                      <w:sz w:val="21"/>
                      <w:szCs w:val="21"/>
                      <w:lang w:val="en-US" w:eastAsia="zh-CN"/>
                    </w:rPr>
                    <w:t>厂房</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6" w:type="dxa"/>
                  <w:vMerge w:val="restart"/>
                  <w:vAlign w:val="center"/>
                </w:tcPr>
                <w:p>
                  <w:pPr>
                    <w:jc w:val="center"/>
                    <w:rPr>
                      <w:sz w:val="21"/>
                      <w:szCs w:val="21"/>
                    </w:rPr>
                  </w:pPr>
                  <w:r>
                    <w:rPr>
                      <w:sz w:val="21"/>
                      <w:szCs w:val="21"/>
                    </w:rPr>
                    <w:t>储运工程</w:t>
                  </w:r>
                </w:p>
              </w:tc>
              <w:tc>
                <w:tcPr>
                  <w:tcW w:w="1634" w:type="dxa"/>
                  <w:vAlign w:val="center"/>
                </w:tcPr>
                <w:p>
                  <w:pPr>
                    <w:jc w:val="center"/>
                    <w:rPr>
                      <w:sz w:val="21"/>
                      <w:szCs w:val="21"/>
                    </w:rPr>
                  </w:pPr>
                  <w:r>
                    <w:rPr>
                      <w:rFonts w:hint="eastAsia"/>
                      <w:sz w:val="21"/>
                      <w:szCs w:val="21"/>
                    </w:rPr>
                    <w:t>原料区</w:t>
                  </w:r>
                </w:p>
              </w:tc>
              <w:tc>
                <w:tcPr>
                  <w:tcW w:w="3975" w:type="dxa"/>
                  <w:vAlign w:val="center"/>
                </w:tcPr>
                <w:p>
                  <w:pPr>
                    <w:adjustRightInd w:val="0"/>
                    <w:snapToGrid w:val="0"/>
                    <w:jc w:val="center"/>
                    <w:rPr>
                      <w:color w:val="auto"/>
                      <w:sz w:val="21"/>
                      <w:szCs w:val="21"/>
                      <w:vertAlign w:val="subscript"/>
                    </w:rPr>
                  </w:pPr>
                  <w:r>
                    <w:rPr>
                      <w:rFonts w:hint="eastAsia"/>
                      <w:color w:val="auto"/>
                      <w:sz w:val="21"/>
                      <w:szCs w:val="21"/>
                    </w:rPr>
                    <w:t>占地面积为300</w:t>
                  </w:r>
                  <w:r>
                    <w:rPr>
                      <w:color w:val="auto"/>
                      <w:sz w:val="21"/>
                      <w:szCs w:val="21"/>
                    </w:rPr>
                    <w:t>m</w:t>
                  </w:r>
                  <w:r>
                    <w:rPr>
                      <w:color w:val="auto"/>
                      <w:sz w:val="21"/>
                      <w:szCs w:val="21"/>
                      <w:vertAlign w:val="superscript"/>
                    </w:rPr>
                    <w:t>2</w:t>
                  </w:r>
                  <w:r>
                    <w:rPr>
                      <w:rFonts w:hint="eastAsia"/>
                      <w:color w:val="auto"/>
                      <w:sz w:val="21"/>
                      <w:szCs w:val="21"/>
                    </w:rPr>
                    <w:t>，位于2#生产车间内北部，主要用于炉渣、钢筋的储存</w:t>
                  </w:r>
                </w:p>
              </w:tc>
              <w:tc>
                <w:tcPr>
                  <w:tcW w:w="1222" w:type="dxa"/>
                  <w:vAlign w:val="center"/>
                </w:tcPr>
                <w:p>
                  <w:pPr>
                    <w:jc w:val="center"/>
                    <w:rPr>
                      <w:color w:val="auto"/>
                      <w:sz w:val="21"/>
                      <w:szCs w:val="21"/>
                    </w:rPr>
                  </w:pPr>
                  <w:r>
                    <w:rPr>
                      <w:rFonts w:hint="eastAsia"/>
                      <w:color w:val="auto"/>
                      <w:sz w:val="21"/>
                      <w:szCs w:val="21"/>
                    </w:rPr>
                    <w:t>依托现有</w:t>
                  </w:r>
                  <w:r>
                    <w:rPr>
                      <w:rFonts w:hint="eastAsia"/>
                      <w:color w:val="auto"/>
                      <w:sz w:val="21"/>
                      <w:szCs w:val="21"/>
                      <w:lang w:val="en-US" w:eastAsia="zh-CN"/>
                    </w:rPr>
                    <w:t>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21"/>
                    </w:rPr>
                  </w:pPr>
                  <w:r>
                    <w:rPr>
                      <w:rFonts w:hint="eastAsia"/>
                      <w:sz w:val="21"/>
                      <w:szCs w:val="21"/>
                    </w:rPr>
                    <w:t>成品区</w:t>
                  </w:r>
                </w:p>
              </w:tc>
              <w:tc>
                <w:tcPr>
                  <w:tcW w:w="3975" w:type="dxa"/>
                  <w:vAlign w:val="center"/>
                </w:tcPr>
                <w:p>
                  <w:pPr>
                    <w:adjustRightInd w:val="0"/>
                    <w:snapToGrid w:val="0"/>
                    <w:jc w:val="center"/>
                    <w:rPr>
                      <w:color w:val="auto"/>
                      <w:sz w:val="21"/>
                      <w:szCs w:val="21"/>
                    </w:rPr>
                  </w:pPr>
                  <w:r>
                    <w:rPr>
                      <w:rFonts w:hint="eastAsia"/>
                      <w:color w:val="auto"/>
                      <w:sz w:val="21"/>
                      <w:szCs w:val="21"/>
                    </w:rPr>
                    <w:t>占地面积为300</w:t>
                  </w:r>
                  <w:r>
                    <w:rPr>
                      <w:color w:val="auto"/>
                      <w:sz w:val="21"/>
                      <w:szCs w:val="21"/>
                    </w:rPr>
                    <w:t>m</w:t>
                  </w:r>
                  <w:r>
                    <w:rPr>
                      <w:color w:val="auto"/>
                      <w:sz w:val="21"/>
                      <w:szCs w:val="21"/>
                      <w:vertAlign w:val="superscript"/>
                    </w:rPr>
                    <w:t>2</w:t>
                  </w:r>
                  <w:r>
                    <w:rPr>
                      <w:rFonts w:hint="eastAsia"/>
                      <w:color w:val="auto"/>
                      <w:sz w:val="21"/>
                      <w:szCs w:val="21"/>
                    </w:rPr>
                    <w:t>，位于厂房内东部，主要用于成品隔墙板的储存</w:t>
                  </w:r>
                </w:p>
              </w:tc>
              <w:tc>
                <w:tcPr>
                  <w:tcW w:w="1222" w:type="dxa"/>
                  <w:vAlign w:val="center"/>
                </w:tcPr>
                <w:p>
                  <w:pPr>
                    <w:jc w:val="center"/>
                    <w:rPr>
                      <w:color w:val="auto"/>
                      <w:sz w:val="21"/>
                      <w:szCs w:val="21"/>
                    </w:rPr>
                  </w:pPr>
                  <w:r>
                    <w:rPr>
                      <w:rFonts w:hint="eastAsia"/>
                      <w:color w:val="auto"/>
                      <w:sz w:val="21"/>
                      <w:szCs w:val="21"/>
                    </w:rPr>
                    <w:t>依托现有</w:t>
                  </w:r>
                  <w:r>
                    <w:rPr>
                      <w:rFonts w:hint="eastAsia"/>
                      <w:color w:val="auto"/>
                      <w:sz w:val="21"/>
                      <w:szCs w:val="21"/>
                      <w:lang w:val="en-US" w:eastAsia="zh-CN"/>
                    </w:rPr>
                    <w:t>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18"/>
                    </w:rPr>
                  </w:pPr>
                  <w:r>
                    <w:rPr>
                      <w:rFonts w:hint="eastAsia"/>
                      <w:sz w:val="21"/>
                      <w:szCs w:val="18"/>
                    </w:rPr>
                    <w:t>水泥</w:t>
                  </w:r>
                  <w:r>
                    <w:rPr>
                      <w:sz w:val="21"/>
                      <w:szCs w:val="18"/>
                    </w:rPr>
                    <w:t>仓</w:t>
                  </w:r>
                </w:p>
                <w:p>
                  <w:pPr>
                    <w:jc w:val="center"/>
                    <w:rPr>
                      <w:sz w:val="21"/>
                      <w:szCs w:val="18"/>
                    </w:rPr>
                  </w:pPr>
                  <w:r>
                    <w:rPr>
                      <w:sz w:val="21"/>
                      <w:szCs w:val="18"/>
                    </w:rPr>
                    <w:t>（筒仓，</w:t>
                  </w:r>
                  <w:r>
                    <w:rPr>
                      <w:rFonts w:hint="eastAsia"/>
                      <w:sz w:val="21"/>
                      <w:szCs w:val="18"/>
                    </w:rPr>
                    <w:t>2</w:t>
                  </w:r>
                  <w:r>
                    <w:rPr>
                      <w:sz w:val="21"/>
                      <w:szCs w:val="18"/>
                    </w:rPr>
                    <w:t>个）</w:t>
                  </w:r>
                </w:p>
              </w:tc>
              <w:tc>
                <w:tcPr>
                  <w:tcW w:w="3975" w:type="dxa"/>
                  <w:vAlign w:val="center"/>
                </w:tcPr>
                <w:p>
                  <w:pPr>
                    <w:jc w:val="center"/>
                    <w:rPr>
                      <w:color w:val="auto"/>
                      <w:sz w:val="21"/>
                      <w:szCs w:val="18"/>
                    </w:rPr>
                  </w:pPr>
                  <w:r>
                    <w:rPr>
                      <w:color w:val="auto"/>
                      <w:sz w:val="21"/>
                      <w:szCs w:val="18"/>
                    </w:rPr>
                    <w:t>用于贮存</w:t>
                  </w:r>
                  <w:r>
                    <w:rPr>
                      <w:rFonts w:hint="eastAsia"/>
                      <w:color w:val="auto"/>
                      <w:sz w:val="21"/>
                      <w:szCs w:val="18"/>
                    </w:rPr>
                    <w:t>原料水泥</w:t>
                  </w:r>
                  <w:r>
                    <w:rPr>
                      <w:color w:val="auto"/>
                      <w:sz w:val="21"/>
                      <w:szCs w:val="18"/>
                    </w:rPr>
                    <w:t>，</w:t>
                  </w:r>
                  <w:r>
                    <w:rPr>
                      <w:rFonts w:hint="eastAsia"/>
                      <w:color w:val="auto"/>
                      <w:sz w:val="21"/>
                      <w:szCs w:val="18"/>
                    </w:rPr>
                    <w:t>2个</w:t>
                  </w:r>
                  <w:r>
                    <w:rPr>
                      <w:color w:val="auto"/>
                      <w:sz w:val="21"/>
                      <w:szCs w:val="18"/>
                    </w:rPr>
                    <w:t>，</w:t>
                  </w:r>
                  <w:r>
                    <w:rPr>
                      <w:rFonts w:hint="eastAsia"/>
                      <w:color w:val="auto"/>
                      <w:sz w:val="21"/>
                      <w:szCs w:val="18"/>
                      <w:lang w:val="en-US" w:eastAsia="zh-CN"/>
                    </w:rPr>
                    <w:t>均为</w:t>
                  </w:r>
                  <w:r>
                    <w:rPr>
                      <w:color w:val="auto"/>
                      <w:sz w:val="21"/>
                      <w:szCs w:val="18"/>
                    </w:rPr>
                    <w:t>50吨卧式</w:t>
                  </w:r>
                  <w:r>
                    <w:rPr>
                      <w:rFonts w:hint="eastAsia"/>
                      <w:color w:val="auto"/>
                      <w:sz w:val="21"/>
                      <w:szCs w:val="18"/>
                    </w:rPr>
                    <w:t>水泥仓，分别位于1#生产车间内和</w:t>
                  </w:r>
                  <w:r>
                    <w:rPr>
                      <w:rFonts w:hint="eastAsia"/>
                      <w:color w:val="auto"/>
                      <w:sz w:val="21"/>
                      <w:szCs w:val="21"/>
                    </w:rPr>
                    <w:t>2#</w:t>
                  </w:r>
                  <w:r>
                    <w:rPr>
                      <w:color w:val="auto"/>
                      <w:sz w:val="21"/>
                      <w:szCs w:val="21"/>
                    </w:rPr>
                    <w:t>生产</w:t>
                  </w:r>
                  <w:r>
                    <w:rPr>
                      <w:rFonts w:hint="eastAsia"/>
                      <w:color w:val="auto"/>
                      <w:sz w:val="21"/>
                      <w:szCs w:val="21"/>
                    </w:rPr>
                    <w:t>车间</w:t>
                  </w:r>
                </w:p>
              </w:tc>
              <w:tc>
                <w:tcPr>
                  <w:tcW w:w="1222" w:type="dxa"/>
                  <w:vAlign w:val="center"/>
                </w:tcPr>
                <w:p>
                  <w:pPr>
                    <w:jc w:val="center"/>
                    <w:rPr>
                      <w:rFonts w:hint="eastAsia" w:eastAsia="宋体"/>
                      <w:color w:val="auto"/>
                      <w:sz w:val="21"/>
                      <w:szCs w:val="21"/>
                      <w:lang w:val="en-US" w:eastAsia="zh-CN"/>
                    </w:rPr>
                  </w:pPr>
                  <w:r>
                    <w:rPr>
                      <w:rStyle w:val="29"/>
                      <w:rFonts w:hint="eastAsia"/>
                      <w:color w:val="auto"/>
                      <w:kern w:val="0"/>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06" w:type="dxa"/>
                  <w:vAlign w:val="center"/>
                </w:tcPr>
                <w:p>
                  <w:pPr>
                    <w:jc w:val="center"/>
                    <w:rPr>
                      <w:sz w:val="21"/>
                      <w:szCs w:val="21"/>
                    </w:rPr>
                  </w:pPr>
                </w:p>
              </w:tc>
              <w:tc>
                <w:tcPr>
                  <w:tcW w:w="1634" w:type="dxa"/>
                  <w:vAlign w:val="center"/>
                </w:tcPr>
                <w:p>
                  <w:pPr>
                    <w:jc w:val="center"/>
                    <w:rPr>
                      <w:sz w:val="21"/>
                      <w:szCs w:val="18"/>
                    </w:rPr>
                  </w:pPr>
                  <w:r>
                    <w:rPr>
                      <w:rFonts w:hint="eastAsia"/>
                      <w:sz w:val="21"/>
                      <w:szCs w:val="18"/>
                    </w:rPr>
                    <w:t>配料仓</w:t>
                  </w:r>
                </w:p>
                <w:p>
                  <w:pPr>
                    <w:jc w:val="center"/>
                    <w:rPr>
                      <w:sz w:val="21"/>
                      <w:szCs w:val="18"/>
                    </w:rPr>
                  </w:pPr>
                  <w:r>
                    <w:rPr>
                      <w:sz w:val="21"/>
                      <w:szCs w:val="18"/>
                    </w:rPr>
                    <w:t>（筒仓，2个）</w:t>
                  </w:r>
                </w:p>
              </w:tc>
              <w:tc>
                <w:tcPr>
                  <w:tcW w:w="3975" w:type="dxa"/>
                  <w:vAlign w:val="center"/>
                </w:tcPr>
                <w:p>
                  <w:pPr>
                    <w:jc w:val="center"/>
                    <w:rPr>
                      <w:color w:val="auto"/>
                      <w:sz w:val="21"/>
                      <w:szCs w:val="18"/>
                    </w:rPr>
                  </w:pPr>
                  <w:r>
                    <w:rPr>
                      <w:color w:val="auto"/>
                      <w:sz w:val="21"/>
                      <w:szCs w:val="18"/>
                    </w:rPr>
                    <w:t>用于</w:t>
                  </w:r>
                  <w:r>
                    <w:rPr>
                      <w:rFonts w:hint="eastAsia"/>
                      <w:color w:val="auto"/>
                      <w:sz w:val="21"/>
                      <w:szCs w:val="18"/>
                    </w:rPr>
                    <w:t>水泥、炉渣的配料使用，2个，分别位于1#生产车间内和</w:t>
                  </w:r>
                  <w:r>
                    <w:rPr>
                      <w:rFonts w:hint="eastAsia"/>
                      <w:color w:val="auto"/>
                      <w:sz w:val="21"/>
                      <w:szCs w:val="21"/>
                    </w:rPr>
                    <w:t>2#</w:t>
                  </w:r>
                  <w:r>
                    <w:rPr>
                      <w:color w:val="auto"/>
                      <w:sz w:val="21"/>
                      <w:szCs w:val="21"/>
                    </w:rPr>
                    <w:t>生产</w:t>
                  </w:r>
                  <w:r>
                    <w:rPr>
                      <w:rFonts w:hint="eastAsia"/>
                      <w:color w:val="auto"/>
                      <w:sz w:val="21"/>
                      <w:szCs w:val="21"/>
                    </w:rPr>
                    <w:t>车间内，单个</w:t>
                  </w:r>
                  <w:r>
                    <w:rPr>
                      <w:color w:val="auto"/>
                      <w:sz w:val="21"/>
                      <w:szCs w:val="18"/>
                    </w:rPr>
                    <w:t>容积均为</w:t>
                  </w:r>
                  <w:r>
                    <w:rPr>
                      <w:rFonts w:hint="eastAsia"/>
                      <w:color w:val="auto"/>
                      <w:sz w:val="21"/>
                      <w:szCs w:val="18"/>
                    </w:rPr>
                    <w:t>1</w:t>
                  </w:r>
                  <w:r>
                    <w:rPr>
                      <w:color w:val="auto"/>
                      <w:sz w:val="21"/>
                      <w:szCs w:val="18"/>
                    </w:rPr>
                    <w:t>200m</w:t>
                  </w:r>
                  <w:r>
                    <w:rPr>
                      <w:color w:val="auto"/>
                      <w:sz w:val="21"/>
                      <w:szCs w:val="18"/>
                      <w:vertAlign w:val="superscript"/>
                    </w:rPr>
                    <w:t>3</w:t>
                  </w:r>
                </w:p>
              </w:tc>
              <w:tc>
                <w:tcPr>
                  <w:tcW w:w="1222" w:type="dxa"/>
                  <w:vAlign w:val="center"/>
                </w:tcPr>
                <w:p>
                  <w:pPr>
                    <w:jc w:val="center"/>
                    <w:rPr>
                      <w:rFonts w:hint="eastAsia" w:eastAsia="宋体"/>
                      <w:color w:val="auto"/>
                      <w:sz w:val="21"/>
                      <w:szCs w:val="21"/>
                      <w:lang w:val="en-US" w:eastAsia="zh-CN"/>
                    </w:rPr>
                  </w:pPr>
                  <w:r>
                    <w:rPr>
                      <w:rStyle w:val="29"/>
                      <w:rFonts w:hint="eastAsia"/>
                      <w:color w:val="auto"/>
                      <w:kern w:val="0"/>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106" w:type="dxa"/>
                  <w:vMerge w:val="restart"/>
                  <w:vAlign w:val="center"/>
                </w:tcPr>
                <w:p>
                  <w:pPr>
                    <w:jc w:val="center"/>
                    <w:rPr>
                      <w:sz w:val="21"/>
                      <w:szCs w:val="21"/>
                    </w:rPr>
                  </w:pPr>
                  <w:r>
                    <w:rPr>
                      <w:sz w:val="21"/>
                      <w:szCs w:val="21"/>
                    </w:rPr>
                    <w:t>公用工程</w:t>
                  </w:r>
                </w:p>
              </w:tc>
              <w:tc>
                <w:tcPr>
                  <w:tcW w:w="1634" w:type="dxa"/>
                  <w:vAlign w:val="center"/>
                </w:tcPr>
                <w:p>
                  <w:pPr>
                    <w:jc w:val="center"/>
                    <w:rPr>
                      <w:sz w:val="21"/>
                      <w:szCs w:val="21"/>
                    </w:rPr>
                  </w:pPr>
                  <w:r>
                    <w:rPr>
                      <w:sz w:val="21"/>
                      <w:szCs w:val="21"/>
                    </w:rPr>
                    <w:t>供水</w:t>
                  </w:r>
                </w:p>
              </w:tc>
              <w:tc>
                <w:tcPr>
                  <w:tcW w:w="3975" w:type="dxa"/>
                  <w:vAlign w:val="center"/>
                </w:tcPr>
                <w:p>
                  <w:pPr>
                    <w:adjustRightInd w:val="0"/>
                    <w:snapToGrid w:val="0"/>
                    <w:jc w:val="center"/>
                    <w:rPr>
                      <w:color w:val="auto"/>
                      <w:sz w:val="21"/>
                      <w:szCs w:val="21"/>
                    </w:rPr>
                  </w:pPr>
                  <w:r>
                    <w:rPr>
                      <w:rFonts w:hint="eastAsia"/>
                      <w:color w:val="auto"/>
                      <w:sz w:val="21"/>
                      <w:szCs w:val="21"/>
                    </w:rPr>
                    <w:t>项目用水主要为生活用水、养护用水、搅拌用水和设备及地面清洗用水，用水量为</w:t>
                  </w:r>
                  <w:r>
                    <w:rPr>
                      <w:rFonts w:hint="eastAsia"/>
                      <w:color w:val="auto"/>
                      <w:sz w:val="21"/>
                      <w:szCs w:val="21"/>
                      <w:lang w:val="en-US" w:eastAsia="zh-CN"/>
                    </w:rPr>
                    <w:t>4975.2</w:t>
                  </w:r>
                  <w:r>
                    <w:rPr>
                      <w:rFonts w:hint="eastAsia"/>
                      <w:color w:val="auto"/>
                      <w:sz w:val="21"/>
                      <w:szCs w:val="21"/>
                    </w:rPr>
                    <w:t>t/a</w:t>
                  </w:r>
                </w:p>
              </w:tc>
              <w:tc>
                <w:tcPr>
                  <w:tcW w:w="1222" w:type="dxa"/>
                  <w:vAlign w:val="center"/>
                </w:tcPr>
                <w:p>
                  <w:pPr>
                    <w:jc w:val="center"/>
                    <w:rPr>
                      <w:color w:val="auto"/>
                      <w:sz w:val="21"/>
                      <w:szCs w:val="21"/>
                    </w:rPr>
                  </w:pPr>
                  <w:r>
                    <w:rPr>
                      <w:color w:val="auto"/>
                      <w:sz w:val="21"/>
                      <w:szCs w:val="21"/>
                    </w:rPr>
                    <w:t>依托</w:t>
                  </w:r>
                  <w:r>
                    <w:rPr>
                      <w:rFonts w:hint="eastAsia"/>
                      <w:color w:val="auto"/>
                      <w:sz w:val="21"/>
                      <w:szCs w:val="21"/>
                    </w:rPr>
                    <w:t>市政管网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21"/>
                    </w:rPr>
                  </w:pPr>
                  <w:r>
                    <w:rPr>
                      <w:sz w:val="21"/>
                      <w:szCs w:val="21"/>
                    </w:rPr>
                    <w:t>排水</w:t>
                  </w:r>
                </w:p>
              </w:tc>
              <w:tc>
                <w:tcPr>
                  <w:tcW w:w="3975" w:type="dxa"/>
                  <w:vAlign w:val="center"/>
                </w:tcPr>
                <w:p>
                  <w:pPr>
                    <w:adjustRightInd w:val="0"/>
                    <w:snapToGrid w:val="0"/>
                    <w:jc w:val="center"/>
                    <w:rPr>
                      <w:color w:val="auto"/>
                      <w:sz w:val="21"/>
                      <w:szCs w:val="21"/>
                    </w:rPr>
                  </w:pPr>
                  <w:r>
                    <w:rPr>
                      <w:color w:val="auto"/>
                      <w:sz w:val="21"/>
                      <w:szCs w:val="21"/>
                    </w:rPr>
                    <w:t>项目采用雨污分流。雨水进入雨水收集管网后进入市政雨水管网；生活污水</w:t>
                  </w:r>
                  <w:r>
                    <w:rPr>
                      <w:rFonts w:hint="eastAsia"/>
                      <w:color w:val="auto"/>
                      <w:sz w:val="21"/>
                      <w:szCs w:val="21"/>
                    </w:rPr>
                    <w:t>（168.96t/a）</w:t>
                  </w:r>
                  <w:r>
                    <w:rPr>
                      <w:color w:val="auto"/>
                      <w:sz w:val="21"/>
                      <w:szCs w:val="21"/>
                    </w:rPr>
                    <w:t>经</w:t>
                  </w:r>
                  <w:r>
                    <w:rPr>
                      <w:rFonts w:hint="eastAsia"/>
                      <w:color w:val="auto"/>
                      <w:sz w:val="21"/>
                      <w:szCs w:val="21"/>
                    </w:rPr>
                    <w:t>隔油池+化粪池处理后定期清掏不外排，设备及地面清洗产生的废水（</w:t>
                  </w:r>
                  <w:r>
                    <w:rPr>
                      <w:rFonts w:hint="eastAsia"/>
                      <w:color w:val="auto"/>
                      <w:sz w:val="21"/>
                      <w:szCs w:val="21"/>
                      <w:lang w:val="en-US" w:eastAsia="zh-CN"/>
                    </w:rPr>
                    <w:t>1</w:t>
                  </w:r>
                  <w:r>
                    <w:rPr>
                      <w:rFonts w:hint="eastAsia"/>
                      <w:color w:val="auto"/>
                      <w:sz w:val="21"/>
                      <w:szCs w:val="21"/>
                    </w:rPr>
                    <w:t>44t/a）经沉淀池处理后回用</w:t>
                  </w:r>
                  <w:r>
                    <w:rPr>
                      <w:color w:val="auto"/>
                      <w:sz w:val="21"/>
                      <w:szCs w:val="21"/>
                    </w:rPr>
                    <w:t>。</w:t>
                  </w:r>
                </w:p>
              </w:tc>
              <w:tc>
                <w:tcPr>
                  <w:tcW w:w="1222" w:type="dxa"/>
                  <w:vAlign w:val="center"/>
                </w:tcPr>
                <w:p>
                  <w:pPr>
                    <w:jc w:val="center"/>
                    <w:rPr>
                      <w:color w:val="auto"/>
                      <w:sz w:val="21"/>
                      <w:szCs w:val="21"/>
                    </w:rPr>
                  </w:pPr>
                  <w:r>
                    <w:rPr>
                      <w:rFonts w:hint="eastAsia"/>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21"/>
                    </w:rPr>
                  </w:pPr>
                  <w:r>
                    <w:rPr>
                      <w:sz w:val="21"/>
                      <w:szCs w:val="21"/>
                    </w:rPr>
                    <w:t>供电</w:t>
                  </w:r>
                </w:p>
              </w:tc>
              <w:tc>
                <w:tcPr>
                  <w:tcW w:w="3975" w:type="dxa"/>
                  <w:vAlign w:val="center"/>
                </w:tcPr>
                <w:p>
                  <w:pPr>
                    <w:adjustRightInd w:val="0"/>
                    <w:snapToGrid w:val="0"/>
                    <w:jc w:val="center"/>
                    <w:rPr>
                      <w:color w:val="auto"/>
                      <w:sz w:val="21"/>
                      <w:szCs w:val="21"/>
                    </w:rPr>
                  </w:pPr>
                  <w:r>
                    <w:rPr>
                      <w:color w:val="auto"/>
                      <w:sz w:val="21"/>
                      <w:szCs w:val="21"/>
                    </w:rPr>
                    <w:t>用电量约</w:t>
                  </w:r>
                  <w:r>
                    <w:rPr>
                      <w:rFonts w:hint="eastAsia"/>
                      <w:color w:val="auto"/>
                      <w:sz w:val="21"/>
                      <w:szCs w:val="21"/>
                    </w:rPr>
                    <w:t>10</w:t>
                  </w:r>
                  <w:r>
                    <w:rPr>
                      <w:color w:val="auto"/>
                      <w:sz w:val="21"/>
                      <w:szCs w:val="21"/>
                    </w:rPr>
                    <w:t>万kW∙h/a，园区供电管网供电</w:t>
                  </w:r>
                </w:p>
              </w:tc>
              <w:tc>
                <w:tcPr>
                  <w:tcW w:w="1222" w:type="dxa"/>
                  <w:vAlign w:val="center"/>
                </w:tcPr>
                <w:p>
                  <w:pPr>
                    <w:jc w:val="center"/>
                    <w:rPr>
                      <w:color w:val="auto"/>
                      <w:sz w:val="21"/>
                      <w:szCs w:val="21"/>
                    </w:rPr>
                  </w:pPr>
                  <w:r>
                    <w:rPr>
                      <w:color w:val="auto"/>
                      <w:sz w:val="21"/>
                      <w:szCs w:val="21"/>
                    </w:rPr>
                    <w:t>依托</w:t>
                  </w:r>
                  <w:r>
                    <w:rPr>
                      <w:rFonts w:hint="eastAsia"/>
                      <w:color w:val="auto"/>
                      <w:sz w:val="21"/>
                      <w:szCs w:val="21"/>
                    </w:rPr>
                    <w:t>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restart"/>
                  <w:vAlign w:val="center"/>
                </w:tcPr>
                <w:p>
                  <w:pPr>
                    <w:jc w:val="center"/>
                    <w:rPr>
                      <w:sz w:val="21"/>
                      <w:szCs w:val="21"/>
                    </w:rPr>
                  </w:pPr>
                  <w:bookmarkStart w:id="3" w:name="OLE_LINK23" w:colFirst="0" w:colLast="0"/>
                  <w:r>
                    <w:rPr>
                      <w:sz w:val="21"/>
                      <w:szCs w:val="21"/>
                    </w:rPr>
                    <w:t>环保工程</w:t>
                  </w:r>
                </w:p>
              </w:tc>
              <w:tc>
                <w:tcPr>
                  <w:tcW w:w="1634" w:type="dxa"/>
                  <w:vAlign w:val="center"/>
                </w:tcPr>
                <w:p>
                  <w:pPr>
                    <w:jc w:val="center"/>
                    <w:rPr>
                      <w:sz w:val="21"/>
                      <w:szCs w:val="21"/>
                    </w:rPr>
                  </w:pPr>
                  <w:r>
                    <w:rPr>
                      <w:sz w:val="21"/>
                      <w:szCs w:val="21"/>
                    </w:rPr>
                    <w:t>废气处理</w:t>
                  </w:r>
                </w:p>
              </w:tc>
              <w:tc>
                <w:tcPr>
                  <w:tcW w:w="3975" w:type="dxa"/>
                  <w:vAlign w:val="center"/>
                </w:tcPr>
                <w:p>
                  <w:pPr>
                    <w:jc w:val="center"/>
                    <w:rPr>
                      <w:color w:val="auto"/>
                      <w:kern w:val="0"/>
                      <w:sz w:val="21"/>
                      <w:szCs w:val="21"/>
                    </w:rPr>
                  </w:pPr>
                  <w:r>
                    <w:rPr>
                      <w:color w:val="auto"/>
                      <w:kern w:val="0"/>
                      <w:sz w:val="21"/>
                      <w:szCs w:val="21"/>
                    </w:rPr>
                    <w:t>水泥仓呼吸粉尘通过设备自带布袋除尘器处理</w:t>
                  </w:r>
                  <w:r>
                    <w:rPr>
                      <w:rFonts w:hint="eastAsia"/>
                      <w:color w:val="auto"/>
                      <w:kern w:val="0"/>
                      <w:sz w:val="21"/>
                      <w:szCs w:val="21"/>
                    </w:rPr>
                    <w:t>；物料混合搅拌粉尘通过设备自带布袋除尘器处理，处理后的废气与封闭车间内无组织排放</w:t>
                  </w:r>
                </w:p>
              </w:tc>
              <w:tc>
                <w:tcPr>
                  <w:tcW w:w="1222" w:type="dxa"/>
                  <w:vAlign w:val="center"/>
                </w:tcPr>
                <w:p>
                  <w:pPr>
                    <w:jc w:val="center"/>
                    <w:rPr>
                      <w:rFonts w:hint="eastAsia" w:eastAsia="宋体"/>
                      <w:color w:val="auto"/>
                      <w:sz w:val="21"/>
                      <w:szCs w:val="21"/>
                      <w:lang w:val="en-US" w:eastAsia="zh-CN"/>
                    </w:rPr>
                  </w:pPr>
                  <w:r>
                    <w:rPr>
                      <w:rStyle w:val="29"/>
                      <w:rFonts w:hint="eastAsia"/>
                      <w:color w:val="auto"/>
                      <w:kern w:val="0"/>
                      <w:szCs w:val="20"/>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21"/>
                    </w:rPr>
                  </w:pPr>
                  <w:r>
                    <w:rPr>
                      <w:sz w:val="21"/>
                      <w:szCs w:val="21"/>
                    </w:rPr>
                    <w:t>废水处理</w:t>
                  </w:r>
                </w:p>
              </w:tc>
              <w:tc>
                <w:tcPr>
                  <w:tcW w:w="3975" w:type="dxa"/>
                  <w:vAlign w:val="center"/>
                </w:tcPr>
                <w:p>
                  <w:pPr>
                    <w:jc w:val="center"/>
                    <w:rPr>
                      <w:color w:val="auto"/>
                      <w:sz w:val="21"/>
                      <w:szCs w:val="21"/>
                    </w:rPr>
                  </w:pPr>
                  <w:r>
                    <w:rPr>
                      <w:color w:val="auto"/>
                      <w:sz w:val="21"/>
                      <w:szCs w:val="21"/>
                    </w:rPr>
                    <w:t>生活污水经</w:t>
                  </w:r>
                  <w:r>
                    <w:rPr>
                      <w:rFonts w:hint="eastAsia"/>
                      <w:color w:val="auto"/>
                      <w:sz w:val="21"/>
                      <w:szCs w:val="21"/>
                    </w:rPr>
                    <w:t>隔油池+化粪池处理，定期清掏不外排；设备及地面清洗产生的废水经沉淀池处理，处理后的废水回用</w:t>
                  </w:r>
                </w:p>
              </w:tc>
              <w:tc>
                <w:tcPr>
                  <w:tcW w:w="1222" w:type="dxa"/>
                  <w:vAlign w:val="center"/>
                </w:tcPr>
                <w:p>
                  <w:pPr>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vAlign w:val="center"/>
                </w:tcPr>
                <w:p>
                  <w:pPr>
                    <w:jc w:val="center"/>
                    <w:rPr>
                      <w:sz w:val="21"/>
                      <w:szCs w:val="21"/>
                    </w:rPr>
                  </w:pPr>
                </w:p>
              </w:tc>
              <w:tc>
                <w:tcPr>
                  <w:tcW w:w="1634" w:type="dxa"/>
                  <w:vAlign w:val="center"/>
                </w:tcPr>
                <w:p>
                  <w:pPr>
                    <w:jc w:val="center"/>
                    <w:rPr>
                      <w:sz w:val="21"/>
                      <w:szCs w:val="21"/>
                    </w:rPr>
                  </w:pPr>
                  <w:r>
                    <w:rPr>
                      <w:sz w:val="21"/>
                      <w:szCs w:val="21"/>
                    </w:rPr>
                    <w:t>噪声处理</w:t>
                  </w:r>
                </w:p>
              </w:tc>
              <w:tc>
                <w:tcPr>
                  <w:tcW w:w="3975" w:type="dxa"/>
                  <w:vAlign w:val="center"/>
                </w:tcPr>
                <w:p>
                  <w:pPr>
                    <w:jc w:val="center"/>
                    <w:rPr>
                      <w:color w:val="auto"/>
                      <w:sz w:val="21"/>
                      <w:szCs w:val="21"/>
                    </w:rPr>
                  </w:pPr>
                  <w:r>
                    <w:rPr>
                      <w:color w:val="auto"/>
                      <w:sz w:val="21"/>
                      <w:szCs w:val="21"/>
                    </w:rPr>
                    <w:t>采取厂房隔声、基础减振等降噪措施</w:t>
                  </w:r>
                </w:p>
              </w:tc>
              <w:tc>
                <w:tcPr>
                  <w:tcW w:w="1222" w:type="dxa"/>
                  <w:vAlign w:val="center"/>
                </w:tcPr>
                <w:p>
                  <w:pPr>
                    <w:jc w:val="center"/>
                    <w:rPr>
                      <w:color w:val="auto"/>
                      <w:sz w:val="21"/>
                      <w:szCs w:val="21"/>
                    </w:rPr>
                  </w:pPr>
                  <w:r>
                    <w:rPr>
                      <w:rFonts w:hint="eastAsia"/>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6" w:type="dxa"/>
                  <w:vMerge w:val="continue"/>
                  <w:vAlign w:val="center"/>
                </w:tcPr>
                <w:p>
                  <w:pPr>
                    <w:jc w:val="center"/>
                    <w:rPr>
                      <w:sz w:val="21"/>
                      <w:szCs w:val="21"/>
                    </w:rPr>
                  </w:pPr>
                </w:p>
              </w:tc>
              <w:tc>
                <w:tcPr>
                  <w:tcW w:w="1634" w:type="dxa"/>
                  <w:vMerge w:val="restart"/>
                  <w:vAlign w:val="center"/>
                </w:tcPr>
                <w:p>
                  <w:pPr>
                    <w:jc w:val="center"/>
                    <w:rPr>
                      <w:sz w:val="21"/>
                      <w:szCs w:val="21"/>
                    </w:rPr>
                  </w:pPr>
                  <w:r>
                    <w:rPr>
                      <w:sz w:val="21"/>
                      <w:szCs w:val="21"/>
                    </w:rPr>
                    <w:t>固废处理</w:t>
                  </w:r>
                </w:p>
              </w:tc>
              <w:tc>
                <w:tcPr>
                  <w:tcW w:w="3975" w:type="dxa"/>
                  <w:vAlign w:val="center"/>
                </w:tcPr>
                <w:p>
                  <w:pPr>
                    <w:jc w:val="center"/>
                    <w:rPr>
                      <w:color w:val="auto"/>
                      <w:sz w:val="21"/>
                      <w:szCs w:val="21"/>
                    </w:rPr>
                  </w:pPr>
                  <w:r>
                    <w:rPr>
                      <w:color w:val="auto"/>
                      <w:sz w:val="21"/>
                      <w:szCs w:val="21"/>
                    </w:rPr>
                    <w:t>生活垃圾由环卫部门清运</w:t>
                  </w:r>
                </w:p>
              </w:tc>
              <w:tc>
                <w:tcPr>
                  <w:tcW w:w="1222" w:type="dxa"/>
                  <w:vMerge w:val="restart"/>
                  <w:vAlign w:val="center"/>
                </w:tcPr>
                <w:p>
                  <w:pPr>
                    <w:jc w:val="center"/>
                    <w:rPr>
                      <w:color w:val="auto"/>
                      <w:sz w:val="21"/>
                      <w:szCs w:val="21"/>
                    </w:rPr>
                  </w:pPr>
                  <w:r>
                    <w:rPr>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1106" w:type="dxa"/>
                  <w:vMerge w:val="continue"/>
                  <w:vAlign w:val="center"/>
                </w:tcPr>
                <w:p>
                  <w:pPr>
                    <w:jc w:val="center"/>
                    <w:rPr>
                      <w:sz w:val="21"/>
                      <w:szCs w:val="21"/>
                    </w:rPr>
                  </w:pPr>
                </w:p>
              </w:tc>
              <w:tc>
                <w:tcPr>
                  <w:tcW w:w="1634" w:type="dxa"/>
                  <w:vMerge w:val="continue"/>
                  <w:vAlign w:val="center"/>
                </w:tcPr>
                <w:p>
                  <w:pPr>
                    <w:spacing w:line="276" w:lineRule="auto"/>
                    <w:jc w:val="center"/>
                    <w:rPr>
                      <w:sz w:val="21"/>
                      <w:szCs w:val="21"/>
                    </w:rPr>
                  </w:pPr>
                </w:p>
              </w:tc>
              <w:tc>
                <w:tcPr>
                  <w:tcW w:w="3975" w:type="dxa"/>
                  <w:vAlign w:val="center"/>
                </w:tcPr>
                <w:p>
                  <w:pPr>
                    <w:spacing w:line="276" w:lineRule="auto"/>
                    <w:jc w:val="center"/>
                    <w:rPr>
                      <w:rFonts w:hint="eastAsia" w:eastAsia="宋体"/>
                      <w:sz w:val="21"/>
                      <w:szCs w:val="21"/>
                      <w:lang w:eastAsia="zh-CN"/>
                    </w:rPr>
                  </w:pPr>
                  <w:r>
                    <w:rPr>
                      <w:rFonts w:hint="default" w:ascii="Times New Roman" w:hAnsi="Times New Roman" w:eastAsia="宋体" w:cs="Times New Roman"/>
                      <w:sz w:val="21"/>
                      <w:szCs w:val="21"/>
                    </w:rPr>
                    <w:t>一般固体废物包括边角料、不合格品、底泥、收集的粉尘，收集后暂存于一般固废暂存间；一般固废暂存间位于3#生产车间内北部，建筑面积约30m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废机油、废机油桶等</w:t>
                  </w:r>
                  <w:r>
                    <w:rPr>
                      <w:rFonts w:hint="default" w:ascii="Times New Roman" w:hAnsi="Times New Roman" w:eastAsia="宋体" w:cs="Times New Roman"/>
                      <w:sz w:val="21"/>
                      <w:szCs w:val="21"/>
                    </w:rPr>
                    <w:t>危险废物收集后暂存于危废间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rPr>
                    <w:t>位于3#生产车间内北部</w:t>
                  </w:r>
                  <w:r>
                    <w:rPr>
                      <w:rStyle w:val="29"/>
                      <w:rFonts w:hint="default" w:ascii="Times New Roman" w:hAnsi="Times New Roman" w:eastAsia="宋体" w:cs="Times New Roman"/>
                      <w:kern w:val="0"/>
                      <w:sz w:val="21"/>
                      <w:szCs w:val="21"/>
                    </w:rPr>
                    <w:t>，占地面积约为1</w:t>
                  </w:r>
                  <w:r>
                    <w:rPr>
                      <w:rStyle w:val="29"/>
                      <w:rFonts w:hint="default" w:ascii="Times New Roman" w:hAnsi="Times New Roman" w:eastAsia="宋体" w:cs="Times New Roman"/>
                      <w:kern w:val="0"/>
                      <w:sz w:val="21"/>
                      <w:szCs w:val="21"/>
                      <w:lang w:val="en-US" w:eastAsia="zh-CN"/>
                    </w:rPr>
                    <w:t>0</w:t>
                  </w:r>
                  <w:r>
                    <w:rPr>
                      <w:rFonts w:hint="default" w:ascii="Times New Roman" w:hAnsi="Times New Roman" w:eastAsia="宋体" w:cs="Times New Roman"/>
                      <w:sz w:val="21"/>
                      <w:szCs w:val="21"/>
                    </w:rPr>
                    <w:t>m</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sz w:val="21"/>
                      <w:szCs w:val="21"/>
                    </w:rPr>
                    <w:t>。</w:t>
                  </w:r>
                </w:p>
              </w:tc>
              <w:tc>
                <w:tcPr>
                  <w:tcW w:w="1222"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6" w:type="dxa"/>
                  <w:vMerge w:val="continue"/>
                  <w:vAlign w:val="center"/>
                </w:tcPr>
                <w:p>
                  <w:pPr>
                    <w:spacing w:line="276" w:lineRule="auto"/>
                    <w:jc w:val="center"/>
                    <w:rPr>
                      <w:sz w:val="21"/>
                      <w:szCs w:val="21"/>
                    </w:rPr>
                  </w:pPr>
                </w:p>
              </w:tc>
              <w:tc>
                <w:tcPr>
                  <w:tcW w:w="1634" w:type="dxa"/>
                  <w:vAlign w:val="center"/>
                </w:tcPr>
                <w:p>
                  <w:pPr>
                    <w:jc w:val="center"/>
                    <w:rPr>
                      <w:sz w:val="21"/>
                      <w:szCs w:val="21"/>
                    </w:rPr>
                  </w:pPr>
                  <w:r>
                    <w:rPr>
                      <w:sz w:val="21"/>
                      <w:szCs w:val="21"/>
                    </w:rPr>
                    <w:t>地下水、土壤污染防治措施</w:t>
                  </w:r>
                </w:p>
              </w:tc>
              <w:tc>
                <w:tcPr>
                  <w:tcW w:w="3975" w:type="dxa"/>
                  <w:vAlign w:val="center"/>
                </w:tcPr>
                <w:p>
                  <w:pPr>
                    <w:adjustRightInd w:val="0"/>
                    <w:snapToGrid w:val="0"/>
                    <w:jc w:val="left"/>
                    <w:rPr>
                      <w:sz w:val="21"/>
                      <w:szCs w:val="21"/>
                    </w:rPr>
                  </w:pPr>
                  <w:r>
                    <w:rPr>
                      <w:sz w:val="21"/>
                      <w:szCs w:val="21"/>
                    </w:rPr>
                    <w:t>根据《环境影响评价技术导则 地下水环境》（HJ610-2016）中“表7 地下水污染防渗分区参照表”分区防渗：</w:t>
                  </w:r>
                </w:p>
                <w:p>
                  <w:pPr>
                    <w:adjustRightInd w:val="0"/>
                    <w:snapToGrid w:val="0"/>
                    <w:jc w:val="left"/>
                    <w:rPr>
                      <w:sz w:val="21"/>
                      <w:szCs w:val="21"/>
                    </w:rPr>
                  </w:pPr>
                  <w:r>
                    <w:rPr>
                      <w:sz w:val="21"/>
                      <w:szCs w:val="21"/>
                    </w:rPr>
                    <w:t>（1）重点防渗（防渗区域：</w:t>
                  </w:r>
                  <w:r>
                    <w:rPr>
                      <w:rFonts w:hint="eastAsia"/>
                      <w:sz w:val="21"/>
                      <w:szCs w:val="21"/>
                    </w:rPr>
                    <w:t>隔油池、化粪池、沉淀池</w:t>
                  </w:r>
                  <w:r>
                    <w:rPr>
                      <w:sz w:val="21"/>
                      <w:szCs w:val="21"/>
                    </w:rPr>
                    <w:t>）：基础必须防渗，防渗层为至少6米厚粘土层（渗透系数≤10</w:t>
                  </w:r>
                  <w:r>
                    <w:rPr>
                      <w:sz w:val="21"/>
                      <w:szCs w:val="21"/>
                      <w:vertAlign w:val="superscript"/>
                    </w:rPr>
                    <w:t>-7</w:t>
                  </w:r>
                  <w:r>
                    <w:rPr>
                      <w:sz w:val="21"/>
                      <w:szCs w:val="21"/>
                    </w:rPr>
                    <w:t>cm/s），或2mm厚高密度聚乙烯，或至少2mm厚的其他人工材料，渗透系数≤10</w:t>
                  </w:r>
                  <w:r>
                    <w:rPr>
                      <w:sz w:val="21"/>
                      <w:szCs w:val="21"/>
                      <w:vertAlign w:val="superscript"/>
                    </w:rPr>
                    <w:t>-10</w:t>
                  </w:r>
                  <w:r>
                    <w:rPr>
                      <w:sz w:val="21"/>
                      <w:szCs w:val="21"/>
                    </w:rPr>
                    <w:t>cm/s</w:t>
                  </w:r>
                  <w:r>
                    <w:rPr>
                      <w:rFonts w:hint="eastAsia"/>
                      <w:sz w:val="21"/>
                      <w:szCs w:val="21"/>
                    </w:rPr>
                    <w:t>，</w:t>
                  </w:r>
                  <w:r>
                    <w:rPr>
                      <w:sz w:val="21"/>
                      <w:szCs w:val="21"/>
                    </w:rPr>
                    <w:t>企业拟采用措施15cm抗渗混凝土+2mm厚高密度聚乙烯</w:t>
                  </w:r>
                </w:p>
                <w:p>
                  <w:pPr>
                    <w:adjustRightInd w:val="0"/>
                    <w:snapToGrid w:val="0"/>
                    <w:jc w:val="left"/>
                    <w:rPr>
                      <w:sz w:val="21"/>
                      <w:szCs w:val="21"/>
                    </w:rPr>
                  </w:pPr>
                  <w:r>
                    <w:rPr>
                      <w:sz w:val="21"/>
                      <w:szCs w:val="21"/>
                    </w:rPr>
                    <w:t>（2）一般防渗（防渗区域：生产区、一般固废暂存间、存储区）：采用天然或人工材料构筑防渗层，防渗层的厚度应相当于渗透系数1.0×10</w:t>
                  </w:r>
                  <w:r>
                    <w:rPr>
                      <w:sz w:val="21"/>
                      <w:szCs w:val="21"/>
                      <w:vertAlign w:val="superscript"/>
                    </w:rPr>
                    <w:t>-7</w:t>
                  </w:r>
                  <w:r>
                    <w:rPr>
                      <w:sz w:val="21"/>
                      <w:szCs w:val="21"/>
                    </w:rPr>
                    <w:t>cm/s和厚度1.5m的天然基础层的防渗性能</w:t>
                  </w:r>
                  <w:r>
                    <w:rPr>
                      <w:rFonts w:hint="eastAsia"/>
                      <w:sz w:val="21"/>
                      <w:szCs w:val="21"/>
                    </w:rPr>
                    <w:t>，企业拟采用措施15cm抗渗混凝土</w:t>
                  </w:r>
                </w:p>
                <w:p>
                  <w:pPr>
                    <w:spacing w:line="276" w:lineRule="auto"/>
                    <w:jc w:val="left"/>
                    <w:rPr>
                      <w:sz w:val="21"/>
                      <w:szCs w:val="21"/>
                    </w:rPr>
                  </w:pPr>
                  <w:r>
                    <w:rPr>
                      <w:sz w:val="21"/>
                      <w:szCs w:val="21"/>
                    </w:rPr>
                    <w:t>（3）简单防渗（防渗区域：办公</w:t>
                  </w:r>
                  <w:r>
                    <w:rPr>
                      <w:rFonts w:hint="eastAsia"/>
                      <w:sz w:val="21"/>
                      <w:szCs w:val="21"/>
                    </w:rPr>
                    <w:t>区</w:t>
                  </w:r>
                  <w:r>
                    <w:rPr>
                      <w:sz w:val="21"/>
                      <w:szCs w:val="21"/>
                    </w:rPr>
                    <w:t>）：一般地面硬化</w:t>
                  </w:r>
                </w:p>
              </w:tc>
              <w:tc>
                <w:tcPr>
                  <w:tcW w:w="1222" w:type="dxa"/>
                  <w:vAlign w:val="center"/>
                </w:tcPr>
                <w:p>
                  <w:pPr>
                    <w:spacing w:line="276" w:lineRule="auto"/>
                    <w:jc w:val="center"/>
                    <w:rPr>
                      <w:sz w:val="21"/>
                      <w:szCs w:val="21"/>
                    </w:rPr>
                  </w:pPr>
                  <w:r>
                    <w:rPr>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6" w:type="dxa"/>
                  <w:vMerge w:val="continue"/>
                  <w:vAlign w:val="center"/>
                </w:tcPr>
                <w:p>
                  <w:pPr>
                    <w:spacing w:line="276" w:lineRule="auto"/>
                    <w:jc w:val="center"/>
                    <w:rPr>
                      <w:sz w:val="21"/>
                      <w:szCs w:val="21"/>
                    </w:rPr>
                  </w:pPr>
                </w:p>
              </w:tc>
              <w:tc>
                <w:tcPr>
                  <w:tcW w:w="1634" w:type="dxa"/>
                  <w:vAlign w:val="center"/>
                </w:tcPr>
                <w:p>
                  <w:pPr>
                    <w:adjustRightInd w:val="0"/>
                    <w:snapToGrid w:val="0"/>
                    <w:jc w:val="center"/>
                    <w:rPr>
                      <w:sz w:val="21"/>
                      <w:szCs w:val="21"/>
                    </w:rPr>
                  </w:pPr>
                  <w:r>
                    <w:rPr>
                      <w:sz w:val="21"/>
                      <w:szCs w:val="21"/>
                    </w:rPr>
                    <w:t>环境风险防范措施</w:t>
                  </w:r>
                </w:p>
              </w:tc>
              <w:tc>
                <w:tcPr>
                  <w:tcW w:w="3975" w:type="dxa"/>
                  <w:vAlign w:val="center"/>
                </w:tcPr>
                <w:p>
                  <w:pPr>
                    <w:jc w:val="left"/>
                    <w:rPr>
                      <w:sz w:val="21"/>
                      <w:szCs w:val="21"/>
                    </w:rPr>
                  </w:pPr>
                  <w:r>
                    <w:rPr>
                      <w:sz w:val="21"/>
                      <w:szCs w:val="21"/>
                    </w:rPr>
                    <w:t>车间内配置相应的消防设备、设施和灭火药剂；制定严格的运行操作规章制度，发生火灾、爆炸事故后，灭火的同时疏散周边无关人员</w:t>
                  </w:r>
                </w:p>
              </w:tc>
              <w:tc>
                <w:tcPr>
                  <w:tcW w:w="1222" w:type="dxa"/>
                  <w:vAlign w:val="center"/>
                </w:tcPr>
                <w:p>
                  <w:pPr>
                    <w:spacing w:line="276" w:lineRule="auto"/>
                    <w:jc w:val="center"/>
                    <w:rPr>
                      <w:sz w:val="21"/>
                      <w:szCs w:val="21"/>
                    </w:rPr>
                  </w:pPr>
                  <w:r>
                    <w:rPr>
                      <w:sz w:val="21"/>
                      <w:szCs w:val="21"/>
                    </w:rPr>
                    <w:t>新建</w:t>
                  </w:r>
                </w:p>
              </w:tc>
            </w:tr>
            <w:bookmarkEnd w:id="3"/>
          </w:tbl>
          <w:p>
            <w:pPr>
              <w:spacing w:line="360" w:lineRule="auto"/>
              <w:ind w:firstLine="480" w:firstLineChars="200"/>
            </w:pPr>
            <w:r>
              <w:t>2、产品方案</w:t>
            </w:r>
          </w:p>
          <w:p>
            <w:pPr>
              <w:autoSpaceDE w:val="0"/>
              <w:autoSpaceDN w:val="0"/>
              <w:adjustRightInd w:val="0"/>
              <w:spacing w:line="360" w:lineRule="auto"/>
              <w:ind w:firstLine="480"/>
            </w:pPr>
            <w:r>
              <w:rPr>
                <w:rFonts w:hint="eastAsia"/>
              </w:rPr>
              <w:t>本项目从事轻质隔墙板的生产，</w:t>
            </w:r>
            <w:r>
              <w:t>具体产品方案见下表。</w:t>
            </w:r>
          </w:p>
          <w:p>
            <w:pPr>
              <w:autoSpaceDE w:val="0"/>
              <w:autoSpaceDN w:val="0"/>
              <w:adjustRightInd w:val="0"/>
              <w:spacing w:line="360" w:lineRule="auto"/>
              <w:jc w:val="center"/>
              <w:rPr>
                <w:b/>
                <w:bCs/>
              </w:rPr>
            </w:pPr>
            <w:r>
              <w:rPr>
                <w:b/>
                <w:bCs/>
              </w:rPr>
              <w:t>表2-2   项目产品方案</w:t>
            </w:r>
            <w:r>
              <w:rPr>
                <w:rFonts w:hint="eastAsia"/>
                <w:b/>
                <w:bCs/>
              </w:rPr>
              <w:t>一览表</w:t>
            </w:r>
          </w:p>
          <w:tbl>
            <w:tblPr>
              <w:tblStyle w:val="24"/>
              <w:tblW w:w="7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2"/>
              <w:gridCol w:w="1876"/>
              <w:gridCol w:w="1876"/>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jc w:val="center"/>
              </w:trPr>
              <w:tc>
                <w:tcPr>
                  <w:tcW w:w="1832" w:type="dxa"/>
                  <w:vAlign w:val="center"/>
                </w:tcPr>
                <w:p>
                  <w:pPr>
                    <w:widowControl/>
                    <w:jc w:val="center"/>
                    <w:textAlignment w:val="center"/>
                    <w:rPr>
                      <w:b/>
                      <w:bCs/>
                      <w:sz w:val="21"/>
                      <w:szCs w:val="21"/>
                    </w:rPr>
                  </w:pPr>
                  <w:r>
                    <w:rPr>
                      <w:b/>
                      <w:bCs/>
                      <w:sz w:val="21"/>
                      <w:szCs w:val="21"/>
                    </w:rPr>
                    <w:t>产品名称</w:t>
                  </w:r>
                </w:p>
              </w:tc>
              <w:tc>
                <w:tcPr>
                  <w:tcW w:w="1876" w:type="dxa"/>
                  <w:vAlign w:val="center"/>
                </w:tcPr>
                <w:p>
                  <w:pPr>
                    <w:widowControl/>
                    <w:jc w:val="center"/>
                    <w:textAlignment w:val="center"/>
                    <w:rPr>
                      <w:b/>
                      <w:bCs/>
                      <w:sz w:val="21"/>
                      <w:szCs w:val="21"/>
                    </w:rPr>
                  </w:pPr>
                  <w:r>
                    <w:rPr>
                      <w:rFonts w:hint="eastAsia"/>
                      <w:b/>
                      <w:bCs/>
                      <w:sz w:val="21"/>
                      <w:szCs w:val="21"/>
                    </w:rPr>
                    <w:t>产品规格</w:t>
                  </w:r>
                </w:p>
              </w:tc>
              <w:tc>
                <w:tcPr>
                  <w:tcW w:w="1876" w:type="dxa"/>
                  <w:vAlign w:val="center"/>
                </w:tcPr>
                <w:p>
                  <w:pPr>
                    <w:widowControl/>
                    <w:jc w:val="center"/>
                    <w:textAlignment w:val="center"/>
                    <w:rPr>
                      <w:b/>
                      <w:bCs/>
                      <w:sz w:val="21"/>
                      <w:szCs w:val="21"/>
                    </w:rPr>
                  </w:pPr>
                  <w:r>
                    <w:rPr>
                      <w:rFonts w:hint="eastAsia"/>
                      <w:b/>
                      <w:bCs/>
                      <w:sz w:val="21"/>
                      <w:szCs w:val="21"/>
                    </w:rPr>
                    <w:t>单位</w:t>
                  </w:r>
                </w:p>
              </w:tc>
              <w:tc>
                <w:tcPr>
                  <w:tcW w:w="1474" w:type="dxa"/>
                  <w:vAlign w:val="center"/>
                </w:tcPr>
                <w:p>
                  <w:pPr>
                    <w:widowControl/>
                    <w:jc w:val="center"/>
                    <w:textAlignment w:val="center"/>
                    <w:rPr>
                      <w:b/>
                      <w:bCs/>
                      <w:sz w:val="21"/>
                      <w:szCs w:val="21"/>
                    </w:rPr>
                  </w:pPr>
                  <w:r>
                    <w:rPr>
                      <w:b/>
                      <w:bCs/>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832" w:type="dxa"/>
                  <w:vAlign w:val="center"/>
                </w:tcPr>
                <w:p>
                  <w:pPr>
                    <w:widowControl/>
                    <w:jc w:val="center"/>
                    <w:textAlignment w:val="center"/>
                    <w:rPr>
                      <w:sz w:val="21"/>
                      <w:szCs w:val="21"/>
                    </w:rPr>
                  </w:pPr>
                  <w:r>
                    <w:rPr>
                      <w:sz w:val="21"/>
                      <w:szCs w:val="21"/>
                    </w:rPr>
                    <w:t>轻质隔墙板</w:t>
                  </w:r>
                </w:p>
              </w:tc>
              <w:tc>
                <w:tcPr>
                  <w:tcW w:w="1876" w:type="dxa"/>
                  <w:vAlign w:val="center"/>
                </w:tcPr>
                <w:p>
                  <w:pPr>
                    <w:widowControl/>
                    <w:jc w:val="center"/>
                    <w:textAlignment w:val="center"/>
                    <w:rPr>
                      <w:sz w:val="21"/>
                      <w:szCs w:val="21"/>
                    </w:rPr>
                  </w:pPr>
                  <w:r>
                    <w:rPr>
                      <w:rFonts w:hint="eastAsia"/>
                      <w:sz w:val="21"/>
                      <w:szCs w:val="21"/>
                    </w:rPr>
                    <w:t>10-200mm</w:t>
                  </w:r>
                </w:p>
              </w:tc>
              <w:tc>
                <w:tcPr>
                  <w:tcW w:w="1876" w:type="dxa"/>
                  <w:vAlign w:val="center"/>
                </w:tcPr>
                <w:p>
                  <w:pPr>
                    <w:jc w:val="center"/>
                    <w:rPr>
                      <w:sz w:val="21"/>
                      <w:szCs w:val="21"/>
                    </w:rPr>
                  </w:pPr>
                  <w:r>
                    <w:rPr>
                      <w:rFonts w:hint="eastAsia"/>
                      <w:sz w:val="21"/>
                      <w:szCs w:val="21"/>
                    </w:rPr>
                    <w:t>万平方米/年</w:t>
                  </w:r>
                </w:p>
              </w:tc>
              <w:tc>
                <w:tcPr>
                  <w:tcW w:w="1474" w:type="dxa"/>
                  <w:vAlign w:val="center"/>
                </w:tcPr>
                <w:p>
                  <w:pPr>
                    <w:widowControl/>
                    <w:jc w:val="center"/>
                    <w:textAlignment w:val="center"/>
                    <w:rPr>
                      <w:sz w:val="21"/>
                      <w:szCs w:val="21"/>
                    </w:rPr>
                  </w:pPr>
                  <w:r>
                    <w:rPr>
                      <w:rFonts w:hint="eastAsia"/>
                      <w:sz w:val="21"/>
                      <w:szCs w:val="21"/>
                    </w:rPr>
                    <w:t>20</w:t>
                  </w:r>
                </w:p>
              </w:tc>
            </w:tr>
          </w:tbl>
          <w:p>
            <w:pPr>
              <w:spacing w:line="360" w:lineRule="auto"/>
              <w:ind w:firstLine="480" w:firstLineChars="200"/>
              <w:rPr>
                <w:b/>
                <w:bCs/>
              </w:rPr>
            </w:pPr>
            <w:r>
              <w:t>3、主要工艺及生产设施</w:t>
            </w:r>
          </w:p>
          <w:p>
            <w:pPr>
              <w:autoSpaceDE w:val="0"/>
              <w:autoSpaceDN w:val="0"/>
              <w:adjustRightInd w:val="0"/>
              <w:spacing w:line="360" w:lineRule="auto"/>
              <w:jc w:val="center"/>
              <w:rPr>
                <w:b/>
                <w:bCs/>
              </w:rPr>
            </w:pPr>
            <w:r>
              <w:rPr>
                <w:b/>
                <w:bCs/>
              </w:rPr>
              <w:t xml:space="preserve">表2-3  </w:t>
            </w:r>
            <w:r>
              <w:rPr>
                <w:rFonts w:hint="eastAsia"/>
                <w:b/>
                <w:bCs/>
              </w:rPr>
              <w:t>建设项目</w:t>
            </w:r>
            <w:r>
              <w:rPr>
                <w:b/>
                <w:bCs/>
              </w:rPr>
              <w:t>主要</w:t>
            </w:r>
            <w:r>
              <w:rPr>
                <w:rFonts w:hint="eastAsia"/>
                <w:b/>
                <w:bCs/>
              </w:rPr>
              <w:t>生产设备</w:t>
            </w:r>
            <w:r>
              <w:rPr>
                <w:b/>
                <w:bCs/>
              </w:rPr>
              <w:t>一览表</w:t>
            </w:r>
          </w:p>
          <w:tbl>
            <w:tblPr>
              <w:tblStyle w:val="24"/>
              <w:tblW w:w="71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6"/>
              <w:gridCol w:w="1216"/>
              <w:gridCol w:w="1376"/>
              <w:gridCol w:w="1820"/>
              <w:gridCol w:w="763"/>
              <w:gridCol w:w="7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6" w:type="dxa"/>
                  <w:vAlign w:val="center"/>
                </w:tcPr>
                <w:p>
                  <w:pPr>
                    <w:widowControl/>
                    <w:autoSpaceDE w:val="0"/>
                    <w:autoSpaceDN w:val="0"/>
                    <w:adjustRightInd w:val="0"/>
                    <w:snapToGrid w:val="0"/>
                    <w:jc w:val="center"/>
                    <w:textAlignment w:val="bottom"/>
                    <w:rPr>
                      <w:b/>
                      <w:bCs/>
                      <w:sz w:val="21"/>
                      <w:szCs w:val="21"/>
                    </w:rPr>
                  </w:pPr>
                  <w:r>
                    <w:rPr>
                      <w:b/>
                      <w:bCs/>
                      <w:sz w:val="21"/>
                      <w:szCs w:val="21"/>
                    </w:rPr>
                    <w:t>主要生产单元名称</w:t>
                  </w:r>
                </w:p>
              </w:tc>
              <w:tc>
                <w:tcPr>
                  <w:tcW w:w="1216" w:type="dxa"/>
                  <w:vAlign w:val="center"/>
                </w:tcPr>
                <w:p>
                  <w:pPr>
                    <w:widowControl/>
                    <w:autoSpaceDE w:val="0"/>
                    <w:autoSpaceDN w:val="0"/>
                    <w:adjustRightInd w:val="0"/>
                    <w:snapToGrid w:val="0"/>
                    <w:jc w:val="center"/>
                    <w:textAlignment w:val="bottom"/>
                    <w:rPr>
                      <w:b/>
                      <w:bCs/>
                      <w:sz w:val="21"/>
                      <w:szCs w:val="21"/>
                    </w:rPr>
                  </w:pPr>
                  <w:r>
                    <w:rPr>
                      <w:b/>
                      <w:bCs/>
                      <w:sz w:val="21"/>
                      <w:szCs w:val="21"/>
                    </w:rPr>
                    <w:t>主要工艺</w:t>
                  </w:r>
                </w:p>
              </w:tc>
              <w:tc>
                <w:tcPr>
                  <w:tcW w:w="1376" w:type="dxa"/>
                  <w:vAlign w:val="center"/>
                </w:tcPr>
                <w:p>
                  <w:pPr>
                    <w:widowControl/>
                    <w:autoSpaceDE w:val="0"/>
                    <w:autoSpaceDN w:val="0"/>
                    <w:adjustRightInd w:val="0"/>
                    <w:snapToGrid w:val="0"/>
                    <w:jc w:val="center"/>
                    <w:textAlignment w:val="bottom"/>
                    <w:rPr>
                      <w:b/>
                      <w:bCs/>
                      <w:sz w:val="21"/>
                      <w:szCs w:val="21"/>
                    </w:rPr>
                  </w:pPr>
                  <w:r>
                    <w:rPr>
                      <w:b/>
                      <w:bCs/>
                      <w:sz w:val="21"/>
                      <w:szCs w:val="21"/>
                    </w:rPr>
                    <w:t>主要生产设</w:t>
                  </w:r>
                  <w:r>
                    <w:rPr>
                      <w:rFonts w:hint="eastAsia"/>
                      <w:b/>
                      <w:bCs/>
                      <w:sz w:val="21"/>
                      <w:szCs w:val="21"/>
                    </w:rPr>
                    <w:t>施</w:t>
                  </w:r>
                </w:p>
              </w:tc>
              <w:tc>
                <w:tcPr>
                  <w:tcW w:w="1820" w:type="dxa"/>
                  <w:vAlign w:val="center"/>
                </w:tcPr>
                <w:p>
                  <w:pPr>
                    <w:widowControl/>
                    <w:autoSpaceDE w:val="0"/>
                    <w:autoSpaceDN w:val="0"/>
                    <w:adjustRightInd w:val="0"/>
                    <w:snapToGrid w:val="0"/>
                    <w:jc w:val="center"/>
                    <w:textAlignment w:val="bottom"/>
                    <w:rPr>
                      <w:b/>
                      <w:bCs/>
                      <w:sz w:val="21"/>
                      <w:szCs w:val="21"/>
                    </w:rPr>
                  </w:pPr>
                  <w:r>
                    <w:rPr>
                      <w:rFonts w:hint="eastAsia"/>
                      <w:b/>
                      <w:bCs/>
                      <w:sz w:val="21"/>
                      <w:szCs w:val="21"/>
                    </w:rPr>
                    <w:t>型号</w:t>
                  </w:r>
                </w:p>
              </w:tc>
              <w:tc>
                <w:tcPr>
                  <w:tcW w:w="763" w:type="dxa"/>
                  <w:vAlign w:val="center"/>
                </w:tcPr>
                <w:p>
                  <w:pPr>
                    <w:widowControl/>
                    <w:autoSpaceDE w:val="0"/>
                    <w:autoSpaceDN w:val="0"/>
                    <w:adjustRightInd w:val="0"/>
                    <w:snapToGrid w:val="0"/>
                    <w:jc w:val="center"/>
                    <w:textAlignment w:val="bottom"/>
                    <w:rPr>
                      <w:b/>
                      <w:bCs/>
                      <w:sz w:val="21"/>
                      <w:szCs w:val="21"/>
                    </w:rPr>
                  </w:pPr>
                  <w:r>
                    <w:rPr>
                      <w:rFonts w:hint="eastAsia"/>
                      <w:b/>
                      <w:bCs/>
                      <w:sz w:val="21"/>
                      <w:szCs w:val="21"/>
                    </w:rPr>
                    <w:t>单位</w:t>
                  </w:r>
                </w:p>
              </w:tc>
              <w:tc>
                <w:tcPr>
                  <w:tcW w:w="770" w:type="dxa"/>
                  <w:vAlign w:val="center"/>
                </w:tcPr>
                <w:p>
                  <w:pPr>
                    <w:widowControl/>
                    <w:autoSpaceDE w:val="0"/>
                    <w:autoSpaceDN w:val="0"/>
                    <w:adjustRightInd w:val="0"/>
                    <w:snapToGrid w:val="0"/>
                    <w:jc w:val="center"/>
                    <w:textAlignment w:val="bottom"/>
                    <w:rPr>
                      <w:b/>
                      <w:bCs/>
                      <w:sz w:val="21"/>
                      <w:szCs w:val="21"/>
                    </w:rPr>
                  </w:pPr>
                  <w:r>
                    <w:rPr>
                      <w:rFonts w:hint="eastAsia"/>
                      <w:b/>
                      <w:bCs/>
                      <w:sz w:val="2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216" w:type="dxa"/>
                  <w:vAlign w:val="center"/>
                </w:tcPr>
                <w:p>
                  <w:pPr>
                    <w:widowControl/>
                    <w:autoSpaceDE w:val="0"/>
                    <w:autoSpaceDN w:val="0"/>
                    <w:adjustRightInd w:val="0"/>
                    <w:snapToGrid w:val="0"/>
                    <w:jc w:val="center"/>
                    <w:textAlignment w:val="bottom"/>
                    <w:rPr>
                      <w:sz w:val="21"/>
                      <w:szCs w:val="21"/>
                    </w:rPr>
                  </w:pPr>
                  <w:r>
                    <w:rPr>
                      <w:rFonts w:hint="eastAsia"/>
                      <w:sz w:val="21"/>
                      <w:szCs w:val="21"/>
                    </w:rPr>
                    <w:t>搅拌单元</w:t>
                  </w:r>
                </w:p>
              </w:tc>
              <w:tc>
                <w:tcPr>
                  <w:tcW w:w="1216" w:type="dxa"/>
                  <w:vAlign w:val="center"/>
                </w:tcPr>
                <w:p>
                  <w:pPr>
                    <w:jc w:val="center"/>
                    <w:rPr>
                      <w:kern w:val="0"/>
                      <w:sz w:val="21"/>
                      <w:szCs w:val="21"/>
                    </w:rPr>
                  </w:pPr>
                  <w:r>
                    <w:rPr>
                      <w:rFonts w:hint="eastAsia"/>
                      <w:kern w:val="0"/>
                      <w:sz w:val="21"/>
                      <w:szCs w:val="21"/>
                    </w:rPr>
                    <w:t>物料混合搅拌</w:t>
                  </w:r>
                </w:p>
              </w:tc>
              <w:tc>
                <w:tcPr>
                  <w:tcW w:w="1376" w:type="dxa"/>
                  <w:vAlign w:val="center"/>
                </w:tcPr>
                <w:p>
                  <w:pPr>
                    <w:jc w:val="center"/>
                    <w:rPr>
                      <w:kern w:val="0"/>
                      <w:sz w:val="21"/>
                      <w:szCs w:val="21"/>
                    </w:rPr>
                  </w:pPr>
                  <w:r>
                    <w:rPr>
                      <w:kern w:val="0"/>
                      <w:sz w:val="21"/>
                      <w:szCs w:val="21"/>
                    </w:rPr>
                    <w:t>搅拌系统</w:t>
                  </w:r>
                </w:p>
              </w:tc>
              <w:tc>
                <w:tcPr>
                  <w:tcW w:w="1820" w:type="dxa"/>
                  <w:vAlign w:val="center"/>
                </w:tcPr>
                <w:p>
                  <w:pPr>
                    <w:jc w:val="center"/>
                    <w:rPr>
                      <w:kern w:val="0"/>
                      <w:sz w:val="21"/>
                      <w:szCs w:val="21"/>
                    </w:rPr>
                  </w:pPr>
                  <w:r>
                    <w:rPr>
                      <w:rFonts w:hint="eastAsia"/>
                      <w:kern w:val="0"/>
                      <w:sz w:val="21"/>
                      <w:szCs w:val="21"/>
                    </w:rPr>
                    <w:t>恒源</w:t>
                  </w:r>
                  <w:r>
                    <w:rPr>
                      <w:kern w:val="0"/>
                      <w:sz w:val="21"/>
                      <w:szCs w:val="21"/>
                    </w:rPr>
                    <w:t>JS500</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6" w:type="dxa"/>
                  <w:vMerge w:val="restart"/>
                  <w:vAlign w:val="center"/>
                </w:tcPr>
                <w:p>
                  <w:pPr>
                    <w:jc w:val="center"/>
                    <w:rPr>
                      <w:kern w:val="0"/>
                      <w:sz w:val="21"/>
                      <w:szCs w:val="21"/>
                    </w:rPr>
                  </w:pPr>
                  <w:r>
                    <w:rPr>
                      <w:rFonts w:hint="eastAsia"/>
                      <w:kern w:val="0"/>
                      <w:sz w:val="21"/>
                      <w:szCs w:val="21"/>
                    </w:rPr>
                    <w:t>成型单元</w:t>
                  </w:r>
                </w:p>
              </w:tc>
              <w:tc>
                <w:tcPr>
                  <w:tcW w:w="1216" w:type="dxa"/>
                  <w:vMerge w:val="restart"/>
                  <w:vAlign w:val="center"/>
                </w:tcPr>
                <w:p>
                  <w:pPr>
                    <w:jc w:val="center"/>
                    <w:rPr>
                      <w:kern w:val="0"/>
                      <w:sz w:val="21"/>
                      <w:szCs w:val="21"/>
                    </w:rPr>
                  </w:pPr>
                  <w:r>
                    <w:rPr>
                      <w:rFonts w:hint="eastAsia"/>
                      <w:kern w:val="0"/>
                      <w:sz w:val="21"/>
                      <w:szCs w:val="21"/>
                    </w:rPr>
                    <w:t>成型</w:t>
                  </w:r>
                </w:p>
              </w:tc>
              <w:tc>
                <w:tcPr>
                  <w:tcW w:w="1376" w:type="dxa"/>
                  <w:vAlign w:val="center"/>
                </w:tcPr>
                <w:p>
                  <w:pPr>
                    <w:jc w:val="center"/>
                    <w:rPr>
                      <w:kern w:val="0"/>
                      <w:sz w:val="21"/>
                      <w:szCs w:val="21"/>
                    </w:rPr>
                  </w:pPr>
                  <w:r>
                    <w:rPr>
                      <w:kern w:val="0"/>
                      <w:sz w:val="21"/>
                      <w:szCs w:val="21"/>
                    </w:rPr>
                    <w:t>JQT轻质隔墙板机</w:t>
                  </w:r>
                </w:p>
              </w:tc>
              <w:tc>
                <w:tcPr>
                  <w:tcW w:w="1820" w:type="dxa"/>
                  <w:vAlign w:val="center"/>
                </w:tcPr>
                <w:p>
                  <w:pPr>
                    <w:jc w:val="center"/>
                    <w:rPr>
                      <w:kern w:val="0"/>
                      <w:sz w:val="21"/>
                      <w:szCs w:val="21"/>
                    </w:rPr>
                  </w:pPr>
                  <w:r>
                    <w:rPr>
                      <w:kern w:val="0"/>
                      <w:sz w:val="21"/>
                      <w:szCs w:val="21"/>
                    </w:rPr>
                    <w:t>10mm</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216" w:type="dxa"/>
                  <w:vMerge w:val="continue"/>
                  <w:vAlign w:val="center"/>
                </w:tcPr>
                <w:p>
                  <w:pPr>
                    <w:jc w:val="center"/>
                    <w:rPr>
                      <w:kern w:val="0"/>
                      <w:sz w:val="21"/>
                      <w:szCs w:val="21"/>
                    </w:rPr>
                  </w:pPr>
                </w:p>
              </w:tc>
              <w:tc>
                <w:tcPr>
                  <w:tcW w:w="1216" w:type="dxa"/>
                  <w:vMerge w:val="continue"/>
                  <w:vAlign w:val="center"/>
                </w:tcPr>
                <w:p>
                  <w:pPr>
                    <w:jc w:val="center"/>
                    <w:rPr>
                      <w:kern w:val="0"/>
                      <w:sz w:val="21"/>
                      <w:szCs w:val="21"/>
                    </w:rPr>
                  </w:pPr>
                </w:p>
              </w:tc>
              <w:tc>
                <w:tcPr>
                  <w:tcW w:w="1376" w:type="dxa"/>
                  <w:vAlign w:val="center"/>
                </w:tcPr>
                <w:p>
                  <w:pPr>
                    <w:jc w:val="center"/>
                    <w:rPr>
                      <w:kern w:val="0"/>
                      <w:sz w:val="21"/>
                      <w:szCs w:val="21"/>
                    </w:rPr>
                  </w:pPr>
                  <w:r>
                    <w:rPr>
                      <w:kern w:val="0"/>
                      <w:sz w:val="21"/>
                      <w:szCs w:val="21"/>
                    </w:rPr>
                    <w:t>JQT轻质隔墙板机</w:t>
                  </w:r>
                </w:p>
              </w:tc>
              <w:tc>
                <w:tcPr>
                  <w:tcW w:w="1820" w:type="dxa"/>
                  <w:vAlign w:val="center"/>
                </w:tcPr>
                <w:p>
                  <w:pPr>
                    <w:jc w:val="center"/>
                    <w:rPr>
                      <w:kern w:val="0"/>
                      <w:sz w:val="21"/>
                      <w:szCs w:val="21"/>
                    </w:rPr>
                  </w:pPr>
                  <w:r>
                    <w:rPr>
                      <w:kern w:val="0"/>
                      <w:sz w:val="21"/>
                      <w:szCs w:val="21"/>
                    </w:rPr>
                    <w:t>20mm</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 w:hRule="atLeast"/>
                <w:jc w:val="center"/>
              </w:trPr>
              <w:tc>
                <w:tcPr>
                  <w:tcW w:w="1216" w:type="dxa"/>
                  <w:vMerge w:val="continue"/>
                  <w:vAlign w:val="center"/>
                </w:tcPr>
                <w:p>
                  <w:pPr>
                    <w:jc w:val="center"/>
                    <w:rPr>
                      <w:kern w:val="0"/>
                      <w:sz w:val="21"/>
                      <w:szCs w:val="21"/>
                    </w:rPr>
                  </w:pPr>
                </w:p>
              </w:tc>
              <w:tc>
                <w:tcPr>
                  <w:tcW w:w="1216" w:type="dxa"/>
                  <w:vMerge w:val="continue"/>
                  <w:vAlign w:val="center"/>
                </w:tcPr>
                <w:p>
                  <w:pPr>
                    <w:jc w:val="center"/>
                    <w:rPr>
                      <w:sz w:val="21"/>
                      <w:szCs w:val="21"/>
                    </w:rPr>
                  </w:pPr>
                </w:p>
              </w:tc>
              <w:tc>
                <w:tcPr>
                  <w:tcW w:w="1376" w:type="dxa"/>
                  <w:vAlign w:val="center"/>
                </w:tcPr>
                <w:p>
                  <w:pPr>
                    <w:jc w:val="center"/>
                    <w:rPr>
                      <w:sz w:val="21"/>
                      <w:szCs w:val="21"/>
                    </w:rPr>
                  </w:pPr>
                  <w:r>
                    <w:rPr>
                      <w:kern w:val="0"/>
                      <w:sz w:val="21"/>
                      <w:szCs w:val="21"/>
                    </w:rPr>
                    <w:t>JQT轻质隔墙板机</w:t>
                  </w:r>
                </w:p>
              </w:tc>
              <w:tc>
                <w:tcPr>
                  <w:tcW w:w="1820" w:type="dxa"/>
                  <w:vAlign w:val="center"/>
                </w:tcPr>
                <w:p>
                  <w:pPr>
                    <w:jc w:val="center"/>
                    <w:rPr>
                      <w:kern w:val="0"/>
                      <w:sz w:val="21"/>
                      <w:szCs w:val="21"/>
                    </w:rPr>
                  </w:pPr>
                  <w:r>
                    <w:rPr>
                      <w:kern w:val="0"/>
                      <w:sz w:val="21"/>
                      <w:szCs w:val="21"/>
                    </w:rPr>
                    <w:t>90mm</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6" w:type="dxa"/>
                  <w:vMerge w:val="continue"/>
                  <w:vAlign w:val="center"/>
                </w:tcPr>
                <w:p>
                  <w:pPr>
                    <w:jc w:val="center"/>
                    <w:rPr>
                      <w:kern w:val="0"/>
                      <w:sz w:val="21"/>
                      <w:szCs w:val="21"/>
                    </w:rPr>
                  </w:pPr>
                </w:p>
              </w:tc>
              <w:tc>
                <w:tcPr>
                  <w:tcW w:w="1216" w:type="dxa"/>
                  <w:vMerge w:val="continue"/>
                  <w:vAlign w:val="center"/>
                </w:tcPr>
                <w:p>
                  <w:pPr>
                    <w:jc w:val="center"/>
                    <w:rPr>
                      <w:color w:val="0000FF"/>
                      <w:kern w:val="0"/>
                      <w:sz w:val="21"/>
                      <w:szCs w:val="21"/>
                    </w:rPr>
                  </w:pPr>
                </w:p>
              </w:tc>
              <w:tc>
                <w:tcPr>
                  <w:tcW w:w="1376" w:type="dxa"/>
                  <w:vAlign w:val="center"/>
                </w:tcPr>
                <w:p>
                  <w:pPr>
                    <w:jc w:val="center"/>
                    <w:rPr>
                      <w:kern w:val="0"/>
                      <w:sz w:val="21"/>
                      <w:szCs w:val="21"/>
                    </w:rPr>
                  </w:pPr>
                  <w:r>
                    <w:rPr>
                      <w:kern w:val="0"/>
                      <w:sz w:val="21"/>
                      <w:szCs w:val="21"/>
                    </w:rPr>
                    <w:t>JQT轻质隔墙板机</w:t>
                  </w:r>
                </w:p>
              </w:tc>
              <w:tc>
                <w:tcPr>
                  <w:tcW w:w="1820" w:type="dxa"/>
                  <w:vAlign w:val="center"/>
                </w:tcPr>
                <w:p>
                  <w:pPr>
                    <w:jc w:val="center"/>
                    <w:rPr>
                      <w:kern w:val="0"/>
                      <w:sz w:val="21"/>
                      <w:szCs w:val="21"/>
                    </w:rPr>
                  </w:pPr>
                  <w:r>
                    <w:rPr>
                      <w:kern w:val="0"/>
                      <w:sz w:val="21"/>
                      <w:szCs w:val="21"/>
                    </w:rPr>
                    <w:t>100mm</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6" w:type="dxa"/>
                  <w:vMerge w:val="continue"/>
                  <w:vAlign w:val="center"/>
                </w:tcPr>
                <w:p>
                  <w:pPr>
                    <w:jc w:val="center"/>
                    <w:rPr>
                      <w:kern w:val="0"/>
                      <w:sz w:val="21"/>
                      <w:szCs w:val="21"/>
                    </w:rPr>
                  </w:pPr>
                </w:p>
              </w:tc>
              <w:tc>
                <w:tcPr>
                  <w:tcW w:w="1216" w:type="dxa"/>
                  <w:vMerge w:val="continue"/>
                  <w:vAlign w:val="center"/>
                </w:tcPr>
                <w:p>
                  <w:pPr>
                    <w:jc w:val="center"/>
                    <w:rPr>
                      <w:kern w:val="0"/>
                      <w:sz w:val="21"/>
                      <w:szCs w:val="21"/>
                    </w:rPr>
                  </w:pPr>
                </w:p>
              </w:tc>
              <w:tc>
                <w:tcPr>
                  <w:tcW w:w="1376" w:type="dxa"/>
                  <w:vAlign w:val="center"/>
                </w:tcPr>
                <w:p>
                  <w:pPr>
                    <w:jc w:val="center"/>
                    <w:rPr>
                      <w:kern w:val="0"/>
                      <w:sz w:val="21"/>
                      <w:szCs w:val="21"/>
                    </w:rPr>
                  </w:pPr>
                  <w:r>
                    <w:rPr>
                      <w:kern w:val="0"/>
                      <w:sz w:val="21"/>
                      <w:szCs w:val="21"/>
                    </w:rPr>
                    <w:t>JQT轻质隔墙板机</w:t>
                  </w:r>
                </w:p>
              </w:tc>
              <w:tc>
                <w:tcPr>
                  <w:tcW w:w="1820" w:type="dxa"/>
                  <w:vAlign w:val="center"/>
                </w:tcPr>
                <w:p>
                  <w:pPr>
                    <w:jc w:val="center"/>
                    <w:rPr>
                      <w:kern w:val="0"/>
                      <w:sz w:val="21"/>
                      <w:szCs w:val="21"/>
                    </w:rPr>
                  </w:pPr>
                  <w:r>
                    <w:rPr>
                      <w:kern w:val="0"/>
                      <w:sz w:val="21"/>
                      <w:szCs w:val="21"/>
                    </w:rPr>
                    <w:t>120mm</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jc w:val="center"/>
              </w:trPr>
              <w:tc>
                <w:tcPr>
                  <w:tcW w:w="1216" w:type="dxa"/>
                  <w:vMerge w:val="continue"/>
                  <w:vAlign w:val="center"/>
                </w:tcPr>
                <w:p>
                  <w:pPr>
                    <w:jc w:val="center"/>
                    <w:rPr>
                      <w:kern w:val="0"/>
                      <w:sz w:val="21"/>
                      <w:szCs w:val="21"/>
                    </w:rPr>
                  </w:pPr>
                </w:p>
              </w:tc>
              <w:tc>
                <w:tcPr>
                  <w:tcW w:w="1216" w:type="dxa"/>
                  <w:vMerge w:val="continue"/>
                  <w:vAlign w:val="center"/>
                </w:tcPr>
                <w:p>
                  <w:pPr>
                    <w:jc w:val="center"/>
                    <w:rPr>
                      <w:kern w:val="0"/>
                      <w:sz w:val="21"/>
                      <w:szCs w:val="21"/>
                    </w:rPr>
                  </w:pPr>
                </w:p>
              </w:tc>
              <w:tc>
                <w:tcPr>
                  <w:tcW w:w="1376" w:type="dxa"/>
                  <w:vAlign w:val="center"/>
                </w:tcPr>
                <w:p>
                  <w:pPr>
                    <w:jc w:val="center"/>
                    <w:rPr>
                      <w:kern w:val="0"/>
                      <w:sz w:val="21"/>
                      <w:szCs w:val="21"/>
                    </w:rPr>
                  </w:pPr>
                  <w:r>
                    <w:rPr>
                      <w:kern w:val="0"/>
                      <w:sz w:val="21"/>
                      <w:szCs w:val="21"/>
                    </w:rPr>
                    <w:t>JQT轻质隔墙板机</w:t>
                  </w:r>
                </w:p>
              </w:tc>
              <w:tc>
                <w:tcPr>
                  <w:tcW w:w="1820" w:type="dxa"/>
                  <w:vAlign w:val="center"/>
                </w:tcPr>
                <w:p>
                  <w:pPr>
                    <w:jc w:val="center"/>
                    <w:rPr>
                      <w:kern w:val="0"/>
                      <w:sz w:val="21"/>
                      <w:szCs w:val="21"/>
                    </w:rPr>
                  </w:pPr>
                  <w:r>
                    <w:rPr>
                      <w:kern w:val="0"/>
                      <w:sz w:val="21"/>
                      <w:szCs w:val="21"/>
                    </w:rPr>
                    <w:t>150mm</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216" w:type="dxa"/>
                  <w:vMerge w:val="continue"/>
                  <w:vAlign w:val="center"/>
                </w:tcPr>
                <w:p>
                  <w:pPr>
                    <w:jc w:val="center"/>
                    <w:rPr>
                      <w:kern w:val="0"/>
                      <w:sz w:val="21"/>
                      <w:szCs w:val="21"/>
                    </w:rPr>
                  </w:pPr>
                </w:p>
              </w:tc>
              <w:tc>
                <w:tcPr>
                  <w:tcW w:w="1216" w:type="dxa"/>
                  <w:vMerge w:val="continue"/>
                  <w:vAlign w:val="center"/>
                </w:tcPr>
                <w:p>
                  <w:pPr>
                    <w:jc w:val="center"/>
                    <w:rPr>
                      <w:kern w:val="0"/>
                      <w:sz w:val="21"/>
                      <w:szCs w:val="21"/>
                    </w:rPr>
                  </w:pPr>
                </w:p>
              </w:tc>
              <w:tc>
                <w:tcPr>
                  <w:tcW w:w="1376" w:type="dxa"/>
                  <w:vAlign w:val="center"/>
                </w:tcPr>
                <w:p>
                  <w:pPr>
                    <w:jc w:val="center"/>
                    <w:rPr>
                      <w:kern w:val="0"/>
                      <w:sz w:val="21"/>
                      <w:szCs w:val="21"/>
                    </w:rPr>
                  </w:pPr>
                  <w:r>
                    <w:rPr>
                      <w:kern w:val="0"/>
                      <w:sz w:val="21"/>
                      <w:szCs w:val="21"/>
                    </w:rPr>
                    <w:t>JQT轻质隔墙板机</w:t>
                  </w:r>
                </w:p>
              </w:tc>
              <w:tc>
                <w:tcPr>
                  <w:tcW w:w="1820" w:type="dxa"/>
                  <w:vAlign w:val="center"/>
                </w:tcPr>
                <w:p>
                  <w:pPr>
                    <w:jc w:val="center"/>
                    <w:rPr>
                      <w:kern w:val="0"/>
                      <w:sz w:val="21"/>
                      <w:szCs w:val="21"/>
                    </w:rPr>
                  </w:pPr>
                  <w:r>
                    <w:rPr>
                      <w:kern w:val="0"/>
                      <w:sz w:val="21"/>
                      <w:szCs w:val="21"/>
                    </w:rPr>
                    <w:t>200mm</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216" w:type="dxa"/>
                  <w:vMerge w:val="restart"/>
                  <w:vAlign w:val="center"/>
                </w:tcPr>
                <w:p>
                  <w:pPr>
                    <w:jc w:val="center"/>
                    <w:rPr>
                      <w:kern w:val="0"/>
                      <w:sz w:val="21"/>
                      <w:szCs w:val="21"/>
                    </w:rPr>
                  </w:pPr>
                  <w:r>
                    <w:rPr>
                      <w:rFonts w:hint="eastAsia"/>
                      <w:kern w:val="0"/>
                      <w:sz w:val="21"/>
                      <w:szCs w:val="21"/>
                    </w:rPr>
                    <w:t>储存单元</w:t>
                  </w:r>
                </w:p>
              </w:tc>
              <w:tc>
                <w:tcPr>
                  <w:tcW w:w="1216" w:type="dxa"/>
                  <w:vAlign w:val="center"/>
                </w:tcPr>
                <w:p>
                  <w:pPr>
                    <w:jc w:val="center"/>
                    <w:rPr>
                      <w:kern w:val="0"/>
                      <w:sz w:val="21"/>
                      <w:szCs w:val="21"/>
                    </w:rPr>
                  </w:pPr>
                  <w:r>
                    <w:rPr>
                      <w:rFonts w:hint="eastAsia"/>
                      <w:kern w:val="0"/>
                      <w:sz w:val="21"/>
                      <w:szCs w:val="21"/>
                    </w:rPr>
                    <w:t>/</w:t>
                  </w:r>
                </w:p>
              </w:tc>
              <w:tc>
                <w:tcPr>
                  <w:tcW w:w="1376" w:type="dxa"/>
                  <w:vAlign w:val="center"/>
                </w:tcPr>
                <w:p>
                  <w:pPr>
                    <w:jc w:val="center"/>
                    <w:rPr>
                      <w:kern w:val="0"/>
                      <w:sz w:val="21"/>
                      <w:szCs w:val="21"/>
                    </w:rPr>
                  </w:pPr>
                  <w:r>
                    <w:rPr>
                      <w:kern w:val="0"/>
                      <w:sz w:val="21"/>
                      <w:szCs w:val="21"/>
                    </w:rPr>
                    <w:t>配料仓</w:t>
                  </w:r>
                </w:p>
              </w:tc>
              <w:tc>
                <w:tcPr>
                  <w:tcW w:w="1820" w:type="dxa"/>
                  <w:vAlign w:val="center"/>
                </w:tcPr>
                <w:p>
                  <w:pPr>
                    <w:jc w:val="center"/>
                    <w:rPr>
                      <w:kern w:val="0"/>
                      <w:sz w:val="21"/>
                      <w:szCs w:val="21"/>
                    </w:rPr>
                  </w:pPr>
                  <w:r>
                    <w:rPr>
                      <w:kern w:val="0"/>
                      <w:sz w:val="21"/>
                      <w:szCs w:val="21"/>
                    </w:rPr>
                    <w:t>1200m³</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216" w:type="dxa"/>
                  <w:vMerge w:val="continue"/>
                  <w:vAlign w:val="center"/>
                </w:tcPr>
                <w:p>
                  <w:pPr>
                    <w:jc w:val="center"/>
                    <w:rPr>
                      <w:kern w:val="0"/>
                      <w:sz w:val="21"/>
                      <w:szCs w:val="21"/>
                    </w:rPr>
                  </w:pPr>
                </w:p>
              </w:tc>
              <w:tc>
                <w:tcPr>
                  <w:tcW w:w="1216" w:type="dxa"/>
                  <w:vAlign w:val="center"/>
                </w:tcPr>
                <w:p>
                  <w:pPr>
                    <w:jc w:val="center"/>
                    <w:rPr>
                      <w:kern w:val="0"/>
                      <w:sz w:val="21"/>
                      <w:szCs w:val="21"/>
                    </w:rPr>
                  </w:pPr>
                  <w:r>
                    <w:rPr>
                      <w:rFonts w:hint="eastAsia"/>
                      <w:kern w:val="0"/>
                      <w:sz w:val="21"/>
                      <w:szCs w:val="21"/>
                    </w:rPr>
                    <w:t>/</w:t>
                  </w:r>
                </w:p>
              </w:tc>
              <w:tc>
                <w:tcPr>
                  <w:tcW w:w="1376" w:type="dxa"/>
                  <w:vAlign w:val="center"/>
                </w:tcPr>
                <w:p>
                  <w:pPr>
                    <w:jc w:val="center"/>
                    <w:rPr>
                      <w:kern w:val="0"/>
                      <w:sz w:val="21"/>
                      <w:szCs w:val="21"/>
                    </w:rPr>
                  </w:pPr>
                  <w:r>
                    <w:rPr>
                      <w:kern w:val="0"/>
                      <w:sz w:val="21"/>
                      <w:szCs w:val="21"/>
                    </w:rPr>
                    <w:t>水泥仓</w:t>
                  </w:r>
                </w:p>
              </w:tc>
              <w:tc>
                <w:tcPr>
                  <w:tcW w:w="1820" w:type="dxa"/>
                  <w:vAlign w:val="center"/>
                </w:tcPr>
                <w:p>
                  <w:pPr>
                    <w:jc w:val="center"/>
                    <w:rPr>
                      <w:kern w:val="0"/>
                      <w:sz w:val="21"/>
                      <w:szCs w:val="21"/>
                    </w:rPr>
                  </w:pPr>
                  <w:r>
                    <w:rPr>
                      <w:kern w:val="0"/>
                      <w:sz w:val="21"/>
                      <w:szCs w:val="21"/>
                    </w:rPr>
                    <w:t>50吨卧式</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216" w:type="dxa"/>
                  <w:vAlign w:val="center"/>
                </w:tcPr>
                <w:p>
                  <w:pPr>
                    <w:jc w:val="center"/>
                    <w:rPr>
                      <w:kern w:val="0"/>
                      <w:sz w:val="21"/>
                      <w:szCs w:val="21"/>
                    </w:rPr>
                  </w:pPr>
                  <w:r>
                    <w:rPr>
                      <w:rFonts w:hint="eastAsia"/>
                      <w:kern w:val="0"/>
                      <w:sz w:val="21"/>
                      <w:szCs w:val="21"/>
                    </w:rPr>
                    <w:t>切割单元</w:t>
                  </w:r>
                </w:p>
              </w:tc>
              <w:tc>
                <w:tcPr>
                  <w:tcW w:w="1216" w:type="dxa"/>
                  <w:vAlign w:val="center"/>
                </w:tcPr>
                <w:p>
                  <w:pPr>
                    <w:jc w:val="center"/>
                    <w:rPr>
                      <w:kern w:val="0"/>
                      <w:sz w:val="21"/>
                      <w:szCs w:val="21"/>
                    </w:rPr>
                  </w:pPr>
                  <w:r>
                    <w:rPr>
                      <w:rFonts w:hint="eastAsia"/>
                      <w:kern w:val="0"/>
                      <w:sz w:val="21"/>
                      <w:szCs w:val="21"/>
                    </w:rPr>
                    <w:t>切割</w:t>
                  </w:r>
                </w:p>
              </w:tc>
              <w:tc>
                <w:tcPr>
                  <w:tcW w:w="1376" w:type="dxa"/>
                  <w:vAlign w:val="center"/>
                </w:tcPr>
                <w:p>
                  <w:pPr>
                    <w:jc w:val="center"/>
                    <w:rPr>
                      <w:kern w:val="0"/>
                      <w:sz w:val="21"/>
                      <w:szCs w:val="21"/>
                    </w:rPr>
                  </w:pPr>
                  <w:r>
                    <w:rPr>
                      <w:kern w:val="0"/>
                      <w:sz w:val="21"/>
                      <w:szCs w:val="21"/>
                    </w:rPr>
                    <w:t>切割机</w:t>
                  </w:r>
                </w:p>
              </w:tc>
              <w:tc>
                <w:tcPr>
                  <w:tcW w:w="1820" w:type="dxa"/>
                  <w:vAlign w:val="center"/>
                </w:tcPr>
                <w:p>
                  <w:pPr>
                    <w:jc w:val="center"/>
                    <w:rPr>
                      <w:kern w:val="0"/>
                      <w:sz w:val="21"/>
                      <w:szCs w:val="21"/>
                    </w:rPr>
                  </w:pPr>
                  <w:r>
                    <w:rPr>
                      <w:rFonts w:hint="eastAsia"/>
                      <w:kern w:val="0"/>
                      <w:sz w:val="21"/>
                      <w:szCs w:val="21"/>
                    </w:rPr>
                    <w:t>/</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jc w:val="center"/>
              </w:trPr>
              <w:tc>
                <w:tcPr>
                  <w:tcW w:w="1216" w:type="dxa"/>
                  <w:vMerge w:val="restart"/>
                  <w:vAlign w:val="center"/>
                </w:tcPr>
                <w:p>
                  <w:pPr>
                    <w:jc w:val="center"/>
                    <w:rPr>
                      <w:kern w:val="0"/>
                      <w:sz w:val="21"/>
                      <w:szCs w:val="21"/>
                    </w:rPr>
                  </w:pPr>
                  <w:r>
                    <w:rPr>
                      <w:rFonts w:hint="eastAsia"/>
                      <w:kern w:val="0"/>
                      <w:sz w:val="21"/>
                      <w:szCs w:val="21"/>
                    </w:rPr>
                    <w:t>辅助单元</w:t>
                  </w:r>
                </w:p>
              </w:tc>
              <w:tc>
                <w:tcPr>
                  <w:tcW w:w="1216" w:type="dxa"/>
                  <w:vAlign w:val="center"/>
                </w:tcPr>
                <w:p>
                  <w:pPr>
                    <w:jc w:val="center"/>
                    <w:rPr>
                      <w:kern w:val="0"/>
                      <w:sz w:val="21"/>
                      <w:szCs w:val="21"/>
                    </w:rPr>
                  </w:pPr>
                  <w:r>
                    <w:rPr>
                      <w:rFonts w:hint="eastAsia"/>
                      <w:kern w:val="0"/>
                      <w:sz w:val="21"/>
                      <w:szCs w:val="21"/>
                    </w:rPr>
                    <w:t>/</w:t>
                  </w:r>
                </w:p>
              </w:tc>
              <w:tc>
                <w:tcPr>
                  <w:tcW w:w="1376" w:type="dxa"/>
                  <w:vAlign w:val="center"/>
                </w:tcPr>
                <w:p>
                  <w:pPr>
                    <w:jc w:val="center"/>
                    <w:rPr>
                      <w:kern w:val="0"/>
                      <w:sz w:val="21"/>
                      <w:szCs w:val="21"/>
                    </w:rPr>
                  </w:pPr>
                  <w:r>
                    <w:rPr>
                      <w:kern w:val="0"/>
                      <w:sz w:val="21"/>
                      <w:szCs w:val="21"/>
                    </w:rPr>
                    <w:t>铲车</w:t>
                  </w:r>
                </w:p>
              </w:tc>
              <w:tc>
                <w:tcPr>
                  <w:tcW w:w="1820" w:type="dxa"/>
                  <w:vAlign w:val="center"/>
                </w:tcPr>
                <w:p>
                  <w:pPr>
                    <w:jc w:val="center"/>
                    <w:rPr>
                      <w:kern w:val="0"/>
                      <w:sz w:val="21"/>
                      <w:szCs w:val="21"/>
                    </w:rPr>
                  </w:pPr>
                  <w:r>
                    <w:rPr>
                      <w:rFonts w:hint="eastAsia"/>
                      <w:kern w:val="0"/>
                      <w:sz w:val="21"/>
                      <w:szCs w:val="21"/>
                    </w:rPr>
                    <w:t>/</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216" w:type="dxa"/>
                  <w:vMerge w:val="continue"/>
                </w:tcPr>
                <w:p>
                  <w:pPr>
                    <w:jc w:val="center"/>
                    <w:rPr>
                      <w:kern w:val="0"/>
                      <w:sz w:val="21"/>
                      <w:szCs w:val="21"/>
                    </w:rPr>
                  </w:pPr>
                </w:p>
              </w:tc>
              <w:tc>
                <w:tcPr>
                  <w:tcW w:w="1216" w:type="dxa"/>
                  <w:vAlign w:val="center"/>
                </w:tcPr>
                <w:p>
                  <w:pPr>
                    <w:jc w:val="center"/>
                    <w:rPr>
                      <w:kern w:val="0"/>
                      <w:sz w:val="21"/>
                      <w:szCs w:val="21"/>
                    </w:rPr>
                  </w:pPr>
                  <w:r>
                    <w:rPr>
                      <w:rFonts w:hint="eastAsia"/>
                      <w:kern w:val="0"/>
                      <w:sz w:val="21"/>
                      <w:szCs w:val="21"/>
                    </w:rPr>
                    <w:t>/</w:t>
                  </w:r>
                </w:p>
              </w:tc>
              <w:tc>
                <w:tcPr>
                  <w:tcW w:w="1376" w:type="dxa"/>
                  <w:vAlign w:val="center"/>
                </w:tcPr>
                <w:p>
                  <w:pPr>
                    <w:jc w:val="center"/>
                    <w:rPr>
                      <w:kern w:val="0"/>
                      <w:sz w:val="21"/>
                      <w:szCs w:val="21"/>
                    </w:rPr>
                  </w:pPr>
                  <w:r>
                    <w:rPr>
                      <w:kern w:val="0"/>
                      <w:sz w:val="21"/>
                      <w:szCs w:val="21"/>
                    </w:rPr>
                    <w:t>叉车</w:t>
                  </w:r>
                </w:p>
              </w:tc>
              <w:tc>
                <w:tcPr>
                  <w:tcW w:w="1820" w:type="dxa"/>
                  <w:vAlign w:val="center"/>
                </w:tcPr>
                <w:p>
                  <w:pPr>
                    <w:jc w:val="center"/>
                    <w:rPr>
                      <w:kern w:val="0"/>
                      <w:sz w:val="21"/>
                      <w:szCs w:val="21"/>
                    </w:rPr>
                  </w:pPr>
                  <w:r>
                    <w:rPr>
                      <w:rFonts w:hint="eastAsia"/>
                      <w:kern w:val="0"/>
                      <w:sz w:val="21"/>
                      <w:szCs w:val="21"/>
                    </w:rPr>
                    <w:t>/</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1216" w:type="dxa"/>
                  <w:vMerge w:val="continue"/>
                </w:tcPr>
                <w:p>
                  <w:pPr>
                    <w:jc w:val="center"/>
                    <w:rPr>
                      <w:kern w:val="0"/>
                      <w:sz w:val="21"/>
                      <w:szCs w:val="21"/>
                    </w:rPr>
                  </w:pPr>
                </w:p>
              </w:tc>
              <w:tc>
                <w:tcPr>
                  <w:tcW w:w="1216" w:type="dxa"/>
                  <w:vAlign w:val="center"/>
                </w:tcPr>
                <w:p>
                  <w:pPr>
                    <w:jc w:val="center"/>
                    <w:rPr>
                      <w:kern w:val="0"/>
                      <w:sz w:val="21"/>
                      <w:szCs w:val="21"/>
                    </w:rPr>
                  </w:pPr>
                  <w:r>
                    <w:rPr>
                      <w:rFonts w:hint="eastAsia"/>
                      <w:kern w:val="0"/>
                      <w:sz w:val="21"/>
                      <w:szCs w:val="21"/>
                    </w:rPr>
                    <w:t>/</w:t>
                  </w:r>
                </w:p>
              </w:tc>
              <w:tc>
                <w:tcPr>
                  <w:tcW w:w="1376" w:type="dxa"/>
                  <w:vAlign w:val="center"/>
                </w:tcPr>
                <w:p>
                  <w:pPr>
                    <w:jc w:val="center"/>
                    <w:rPr>
                      <w:kern w:val="0"/>
                      <w:sz w:val="21"/>
                      <w:szCs w:val="21"/>
                    </w:rPr>
                  </w:pPr>
                  <w:r>
                    <w:rPr>
                      <w:kern w:val="0"/>
                      <w:sz w:val="21"/>
                      <w:szCs w:val="21"/>
                    </w:rPr>
                    <w:t>扫地机</w:t>
                  </w:r>
                </w:p>
              </w:tc>
              <w:tc>
                <w:tcPr>
                  <w:tcW w:w="1820" w:type="dxa"/>
                  <w:vAlign w:val="center"/>
                </w:tcPr>
                <w:p>
                  <w:pPr>
                    <w:jc w:val="center"/>
                    <w:rPr>
                      <w:kern w:val="0"/>
                      <w:sz w:val="21"/>
                      <w:szCs w:val="21"/>
                    </w:rPr>
                  </w:pPr>
                  <w:r>
                    <w:rPr>
                      <w:rFonts w:hint="eastAsia"/>
                      <w:kern w:val="0"/>
                      <w:sz w:val="21"/>
                      <w:szCs w:val="21"/>
                    </w:rPr>
                    <w:t>/</w:t>
                  </w:r>
                </w:p>
              </w:tc>
              <w:tc>
                <w:tcPr>
                  <w:tcW w:w="763" w:type="dxa"/>
                  <w:vAlign w:val="center"/>
                </w:tcPr>
                <w:p>
                  <w:pPr>
                    <w:jc w:val="center"/>
                    <w:rPr>
                      <w:kern w:val="0"/>
                      <w:sz w:val="21"/>
                      <w:szCs w:val="21"/>
                    </w:rPr>
                  </w:pPr>
                  <w:r>
                    <w:rPr>
                      <w:kern w:val="0"/>
                      <w:sz w:val="21"/>
                      <w:szCs w:val="21"/>
                    </w:rPr>
                    <w:t>台</w:t>
                  </w:r>
                </w:p>
              </w:tc>
              <w:tc>
                <w:tcPr>
                  <w:tcW w:w="770" w:type="dxa"/>
                  <w:vAlign w:val="center"/>
                </w:tcPr>
                <w:p>
                  <w:pPr>
                    <w:jc w:val="center"/>
                    <w:rPr>
                      <w:kern w:val="0"/>
                      <w:sz w:val="21"/>
                      <w:szCs w:val="21"/>
                    </w:rPr>
                  </w:pPr>
                  <w:r>
                    <w:rPr>
                      <w:kern w:val="0"/>
                      <w:sz w:val="21"/>
                      <w:szCs w:val="21"/>
                    </w:rPr>
                    <w:t>2</w:t>
                  </w:r>
                </w:p>
              </w:tc>
            </w:tr>
          </w:tbl>
          <w:p>
            <w:pPr>
              <w:widowControl/>
              <w:spacing w:line="360" w:lineRule="auto"/>
              <w:ind w:firstLine="480" w:firstLineChars="200"/>
              <w:textAlignment w:val="center"/>
            </w:pPr>
            <w:r>
              <w:t>4、原辅料及能源消耗</w:t>
            </w:r>
          </w:p>
          <w:p>
            <w:pPr>
              <w:spacing w:line="360" w:lineRule="auto"/>
              <w:ind w:firstLine="480" w:firstLineChars="200"/>
            </w:pPr>
            <w:r>
              <w:t>本项目原辅材料及能源消耗情况如下表所示：</w:t>
            </w:r>
          </w:p>
          <w:p>
            <w:pPr>
              <w:spacing w:line="360" w:lineRule="auto"/>
              <w:jc w:val="center"/>
              <w:rPr>
                <w:b/>
                <w:bCs/>
              </w:rPr>
            </w:pPr>
            <w:r>
              <w:rPr>
                <w:b/>
                <w:bCs/>
              </w:rPr>
              <w:t>表2-4  项目原辅材料及能源消耗情况一览表</w:t>
            </w:r>
          </w:p>
          <w:tbl>
            <w:tblPr>
              <w:tblStyle w:val="24"/>
              <w:tblW w:w="7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751"/>
              <w:gridCol w:w="861"/>
              <w:gridCol w:w="945"/>
              <w:gridCol w:w="1412"/>
              <w:gridCol w:w="1052"/>
              <w:gridCol w:w="724"/>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4" w:type="dxa"/>
                  <w:vAlign w:val="center"/>
                </w:tcPr>
                <w:p>
                  <w:pPr>
                    <w:jc w:val="center"/>
                    <w:rPr>
                      <w:b/>
                      <w:bCs/>
                      <w:sz w:val="21"/>
                      <w:szCs w:val="21"/>
                    </w:rPr>
                  </w:pPr>
                  <w:r>
                    <w:rPr>
                      <w:b/>
                      <w:bCs/>
                      <w:sz w:val="21"/>
                      <w:szCs w:val="21"/>
                    </w:rPr>
                    <w:t>序号</w:t>
                  </w:r>
                </w:p>
              </w:tc>
              <w:tc>
                <w:tcPr>
                  <w:tcW w:w="751" w:type="dxa"/>
                  <w:vAlign w:val="center"/>
                </w:tcPr>
                <w:p>
                  <w:pPr>
                    <w:jc w:val="center"/>
                    <w:rPr>
                      <w:b/>
                      <w:bCs/>
                      <w:sz w:val="21"/>
                      <w:szCs w:val="21"/>
                    </w:rPr>
                  </w:pPr>
                  <w:r>
                    <w:rPr>
                      <w:b/>
                      <w:bCs/>
                      <w:sz w:val="21"/>
                      <w:szCs w:val="21"/>
                    </w:rPr>
                    <w:t>名称</w:t>
                  </w:r>
                </w:p>
              </w:tc>
              <w:tc>
                <w:tcPr>
                  <w:tcW w:w="861" w:type="dxa"/>
                  <w:vAlign w:val="center"/>
                </w:tcPr>
                <w:p>
                  <w:pPr>
                    <w:jc w:val="center"/>
                    <w:rPr>
                      <w:b/>
                      <w:bCs/>
                      <w:sz w:val="21"/>
                      <w:szCs w:val="21"/>
                    </w:rPr>
                  </w:pPr>
                  <w:r>
                    <w:rPr>
                      <w:b/>
                      <w:bCs/>
                      <w:sz w:val="21"/>
                      <w:szCs w:val="21"/>
                    </w:rPr>
                    <w:t>单位</w:t>
                  </w:r>
                </w:p>
              </w:tc>
              <w:tc>
                <w:tcPr>
                  <w:tcW w:w="945" w:type="dxa"/>
                  <w:vAlign w:val="center"/>
                </w:tcPr>
                <w:p>
                  <w:pPr>
                    <w:jc w:val="center"/>
                    <w:rPr>
                      <w:b/>
                      <w:bCs/>
                      <w:sz w:val="21"/>
                      <w:szCs w:val="21"/>
                    </w:rPr>
                  </w:pPr>
                  <w:r>
                    <w:rPr>
                      <w:b/>
                      <w:bCs/>
                      <w:sz w:val="21"/>
                      <w:szCs w:val="21"/>
                    </w:rPr>
                    <w:t>消耗量</w:t>
                  </w:r>
                </w:p>
              </w:tc>
              <w:tc>
                <w:tcPr>
                  <w:tcW w:w="1412" w:type="dxa"/>
                  <w:vAlign w:val="center"/>
                </w:tcPr>
                <w:p>
                  <w:pPr>
                    <w:jc w:val="center"/>
                    <w:rPr>
                      <w:b/>
                      <w:bCs/>
                      <w:sz w:val="21"/>
                      <w:szCs w:val="21"/>
                    </w:rPr>
                  </w:pPr>
                  <w:r>
                    <w:rPr>
                      <w:b/>
                      <w:bCs/>
                      <w:sz w:val="21"/>
                      <w:szCs w:val="21"/>
                    </w:rPr>
                    <w:t>最大储存量</w:t>
                  </w:r>
                </w:p>
              </w:tc>
              <w:tc>
                <w:tcPr>
                  <w:tcW w:w="1052" w:type="dxa"/>
                  <w:vAlign w:val="center"/>
                </w:tcPr>
                <w:p>
                  <w:pPr>
                    <w:jc w:val="center"/>
                    <w:rPr>
                      <w:b/>
                      <w:bCs/>
                      <w:sz w:val="21"/>
                      <w:szCs w:val="21"/>
                    </w:rPr>
                  </w:pPr>
                  <w:r>
                    <w:rPr>
                      <w:b/>
                      <w:bCs/>
                      <w:sz w:val="21"/>
                      <w:szCs w:val="21"/>
                    </w:rPr>
                    <w:t>储存场所</w:t>
                  </w:r>
                </w:p>
              </w:tc>
              <w:tc>
                <w:tcPr>
                  <w:tcW w:w="724" w:type="dxa"/>
                  <w:vAlign w:val="center"/>
                </w:tcPr>
                <w:p>
                  <w:pPr>
                    <w:jc w:val="center"/>
                    <w:rPr>
                      <w:b/>
                      <w:bCs/>
                      <w:sz w:val="21"/>
                      <w:szCs w:val="21"/>
                    </w:rPr>
                  </w:pPr>
                  <w:r>
                    <w:rPr>
                      <w:b/>
                      <w:bCs/>
                      <w:sz w:val="21"/>
                      <w:szCs w:val="21"/>
                    </w:rPr>
                    <w:t>储存周期</w:t>
                  </w:r>
                </w:p>
              </w:tc>
              <w:tc>
                <w:tcPr>
                  <w:tcW w:w="1006" w:type="dxa"/>
                  <w:vAlign w:val="center"/>
                </w:tcPr>
                <w:p>
                  <w:pPr>
                    <w:jc w:val="center"/>
                    <w:rPr>
                      <w:b/>
                      <w:bCs/>
                      <w:sz w:val="21"/>
                      <w:szCs w:val="21"/>
                    </w:rPr>
                  </w:pPr>
                  <w:r>
                    <w:rPr>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9" w:type="dxa"/>
                  <w:gridSpan w:val="7"/>
                  <w:vAlign w:val="center"/>
                </w:tcPr>
                <w:p>
                  <w:pPr>
                    <w:jc w:val="center"/>
                    <w:rPr>
                      <w:b/>
                      <w:bCs/>
                      <w:sz w:val="21"/>
                      <w:szCs w:val="21"/>
                    </w:rPr>
                  </w:pPr>
                  <w:r>
                    <w:rPr>
                      <w:sz w:val="21"/>
                      <w:szCs w:val="21"/>
                    </w:rPr>
                    <w:t>原辅材料消耗情况</w:t>
                  </w:r>
                </w:p>
              </w:tc>
              <w:tc>
                <w:tcPr>
                  <w:tcW w:w="1006"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4" w:type="dxa"/>
                  <w:vAlign w:val="center"/>
                </w:tcPr>
                <w:p>
                  <w:pPr>
                    <w:jc w:val="center"/>
                    <w:rPr>
                      <w:sz w:val="21"/>
                      <w:szCs w:val="21"/>
                    </w:rPr>
                  </w:pPr>
                  <w:r>
                    <w:rPr>
                      <w:sz w:val="21"/>
                      <w:szCs w:val="21"/>
                    </w:rPr>
                    <w:t>1</w:t>
                  </w:r>
                </w:p>
              </w:tc>
              <w:tc>
                <w:tcPr>
                  <w:tcW w:w="751" w:type="dxa"/>
                  <w:vAlign w:val="center"/>
                </w:tcPr>
                <w:p>
                  <w:pPr>
                    <w:pStyle w:val="31"/>
                    <w:rPr>
                      <w:b w:val="0"/>
                      <w:bCs w:val="0"/>
                      <w:kern w:val="0"/>
                      <w:sz w:val="21"/>
                      <w:szCs w:val="21"/>
                    </w:rPr>
                  </w:pPr>
                  <w:r>
                    <w:rPr>
                      <w:b w:val="0"/>
                      <w:bCs w:val="0"/>
                      <w:kern w:val="0"/>
                      <w:sz w:val="21"/>
                      <w:szCs w:val="21"/>
                    </w:rPr>
                    <w:t>水泥</w:t>
                  </w:r>
                </w:p>
              </w:tc>
              <w:tc>
                <w:tcPr>
                  <w:tcW w:w="861" w:type="dxa"/>
                  <w:vAlign w:val="center"/>
                </w:tcPr>
                <w:p>
                  <w:pPr>
                    <w:pStyle w:val="31"/>
                    <w:rPr>
                      <w:b w:val="0"/>
                      <w:bCs w:val="0"/>
                      <w:kern w:val="0"/>
                      <w:sz w:val="21"/>
                      <w:szCs w:val="21"/>
                    </w:rPr>
                  </w:pPr>
                  <w:r>
                    <w:rPr>
                      <w:b w:val="0"/>
                      <w:bCs w:val="0"/>
                      <w:kern w:val="0"/>
                      <w:sz w:val="21"/>
                      <w:szCs w:val="21"/>
                    </w:rPr>
                    <w:t>吨/年</w:t>
                  </w:r>
                </w:p>
              </w:tc>
              <w:tc>
                <w:tcPr>
                  <w:tcW w:w="945" w:type="dxa"/>
                  <w:vAlign w:val="center"/>
                </w:tcPr>
                <w:p>
                  <w:pPr>
                    <w:jc w:val="center"/>
                    <w:rPr>
                      <w:bCs/>
                      <w:kern w:val="0"/>
                      <w:sz w:val="21"/>
                      <w:szCs w:val="21"/>
                    </w:rPr>
                  </w:pPr>
                  <w:r>
                    <w:rPr>
                      <w:bCs/>
                      <w:kern w:val="0"/>
                      <w:sz w:val="21"/>
                      <w:szCs w:val="21"/>
                    </w:rPr>
                    <w:t>5000</w:t>
                  </w:r>
                </w:p>
              </w:tc>
              <w:tc>
                <w:tcPr>
                  <w:tcW w:w="1412" w:type="dxa"/>
                  <w:vAlign w:val="center"/>
                </w:tcPr>
                <w:p>
                  <w:pPr>
                    <w:jc w:val="center"/>
                    <w:rPr>
                      <w:sz w:val="21"/>
                      <w:szCs w:val="21"/>
                    </w:rPr>
                  </w:pPr>
                  <w:r>
                    <w:rPr>
                      <w:sz w:val="21"/>
                      <w:szCs w:val="21"/>
                    </w:rPr>
                    <w:t>62.5吨</w:t>
                  </w:r>
                </w:p>
              </w:tc>
              <w:tc>
                <w:tcPr>
                  <w:tcW w:w="1052" w:type="dxa"/>
                  <w:vAlign w:val="center"/>
                </w:tcPr>
                <w:p>
                  <w:pPr>
                    <w:jc w:val="center"/>
                    <w:rPr>
                      <w:sz w:val="21"/>
                      <w:szCs w:val="21"/>
                    </w:rPr>
                  </w:pPr>
                  <w:r>
                    <w:rPr>
                      <w:sz w:val="21"/>
                      <w:szCs w:val="21"/>
                    </w:rPr>
                    <w:t>水泥仓</w:t>
                  </w:r>
                </w:p>
              </w:tc>
              <w:tc>
                <w:tcPr>
                  <w:tcW w:w="724" w:type="dxa"/>
                  <w:vAlign w:val="center"/>
                </w:tcPr>
                <w:p>
                  <w:pPr>
                    <w:jc w:val="center"/>
                    <w:rPr>
                      <w:sz w:val="21"/>
                      <w:szCs w:val="21"/>
                    </w:rPr>
                  </w:pPr>
                  <w:r>
                    <w:rPr>
                      <w:sz w:val="21"/>
                      <w:szCs w:val="21"/>
                    </w:rPr>
                    <w:t>4天</w:t>
                  </w:r>
                </w:p>
              </w:tc>
              <w:tc>
                <w:tcPr>
                  <w:tcW w:w="1006" w:type="dxa"/>
                  <w:vAlign w:val="center"/>
                </w:tcPr>
                <w:p>
                  <w:pPr>
                    <w:jc w:val="center"/>
                    <w:rPr>
                      <w:sz w:val="21"/>
                      <w:szCs w:val="21"/>
                    </w:rPr>
                  </w:pPr>
                  <w:r>
                    <w:rPr>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4" w:type="dxa"/>
                  <w:vAlign w:val="center"/>
                </w:tcPr>
                <w:p>
                  <w:pPr>
                    <w:jc w:val="center"/>
                    <w:rPr>
                      <w:sz w:val="21"/>
                      <w:szCs w:val="21"/>
                    </w:rPr>
                  </w:pPr>
                  <w:r>
                    <w:rPr>
                      <w:sz w:val="21"/>
                      <w:szCs w:val="21"/>
                    </w:rPr>
                    <w:t>2</w:t>
                  </w:r>
                </w:p>
              </w:tc>
              <w:tc>
                <w:tcPr>
                  <w:tcW w:w="751" w:type="dxa"/>
                  <w:vAlign w:val="center"/>
                </w:tcPr>
                <w:p>
                  <w:pPr>
                    <w:pStyle w:val="31"/>
                    <w:rPr>
                      <w:b w:val="0"/>
                      <w:bCs w:val="0"/>
                      <w:kern w:val="0"/>
                      <w:sz w:val="21"/>
                      <w:szCs w:val="21"/>
                    </w:rPr>
                  </w:pPr>
                  <w:r>
                    <w:rPr>
                      <w:b w:val="0"/>
                      <w:bCs w:val="0"/>
                      <w:kern w:val="0"/>
                      <w:sz w:val="21"/>
                      <w:szCs w:val="21"/>
                    </w:rPr>
                    <w:t>炉渣</w:t>
                  </w:r>
                </w:p>
              </w:tc>
              <w:tc>
                <w:tcPr>
                  <w:tcW w:w="861" w:type="dxa"/>
                  <w:vAlign w:val="center"/>
                </w:tcPr>
                <w:p>
                  <w:pPr>
                    <w:pStyle w:val="31"/>
                    <w:rPr>
                      <w:b w:val="0"/>
                      <w:bCs w:val="0"/>
                      <w:kern w:val="0"/>
                      <w:sz w:val="21"/>
                      <w:szCs w:val="21"/>
                    </w:rPr>
                  </w:pPr>
                  <w:r>
                    <w:rPr>
                      <w:b w:val="0"/>
                      <w:bCs w:val="0"/>
                      <w:kern w:val="0"/>
                      <w:sz w:val="21"/>
                      <w:szCs w:val="21"/>
                    </w:rPr>
                    <w:t>吨/年</w:t>
                  </w:r>
                </w:p>
              </w:tc>
              <w:tc>
                <w:tcPr>
                  <w:tcW w:w="945" w:type="dxa"/>
                  <w:vAlign w:val="center"/>
                </w:tcPr>
                <w:p>
                  <w:pPr>
                    <w:jc w:val="center"/>
                    <w:rPr>
                      <w:bCs/>
                      <w:kern w:val="0"/>
                      <w:sz w:val="21"/>
                      <w:szCs w:val="21"/>
                    </w:rPr>
                  </w:pPr>
                  <w:r>
                    <w:rPr>
                      <w:bCs/>
                      <w:kern w:val="0"/>
                      <w:sz w:val="21"/>
                      <w:szCs w:val="21"/>
                    </w:rPr>
                    <w:t>12600</w:t>
                  </w:r>
                </w:p>
              </w:tc>
              <w:tc>
                <w:tcPr>
                  <w:tcW w:w="1412" w:type="dxa"/>
                  <w:vAlign w:val="center"/>
                </w:tcPr>
                <w:p>
                  <w:pPr>
                    <w:jc w:val="center"/>
                    <w:rPr>
                      <w:sz w:val="21"/>
                      <w:szCs w:val="21"/>
                    </w:rPr>
                  </w:pPr>
                  <w:r>
                    <w:rPr>
                      <w:sz w:val="21"/>
                      <w:szCs w:val="21"/>
                    </w:rPr>
                    <w:t>157.5吨</w:t>
                  </w:r>
                </w:p>
              </w:tc>
              <w:tc>
                <w:tcPr>
                  <w:tcW w:w="1052" w:type="dxa"/>
                  <w:vAlign w:val="center"/>
                </w:tcPr>
                <w:p>
                  <w:pPr>
                    <w:jc w:val="center"/>
                    <w:rPr>
                      <w:sz w:val="21"/>
                      <w:szCs w:val="21"/>
                    </w:rPr>
                  </w:pPr>
                  <w:r>
                    <w:rPr>
                      <w:sz w:val="21"/>
                      <w:szCs w:val="21"/>
                    </w:rPr>
                    <w:t>原料区</w:t>
                  </w:r>
                </w:p>
              </w:tc>
              <w:tc>
                <w:tcPr>
                  <w:tcW w:w="724" w:type="dxa"/>
                  <w:vAlign w:val="center"/>
                </w:tcPr>
                <w:p>
                  <w:pPr>
                    <w:jc w:val="center"/>
                    <w:rPr>
                      <w:sz w:val="21"/>
                      <w:szCs w:val="21"/>
                    </w:rPr>
                  </w:pPr>
                  <w:r>
                    <w:rPr>
                      <w:sz w:val="21"/>
                      <w:szCs w:val="21"/>
                    </w:rPr>
                    <w:t>4天</w:t>
                  </w:r>
                </w:p>
              </w:tc>
              <w:tc>
                <w:tcPr>
                  <w:tcW w:w="1006" w:type="dxa"/>
                  <w:vAlign w:val="center"/>
                </w:tcPr>
                <w:p>
                  <w:pPr>
                    <w:jc w:val="center"/>
                    <w:rPr>
                      <w:sz w:val="21"/>
                      <w:szCs w:val="21"/>
                    </w:rPr>
                  </w:pPr>
                  <w:r>
                    <w:rPr>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4" w:type="dxa"/>
                  <w:vAlign w:val="center"/>
                </w:tcPr>
                <w:p>
                  <w:pPr>
                    <w:jc w:val="center"/>
                    <w:rPr>
                      <w:sz w:val="21"/>
                      <w:szCs w:val="21"/>
                    </w:rPr>
                  </w:pPr>
                  <w:r>
                    <w:rPr>
                      <w:sz w:val="21"/>
                      <w:szCs w:val="21"/>
                    </w:rPr>
                    <w:t>3</w:t>
                  </w:r>
                </w:p>
              </w:tc>
              <w:tc>
                <w:tcPr>
                  <w:tcW w:w="751" w:type="dxa"/>
                  <w:vAlign w:val="center"/>
                </w:tcPr>
                <w:p>
                  <w:pPr>
                    <w:pStyle w:val="31"/>
                    <w:rPr>
                      <w:b w:val="0"/>
                      <w:bCs w:val="0"/>
                      <w:kern w:val="0"/>
                      <w:sz w:val="21"/>
                      <w:szCs w:val="21"/>
                    </w:rPr>
                  </w:pPr>
                  <w:r>
                    <w:rPr>
                      <w:b w:val="0"/>
                      <w:bCs w:val="0"/>
                      <w:kern w:val="0"/>
                      <w:sz w:val="21"/>
                      <w:szCs w:val="21"/>
                    </w:rPr>
                    <w:t>钢筋</w:t>
                  </w:r>
                </w:p>
              </w:tc>
              <w:tc>
                <w:tcPr>
                  <w:tcW w:w="861" w:type="dxa"/>
                  <w:vAlign w:val="center"/>
                </w:tcPr>
                <w:p>
                  <w:pPr>
                    <w:pStyle w:val="31"/>
                    <w:rPr>
                      <w:b w:val="0"/>
                      <w:bCs w:val="0"/>
                      <w:kern w:val="0"/>
                      <w:sz w:val="21"/>
                      <w:szCs w:val="21"/>
                    </w:rPr>
                  </w:pPr>
                  <w:r>
                    <w:rPr>
                      <w:b w:val="0"/>
                      <w:bCs w:val="0"/>
                      <w:kern w:val="0"/>
                      <w:sz w:val="21"/>
                      <w:szCs w:val="21"/>
                    </w:rPr>
                    <w:t>吨/年</w:t>
                  </w:r>
                </w:p>
              </w:tc>
              <w:tc>
                <w:tcPr>
                  <w:tcW w:w="945" w:type="dxa"/>
                  <w:vAlign w:val="center"/>
                </w:tcPr>
                <w:p>
                  <w:pPr>
                    <w:jc w:val="center"/>
                    <w:rPr>
                      <w:bCs/>
                      <w:kern w:val="0"/>
                      <w:sz w:val="21"/>
                      <w:szCs w:val="21"/>
                    </w:rPr>
                  </w:pPr>
                  <w:r>
                    <w:rPr>
                      <w:bCs/>
                      <w:kern w:val="0"/>
                      <w:sz w:val="21"/>
                      <w:szCs w:val="21"/>
                    </w:rPr>
                    <w:t>102</w:t>
                  </w:r>
                </w:p>
              </w:tc>
              <w:tc>
                <w:tcPr>
                  <w:tcW w:w="1412" w:type="dxa"/>
                  <w:vAlign w:val="center"/>
                </w:tcPr>
                <w:p>
                  <w:pPr>
                    <w:jc w:val="center"/>
                    <w:rPr>
                      <w:sz w:val="21"/>
                      <w:szCs w:val="21"/>
                    </w:rPr>
                  </w:pPr>
                  <w:r>
                    <w:rPr>
                      <w:sz w:val="21"/>
                      <w:szCs w:val="21"/>
                    </w:rPr>
                    <w:t>1.275吨</w:t>
                  </w:r>
                </w:p>
              </w:tc>
              <w:tc>
                <w:tcPr>
                  <w:tcW w:w="1052" w:type="dxa"/>
                  <w:vAlign w:val="center"/>
                </w:tcPr>
                <w:p>
                  <w:pPr>
                    <w:jc w:val="center"/>
                    <w:rPr>
                      <w:sz w:val="21"/>
                      <w:szCs w:val="21"/>
                    </w:rPr>
                  </w:pPr>
                  <w:r>
                    <w:rPr>
                      <w:sz w:val="21"/>
                      <w:szCs w:val="21"/>
                    </w:rPr>
                    <w:t>原料区</w:t>
                  </w:r>
                </w:p>
              </w:tc>
              <w:tc>
                <w:tcPr>
                  <w:tcW w:w="724" w:type="dxa"/>
                  <w:vAlign w:val="center"/>
                </w:tcPr>
                <w:p>
                  <w:pPr>
                    <w:jc w:val="center"/>
                    <w:rPr>
                      <w:sz w:val="21"/>
                      <w:szCs w:val="21"/>
                    </w:rPr>
                  </w:pPr>
                  <w:r>
                    <w:rPr>
                      <w:sz w:val="21"/>
                      <w:szCs w:val="21"/>
                    </w:rPr>
                    <w:t>4天</w:t>
                  </w:r>
                </w:p>
              </w:tc>
              <w:tc>
                <w:tcPr>
                  <w:tcW w:w="1006" w:type="dxa"/>
                  <w:vAlign w:val="center"/>
                </w:tcPr>
                <w:p>
                  <w:pPr>
                    <w:jc w:val="center"/>
                    <w:rPr>
                      <w:sz w:val="21"/>
                      <w:szCs w:val="21"/>
                    </w:rPr>
                  </w:pPr>
                  <w:r>
                    <w:rPr>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4" w:type="dxa"/>
                  <w:vAlign w:val="center"/>
                </w:tcPr>
                <w:p>
                  <w:pPr>
                    <w:jc w:val="center"/>
                    <w:rPr>
                      <w:rFonts w:hint="eastAsia" w:eastAsia="宋体"/>
                      <w:sz w:val="21"/>
                      <w:szCs w:val="21"/>
                      <w:lang w:val="en-US" w:eastAsia="zh-CN"/>
                    </w:rPr>
                  </w:pPr>
                  <w:r>
                    <w:rPr>
                      <w:rFonts w:hint="eastAsia"/>
                      <w:sz w:val="21"/>
                      <w:szCs w:val="21"/>
                      <w:lang w:val="en-US" w:eastAsia="zh-CN"/>
                    </w:rPr>
                    <w:t>4</w:t>
                  </w:r>
                </w:p>
              </w:tc>
              <w:tc>
                <w:tcPr>
                  <w:tcW w:w="751" w:type="dxa"/>
                  <w:vAlign w:val="center"/>
                </w:tcPr>
                <w:p>
                  <w:pPr>
                    <w:pStyle w:val="31"/>
                    <w:rPr>
                      <w:rFonts w:hint="eastAsia" w:eastAsia="宋体"/>
                      <w:b w:val="0"/>
                      <w:bCs w:val="0"/>
                      <w:kern w:val="0"/>
                      <w:sz w:val="21"/>
                      <w:szCs w:val="21"/>
                      <w:lang w:val="en-US" w:eastAsia="zh-CN"/>
                    </w:rPr>
                  </w:pPr>
                  <w:r>
                    <w:rPr>
                      <w:rFonts w:hint="eastAsia"/>
                      <w:b w:val="0"/>
                      <w:bCs w:val="0"/>
                      <w:kern w:val="0"/>
                      <w:sz w:val="21"/>
                      <w:szCs w:val="21"/>
                      <w:lang w:val="en-US" w:eastAsia="zh-CN"/>
                    </w:rPr>
                    <w:t>机油</w:t>
                  </w:r>
                </w:p>
              </w:tc>
              <w:tc>
                <w:tcPr>
                  <w:tcW w:w="861" w:type="dxa"/>
                  <w:vAlign w:val="center"/>
                </w:tcPr>
                <w:p>
                  <w:pPr>
                    <w:pStyle w:val="31"/>
                    <w:rPr>
                      <w:b w:val="0"/>
                      <w:bCs w:val="0"/>
                      <w:kern w:val="0"/>
                      <w:sz w:val="21"/>
                      <w:szCs w:val="21"/>
                    </w:rPr>
                  </w:pPr>
                  <w:r>
                    <w:rPr>
                      <w:b w:val="0"/>
                      <w:bCs w:val="0"/>
                      <w:kern w:val="0"/>
                      <w:sz w:val="21"/>
                      <w:szCs w:val="21"/>
                    </w:rPr>
                    <w:t>吨/年</w:t>
                  </w:r>
                </w:p>
              </w:tc>
              <w:tc>
                <w:tcPr>
                  <w:tcW w:w="945" w:type="dxa"/>
                  <w:vAlign w:val="center"/>
                </w:tcPr>
                <w:p>
                  <w:pPr>
                    <w:jc w:val="center"/>
                    <w:rPr>
                      <w:rFonts w:hint="eastAsia" w:eastAsia="宋体"/>
                      <w:bCs/>
                      <w:kern w:val="0"/>
                      <w:sz w:val="21"/>
                      <w:szCs w:val="21"/>
                      <w:lang w:val="en-US" w:eastAsia="zh-CN"/>
                    </w:rPr>
                  </w:pPr>
                  <w:r>
                    <w:rPr>
                      <w:rFonts w:hint="eastAsia"/>
                      <w:bCs/>
                      <w:kern w:val="0"/>
                      <w:sz w:val="21"/>
                      <w:szCs w:val="21"/>
                      <w:lang w:val="en-US" w:eastAsia="zh-CN"/>
                    </w:rPr>
                    <w:t>1</w:t>
                  </w:r>
                </w:p>
              </w:tc>
              <w:tc>
                <w:tcPr>
                  <w:tcW w:w="1412" w:type="dxa"/>
                  <w:vAlign w:val="center"/>
                </w:tcPr>
                <w:p>
                  <w:pPr>
                    <w:jc w:val="center"/>
                    <w:rPr>
                      <w:rFonts w:hint="default" w:eastAsia="宋体"/>
                      <w:sz w:val="21"/>
                      <w:szCs w:val="21"/>
                      <w:lang w:val="en-US" w:eastAsia="zh-CN"/>
                    </w:rPr>
                  </w:pPr>
                  <w:r>
                    <w:rPr>
                      <w:rFonts w:hint="eastAsia"/>
                      <w:sz w:val="21"/>
                      <w:szCs w:val="21"/>
                      <w:lang w:val="en-US" w:eastAsia="zh-CN"/>
                    </w:rPr>
                    <w:t>0.025吨</w:t>
                  </w:r>
                </w:p>
              </w:tc>
              <w:tc>
                <w:tcPr>
                  <w:tcW w:w="1052" w:type="dxa"/>
                  <w:vAlign w:val="center"/>
                </w:tcPr>
                <w:p>
                  <w:pPr>
                    <w:jc w:val="center"/>
                    <w:rPr>
                      <w:rFonts w:ascii="Times New Roman" w:hAnsi="Times New Roman" w:eastAsia="宋体" w:cs="Times New Roman"/>
                      <w:kern w:val="2"/>
                      <w:sz w:val="21"/>
                      <w:szCs w:val="21"/>
                      <w:lang w:val="en-US" w:eastAsia="zh-CN" w:bidi="ar-SA"/>
                    </w:rPr>
                  </w:pPr>
                  <w:r>
                    <w:rPr>
                      <w:sz w:val="21"/>
                      <w:szCs w:val="21"/>
                    </w:rPr>
                    <w:t>原料区</w:t>
                  </w:r>
                </w:p>
              </w:tc>
              <w:tc>
                <w:tcPr>
                  <w:tcW w:w="724" w:type="dxa"/>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lang w:val="en-US" w:eastAsia="zh-CN"/>
                    </w:rPr>
                    <w:t>8</w:t>
                  </w:r>
                  <w:r>
                    <w:rPr>
                      <w:sz w:val="21"/>
                      <w:szCs w:val="21"/>
                    </w:rPr>
                    <w:t>天</w:t>
                  </w:r>
                </w:p>
              </w:tc>
              <w:tc>
                <w:tcPr>
                  <w:tcW w:w="1006" w:type="dxa"/>
                  <w:vAlign w:val="center"/>
                </w:tcPr>
                <w:p>
                  <w:pPr>
                    <w:jc w:val="center"/>
                    <w:rPr>
                      <w:rFonts w:ascii="Times New Roman" w:hAnsi="Times New Roman" w:eastAsia="宋体" w:cs="Times New Roman"/>
                      <w:kern w:val="2"/>
                      <w:sz w:val="21"/>
                      <w:szCs w:val="21"/>
                      <w:lang w:val="en-US" w:eastAsia="zh-CN" w:bidi="ar-SA"/>
                    </w:rPr>
                  </w:pPr>
                  <w:r>
                    <w:rPr>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664" w:type="dxa"/>
                  <w:vAlign w:val="center"/>
                </w:tcPr>
                <w:p>
                  <w:pPr>
                    <w:jc w:val="center"/>
                    <w:rPr>
                      <w:rFonts w:hint="default"/>
                      <w:sz w:val="21"/>
                      <w:szCs w:val="21"/>
                      <w:lang w:val="en-US" w:eastAsia="zh-CN"/>
                    </w:rPr>
                  </w:pPr>
                  <w:r>
                    <w:rPr>
                      <w:rFonts w:hint="eastAsia"/>
                      <w:sz w:val="21"/>
                      <w:szCs w:val="21"/>
                      <w:lang w:val="en-US" w:eastAsia="zh-CN"/>
                    </w:rPr>
                    <w:t>5</w:t>
                  </w:r>
                </w:p>
              </w:tc>
              <w:tc>
                <w:tcPr>
                  <w:tcW w:w="751" w:type="dxa"/>
                  <w:vAlign w:val="center"/>
                </w:tcPr>
                <w:p>
                  <w:pPr>
                    <w:pStyle w:val="31"/>
                    <w:rPr>
                      <w:rFonts w:hint="default"/>
                      <w:b w:val="0"/>
                      <w:bCs w:val="0"/>
                      <w:kern w:val="0"/>
                      <w:sz w:val="21"/>
                      <w:szCs w:val="21"/>
                      <w:lang w:val="en-US" w:eastAsia="zh-CN"/>
                    </w:rPr>
                  </w:pPr>
                  <w:r>
                    <w:rPr>
                      <w:rFonts w:hint="eastAsia"/>
                      <w:b w:val="0"/>
                      <w:bCs w:val="0"/>
                      <w:kern w:val="0"/>
                      <w:sz w:val="21"/>
                      <w:szCs w:val="21"/>
                      <w:lang w:val="en-US" w:eastAsia="zh-CN"/>
                    </w:rPr>
                    <w:t>扎丝</w:t>
                  </w:r>
                </w:p>
              </w:tc>
              <w:tc>
                <w:tcPr>
                  <w:tcW w:w="861" w:type="dxa"/>
                  <w:vAlign w:val="center"/>
                </w:tcPr>
                <w:p>
                  <w:pPr>
                    <w:pStyle w:val="31"/>
                    <w:rPr>
                      <w:rFonts w:hint="default" w:eastAsia="宋体"/>
                      <w:b w:val="0"/>
                      <w:bCs w:val="0"/>
                      <w:kern w:val="0"/>
                      <w:sz w:val="21"/>
                      <w:szCs w:val="21"/>
                      <w:lang w:val="en-US" w:eastAsia="zh-CN"/>
                    </w:rPr>
                  </w:pPr>
                  <w:r>
                    <w:rPr>
                      <w:rFonts w:hint="eastAsia"/>
                      <w:b w:val="0"/>
                      <w:bCs w:val="0"/>
                      <w:kern w:val="0"/>
                      <w:sz w:val="21"/>
                      <w:szCs w:val="21"/>
                      <w:lang w:val="en-US" w:eastAsia="zh-CN"/>
                    </w:rPr>
                    <w:t>箱/年</w:t>
                  </w:r>
                </w:p>
              </w:tc>
              <w:tc>
                <w:tcPr>
                  <w:tcW w:w="945" w:type="dxa"/>
                  <w:vAlign w:val="center"/>
                </w:tcPr>
                <w:p>
                  <w:pPr>
                    <w:jc w:val="center"/>
                    <w:rPr>
                      <w:rFonts w:hint="default"/>
                      <w:bCs/>
                      <w:kern w:val="0"/>
                      <w:sz w:val="21"/>
                      <w:szCs w:val="21"/>
                      <w:lang w:val="en-US" w:eastAsia="zh-CN"/>
                    </w:rPr>
                  </w:pPr>
                  <w:r>
                    <w:rPr>
                      <w:rFonts w:hint="eastAsia"/>
                      <w:bCs/>
                      <w:kern w:val="0"/>
                      <w:sz w:val="21"/>
                      <w:szCs w:val="21"/>
                      <w:lang w:val="en-US" w:eastAsia="zh-CN"/>
                    </w:rPr>
                    <w:t>20</w:t>
                  </w:r>
                </w:p>
              </w:tc>
              <w:tc>
                <w:tcPr>
                  <w:tcW w:w="1412" w:type="dxa"/>
                  <w:vAlign w:val="center"/>
                </w:tcPr>
                <w:p>
                  <w:pPr>
                    <w:jc w:val="center"/>
                    <w:rPr>
                      <w:rFonts w:hint="default"/>
                      <w:sz w:val="21"/>
                      <w:szCs w:val="21"/>
                      <w:lang w:val="en-US" w:eastAsia="zh-CN"/>
                    </w:rPr>
                  </w:pPr>
                  <w:r>
                    <w:rPr>
                      <w:rFonts w:hint="eastAsia"/>
                      <w:sz w:val="21"/>
                      <w:szCs w:val="21"/>
                      <w:lang w:val="en-US" w:eastAsia="zh-CN"/>
                    </w:rPr>
                    <w:t>1箱</w:t>
                  </w:r>
                </w:p>
              </w:tc>
              <w:tc>
                <w:tcPr>
                  <w:tcW w:w="1052" w:type="dxa"/>
                  <w:vAlign w:val="center"/>
                </w:tcPr>
                <w:p>
                  <w:pPr>
                    <w:jc w:val="center"/>
                    <w:rPr>
                      <w:rFonts w:ascii="Times New Roman" w:hAnsi="Times New Roman" w:eastAsia="宋体" w:cs="Times New Roman"/>
                      <w:kern w:val="2"/>
                      <w:sz w:val="21"/>
                      <w:szCs w:val="21"/>
                      <w:lang w:val="en-US" w:eastAsia="zh-CN" w:bidi="ar-SA"/>
                    </w:rPr>
                  </w:pPr>
                  <w:r>
                    <w:rPr>
                      <w:sz w:val="21"/>
                      <w:szCs w:val="21"/>
                    </w:rPr>
                    <w:t>原料区</w:t>
                  </w:r>
                </w:p>
              </w:tc>
              <w:tc>
                <w:tcPr>
                  <w:tcW w:w="724"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16</w:t>
                  </w:r>
                  <w:r>
                    <w:rPr>
                      <w:sz w:val="21"/>
                      <w:szCs w:val="21"/>
                    </w:rPr>
                    <w:t>天</w:t>
                  </w:r>
                </w:p>
              </w:tc>
              <w:tc>
                <w:tcPr>
                  <w:tcW w:w="1006" w:type="dxa"/>
                  <w:vAlign w:val="center"/>
                </w:tcPr>
                <w:p>
                  <w:pPr>
                    <w:jc w:val="center"/>
                    <w:rPr>
                      <w:rFonts w:ascii="Times New Roman" w:hAnsi="Times New Roman" w:eastAsia="宋体" w:cs="Times New Roman"/>
                      <w:kern w:val="2"/>
                      <w:sz w:val="21"/>
                      <w:szCs w:val="21"/>
                      <w:lang w:val="en-US" w:eastAsia="zh-CN" w:bidi="ar-SA"/>
                    </w:rPr>
                  </w:pPr>
                  <w:r>
                    <w:rPr>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15" w:type="dxa"/>
                  <w:gridSpan w:val="8"/>
                  <w:vAlign w:val="center"/>
                </w:tcPr>
                <w:p>
                  <w:pPr>
                    <w:jc w:val="center"/>
                    <w:rPr>
                      <w:sz w:val="21"/>
                      <w:szCs w:val="21"/>
                    </w:rPr>
                  </w:pPr>
                  <w:r>
                    <w:rPr>
                      <w:sz w:val="21"/>
                      <w:szCs w:val="21"/>
                    </w:rPr>
                    <w:t>能源消耗情况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64" w:type="dxa"/>
                  <w:vAlign w:val="center"/>
                </w:tcPr>
                <w:p>
                  <w:pPr>
                    <w:jc w:val="center"/>
                    <w:rPr>
                      <w:sz w:val="21"/>
                      <w:szCs w:val="21"/>
                    </w:rPr>
                  </w:pPr>
                  <w:r>
                    <w:rPr>
                      <w:sz w:val="21"/>
                      <w:szCs w:val="21"/>
                    </w:rPr>
                    <w:t>1</w:t>
                  </w:r>
                </w:p>
              </w:tc>
              <w:tc>
                <w:tcPr>
                  <w:tcW w:w="751" w:type="dxa"/>
                  <w:vAlign w:val="center"/>
                </w:tcPr>
                <w:p>
                  <w:pPr>
                    <w:jc w:val="center"/>
                    <w:rPr>
                      <w:sz w:val="21"/>
                      <w:szCs w:val="21"/>
                    </w:rPr>
                  </w:pPr>
                  <w:r>
                    <w:rPr>
                      <w:sz w:val="21"/>
                      <w:szCs w:val="21"/>
                    </w:rPr>
                    <w:t>电</w:t>
                  </w:r>
                </w:p>
              </w:tc>
              <w:tc>
                <w:tcPr>
                  <w:tcW w:w="861" w:type="dxa"/>
                  <w:vAlign w:val="center"/>
                </w:tcPr>
                <w:p>
                  <w:pPr>
                    <w:ind w:leftChars="-1" w:hanging="2" w:hangingChars="1"/>
                    <w:jc w:val="center"/>
                    <w:rPr>
                      <w:sz w:val="21"/>
                      <w:szCs w:val="21"/>
                    </w:rPr>
                  </w:pPr>
                  <w:r>
                    <w:rPr>
                      <w:sz w:val="21"/>
                      <w:szCs w:val="21"/>
                    </w:rPr>
                    <w:t>kW∙h/a</w:t>
                  </w:r>
                </w:p>
              </w:tc>
              <w:tc>
                <w:tcPr>
                  <w:tcW w:w="945" w:type="dxa"/>
                  <w:vAlign w:val="center"/>
                </w:tcPr>
                <w:p>
                  <w:pPr>
                    <w:ind w:leftChars="-1" w:hanging="2" w:hangingChars="1"/>
                    <w:jc w:val="center"/>
                    <w:rPr>
                      <w:sz w:val="21"/>
                      <w:szCs w:val="21"/>
                    </w:rPr>
                  </w:pPr>
                  <w:r>
                    <w:rPr>
                      <w:sz w:val="21"/>
                      <w:szCs w:val="21"/>
                    </w:rPr>
                    <w:t>10万</w:t>
                  </w:r>
                </w:p>
              </w:tc>
              <w:tc>
                <w:tcPr>
                  <w:tcW w:w="1412" w:type="dxa"/>
                  <w:vAlign w:val="center"/>
                </w:tcPr>
                <w:p>
                  <w:pPr>
                    <w:jc w:val="center"/>
                    <w:rPr>
                      <w:sz w:val="21"/>
                      <w:szCs w:val="21"/>
                    </w:rPr>
                  </w:pPr>
                  <w:r>
                    <w:rPr>
                      <w:sz w:val="21"/>
                      <w:szCs w:val="21"/>
                    </w:rPr>
                    <w:t>/</w:t>
                  </w:r>
                </w:p>
              </w:tc>
              <w:tc>
                <w:tcPr>
                  <w:tcW w:w="1052" w:type="dxa"/>
                  <w:vAlign w:val="center"/>
                </w:tcPr>
                <w:p>
                  <w:pPr>
                    <w:jc w:val="center"/>
                    <w:rPr>
                      <w:sz w:val="21"/>
                      <w:szCs w:val="21"/>
                    </w:rPr>
                  </w:pPr>
                  <w:r>
                    <w:rPr>
                      <w:sz w:val="21"/>
                      <w:szCs w:val="21"/>
                    </w:rPr>
                    <w:t>/</w:t>
                  </w:r>
                </w:p>
              </w:tc>
              <w:tc>
                <w:tcPr>
                  <w:tcW w:w="724" w:type="dxa"/>
                  <w:vAlign w:val="center"/>
                </w:tcPr>
                <w:p>
                  <w:pPr>
                    <w:jc w:val="center"/>
                    <w:rPr>
                      <w:sz w:val="21"/>
                      <w:szCs w:val="21"/>
                    </w:rPr>
                  </w:pPr>
                  <w:r>
                    <w:rPr>
                      <w:sz w:val="21"/>
                      <w:szCs w:val="21"/>
                    </w:rPr>
                    <w:t>/</w:t>
                  </w:r>
                </w:p>
              </w:tc>
              <w:tc>
                <w:tcPr>
                  <w:tcW w:w="1006" w:type="dxa"/>
                  <w:vAlign w:val="center"/>
                </w:tcPr>
                <w:p>
                  <w:pPr>
                    <w:jc w:val="center"/>
                    <w:rPr>
                      <w:sz w:val="21"/>
                      <w:szCs w:val="21"/>
                    </w:rPr>
                  </w:pPr>
                  <w:r>
                    <w:rPr>
                      <w:sz w:val="21"/>
                      <w:szCs w:val="21"/>
                    </w:rPr>
                    <w:t>市政供电管网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64" w:type="dxa"/>
                  <w:vAlign w:val="center"/>
                </w:tcPr>
                <w:p>
                  <w:pPr>
                    <w:jc w:val="center"/>
                    <w:rPr>
                      <w:sz w:val="21"/>
                      <w:szCs w:val="21"/>
                    </w:rPr>
                  </w:pPr>
                  <w:r>
                    <w:rPr>
                      <w:sz w:val="21"/>
                      <w:szCs w:val="21"/>
                    </w:rPr>
                    <w:t>2</w:t>
                  </w:r>
                </w:p>
              </w:tc>
              <w:tc>
                <w:tcPr>
                  <w:tcW w:w="751" w:type="dxa"/>
                  <w:vAlign w:val="center"/>
                </w:tcPr>
                <w:p>
                  <w:pPr>
                    <w:jc w:val="center"/>
                    <w:rPr>
                      <w:sz w:val="21"/>
                      <w:szCs w:val="21"/>
                    </w:rPr>
                  </w:pPr>
                  <w:r>
                    <w:rPr>
                      <w:sz w:val="21"/>
                      <w:szCs w:val="21"/>
                    </w:rPr>
                    <w:t>水</w:t>
                  </w:r>
                </w:p>
              </w:tc>
              <w:tc>
                <w:tcPr>
                  <w:tcW w:w="861" w:type="dxa"/>
                  <w:vAlign w:val="center"/>
                </w:tcPr>
                <w:p>
                  <w:pPr>
                    <w:jc w:val="center"/>
                    <w:rPr>
                      <w:sz w:val="21"/>
                      <w:szCs w:val="21"/>
                    </w:rPr>
                  </w:pPr>
                  <w:r>
                    <w:rPr>
                      <w:sz w:val="21"/>
                      <w:szCs w:val="21"/>
                    </w:rPr>
                    <w:t>t/a</w:t>
                  </w:r>
                </w:p>
              </w:tc>
              <w:tc>
                <w:tcPr>
                  <w:tcW w:w="945" w:type="dxa"/>
                  <w:vAlign w:val="center"/>
                </w:tcPr>
                <w:p>
                  <w:pPr>
                    <w:jc w:val="center"/>
                    <w:rPr>
                      <w:sz w:val="21"/>
                      <w:szCs w:val="21"/>
                    </w:rPr>
                  </w:pPr>
                  <w:r>
                    <w:rPr>
                      <w:rFonts w:hint="eastAsia"/>
                      <w:sz w:val="21"/>
                      <w:szCs w:val="21"/>
                      <w:lang w:val="en-US" w:eastAsia="zh-CN"/>
                    </w:rPr>
                    <w:t>50</w:t>
                  </w:r>
                  <w:r>
                    <w:rPr>
                      <w:rFonts w:hint="eastAsia"/>
                      <w:sz w:val="21"/>
                      <w:szCs w:val="21"/>
                    </w:rPr>
                    <w:t>71.2</w:t>
                  </w:r>
                </w:p>
              </w:tc>
              <w:tc>
                <w:tcPr>
                  <w:tcW w:w="1412" w:type="dxa"/>
                  <w:vAlign w:val="center"/>
                </w:tcPr>
                <w:p>
                  <w:pPr>
                    <w:jc w:val="center"/>
                    <w:rPr>
                      <w:sz w:val="21"/>
                      <w:szCs w:val="21"/>
                    </w:rPr>
                  </w:pPr>
                  <w:r>
                    <w:rPr>
                      <w:sz w:val="21"/>
                      <w:szCs w:val="21"/>
                    </w:rPr>
                    <w:t>/</w:t>
                  </w:r>
                </w:p>
              </w:tc>
              <w:tc>
                <w:tcPr>
                  <w:tcW w:w="1052" w:type="dxa"/>
                  <w:vAlign w:val="center"/>
                </w:tcPr>
                <w:p>
                  <w:pPr>
                    <w:jc w:val="center"/>
                    <w:rPr>
                      <w:sz w:val="21"/>
                      <w:szCs w:val="21"/>
                    </w:rPr>
                  </w:pPr>
                  <w:r>
                    <w:rPr>
                      <w:sz w:val="21"/>
                      <w:szCs w:val="21"/>
                    </w:rPr>
                    <w:t>/</w:t>
                  </w:r>
                </w:p>
              </w:tc>
              <w:tc>
                <w:tcPr>
                  <w:tcW w:w="724" w:type="dxa"/>
                  <w:vAlign w:val="center"/>
                </w:tcPr>
                <w:p>
                  <w:pPr>
                    <w:jc w:val="center"/>
                    <w:rPr>
                      <w:sz w:val="21"/>
                      <w:szCs w:val="21"/>
                    </w:rPr>
                  </w:pPr>
                  <w:r>
                    <w:rPr>
                      <w:sz w:val="21"/>
                      <w:szCs w:val="21"/>
                    </w:rPr>
                    <w:t>/</w:t>
                  </w:r>
                </w:p>
              </w:tc>
              <w:tc>
                <w:tcPr>
                  <w:tcW w:w="1006" w:type="dxa"/>
                  <w:vAlign w:val="center"/>
                </w:tcPr>
                <w:p>
                  <w:pPr>
                    <w:jc w:val="center"/>
                    <w:rPr>
                      <w:sz w:val="21"/>
                      <w:szCs w:val="21"/>
                    </w:rPr>
                  </w:pPr>
                  <w:r>
                    <w:rPr>
                      <w:sz w:val="21"/>
                      <w:szCs w:val="21"/>
                    </w:rPr>
                    <w:t>市政供水管网</w:t>
                  </w:r>
                </w:p>
              </w:tc>
            </w:tr>
          </w:tbl>
          <w:p>
            <w:pPr>
              <w:spacing w:line="360" w:lineRule="auto"/>
              <w:ind w:firstLine="480" w:firstLineChars="200"/>
            </w:pPr>
            <w:r>
              <w:rPr>
                <w:rFonts w:hint="eastAsia"/>
              </w:rPr>
              <w:t>5</w:t>
            </w:r>
            <w:r>
              <w:t>、劳动人数及工作制度</w:t>
            </w:r>
          </w:p>
          <w:p>
            <w:pPr>
              <w:spacing w:line="360" w:lineRule="auto"/>
              <w:ind w:firstLine="480" w:firstLineChars="200"/>
            </w:pPr>
            <w:r>
              <w:t>本项目劳动定员</w:t>
            </w:r>
            <w:r>
              <w:rPr>
                <w:rFonts w:hint="eastAsia"/>
              </w:rPr>
              <w:t>6</w:t>
            </w:r>
            <w:r>
              <w:t>人，在厂区食宿，</w:t>
            </w:r>
            <w:r>
              <w:rPr>
                <w:rFonts w:hint="eastAsia"/>
              </w:rPr>
              <w:t>2</w:t>
            </w:r>
            <w:r>
              <w:t>班制，每班</w:t>
            </w:r>
            <w:r>
              <w:rPr>
                <w:rFonts w:hint="eastAsia"/>
              </w:rPr>
              <w:t>8</w:t>
            </w:r>
            <w:r>
              <w:t>小时，年工作天数3</w:t>
            </w:r>
            <w:r>
              <w:rPr>
                <w:rFonts w:hint="eastAsia"/>
              </w:rPr>
              <w:t>20</w:t>
            </w:r>
            <w:r>
              <w:t>天。</w:t>
            </w:r>
          </w:p>
          <w:p>
            <w:pPr>
              <w:spacing w:line="360" w:lineRule="auto"/>
              <w:ind w:firstLine="480" w:firstLineChars="200"/>
            </w:pPr>
            <w:r>
              <w:rPr>
                <w:rFonts w:hint="eastAsia"/>
              </w:rPr>
              <w:t>6、水平衡分析</w:t>
            </w:r>
          </w:p>
          <w:p>
            <w:pPr>
              <w:spacing w:line="360" w:lineRule="auto"/>
              <w:ind w:firstLine="480" w:firstLineChars="200"/>
            </w:pPr>
            <w:r>
              <w:rPr>
                <w:bCs/>
              </w:rPr>
              <w:t>本项目</w:t>
            </w:r>
            <w:r>
              <w:rPr>
                <w:rFonts w:hint="eastAsia"/>
                <w:bCs/>
              </w:rPr>
              <w:t>运营期用水主要为生活用水、搅拌用水、养护用水和设备及地面清洗用水。废水主要包括员工生活污水，设备及地面清洗产生的废水。</w:t>
            </w:r>
          </w:p>
          <w:p>
            <w:pPr>
              <w:spacing w:line="360" w:lineRule="auto"/>
              <w:ind w:firstLine="480" w:firstLineChars="200"/>
              <w:rPr>
                <w:lang w:val="zh-CN"/>
              </w:rPr>
            </w:pPr>
            <w:r>
              <w:rPr>
                <w:lang w:val="zh-CN"/>
              </w:rPr>
              <w:t>（</w:t>
            </w:r>
            <w:r>
              <w:rPr>
                <w:rFonts w:hint="eastAsia"/>
              </w:rPr>
              <w:t>1</w:t>
            </w:r>
            <w:r>
              <w:rPr>
                <w:lang w:val="zh-CN"/>
              </w:rPr>
              <w:t>）生</w:t>
            </w:r>
            <w:r>
              <w:t>活</w:t>
            </w:r>
            <w:r>
              <w:rPr>
                <w:lang w:val="zh-CN"/>
              </w:rPr>
              <w:t>用水</w:t>
            </w:r>
          </w:p>
          <w:p>
            <w:pPr>
              <w:spacing w:line="360" w:lineRule="auto"/>
              <w:ind w:firstLine="480" w:firstLineChars="200"/>
              <w:jc w:val="left"/>
            </w:pPr>
            <w:r>
              <w:t>生活</w:t>
            </w:r>
            <w:r>
              <w:rPr>
                <w:rFonts w:hint="eastAsia"/>
              </w:rPr>
              <w:t>污水：</w:t>
            </w:r>
            <w:r>
              <w:t>本项目</w:t>
            </w:r>
            <w:r>
              <w:rPr>
                <w:rFonts w:hint="eastAsia"/>
              </w:rPr>
              <w:t>劳动定员6人，年工作320天，厂区内不</w:t>
            </w:r>
            <w:r>
              <w:t>设置</w:t>
            </w:r>
            <w:r>
              <w:rPr>
                <w:rFonts w:hint="eastAsia"/>
              </w:rPr>
              <w:t>食</w:t>
            </w:r>
            <w:r>
              <w:t>宿</w:t>
            </w:r>
            <w:r>
              <w:rPr>
                <w:rFonts w:hint="eastAsia"/>
              </w:rPr>
              <w:t>。根据《安徽省行业用水定额》（DB34T679-2019），员工用水定额按</w:t>
            </w:r>
            <w:r>
              <w:rPr>
                <w:rFonts w:hint="eastAsia"/>
                <w:lang w:val="en-US" w:eastAsia="zh-CN"/>
              </w:rPr>
              <w:t>6</w:t>
            </w:r>
            <w:r>
              <w:t>0L/人·d计算，</w:t>
            </w:r>
            <w:r>
              <w:rPr>
                <w:rFonts w:hint="eastAsia"/>
              </w:rPr>
              <w:t>生活用水量为0.</w:t>
            </w:r>
            <w:r>
              <w:rPr>
                <w:rFonts w:hint="eastAsia"/>
                <w:lang w:val="en-US" w:eastAsia="zh-CN"/>
              </w:rPr>
              <w:t>36</w:t>
            </w:r>
            <w:r>
              <w:rPr>
                <w:rFonts w:hint="eastAsia"/>
              </w:rPr>
              <w:t>t/d（</w:t>
            </w:r>
            <w:r>
              <w:rPr>
                <w:rFonts w:hint="eastAsia"/>
                <w:lang w:val="en-US" w:eastAsia="zh-CN"/>
              </w:rPr>
              <w:t>115.2</w:t>
            </w:r>
            <w:r>
              <w:t>t/a</w:t>
            </w:r>
            <w:r>
              <w:rPr>
                <w:rFonts w:hint="eastAsia"/>
              </w:rPr>
              <w:t>），</w:t>
            </w:r>
            <w:r>
              <w:t>污水产生量按照用水量</w:t>
            </w:r>
            <w:r>
              <w:rPr>
                <w:rFonts w:hint="eastAsia"/>
              </w:rPr>
              <w:t>8</w:t>
            </w:r>
            <w:r>
              <w:t>0%计算，则生活污水产生量为</w:t>
            </w:r>
            <w:r>
              <w:rPr>
                <w:rFonts w:hint="eastAsia"/>
                <w:lang w:val="en-US" w:eastAsia="zh-CN"/>
              </w:rPr>
              <w:t>0.288</w:t>
            </w:r>
            <w:r>
              <w:rPr>
                <w:rFonts w:hint="eastAsia"/>
              </w:rPr>
              <w:t>t/d（</w:t>
            </w:r>
            <w:r>
              <w:rPr>
                <w:rFonts w:hint="eastAsia"/>
                <w:lang w:val="en-US" w:eastAsia="zh-CN"/>
              </w:rPr>
              <w:t>92.16</w:t>
            </w:r>
            <w:r>
              <w:t>t/a</w:t>
            </w:r>
            <w:r>
              <w:rPr>
                <w:rFonts w:hint="eastAsia"/>
              </w:rPr>
              <w:t>），生活污水经隔油池+化粪池处理后定期清掏不外排。</w:t>
            </w:r>
          </w:p>
          <w:p>
            <w:pPr>
              <w:spacing w:line="360" w:lineRule="auto"/>
              <w:ind w:firstLine="480" w:firstLineChars="200"/>
            </w:pPr>
            <w:r>
              <w:rPr>
                <w:rFonts w:hint="eastAsia"/>
              </w:rPr>
              <w:t>（2）搅拌用水</w:t>
            </w:r>
          </w:p>
          <w:p>
            <w:pPr>
              <w:spacing w:line="360" w:lineRule="auto"/>
              <w:ind w:firstLine="480" w:firstLineChars="200"/>
            </w:pPr>
            <w:r>
              <w:rPr>
                <w:rFonts w:hint="eastAsia"/>
              </w:rPr>
              <w:t>项目物料混合搅拌需要添加水，根据企业提供资料，搅拌用水用量为4</w:t>
            </w:r>
            <w:r>
              <w:rPr>
                <w:rFonts w:hint="eastAsia"/>
                <w:lang w:val="en-US" w:eastAsia="zh-CN"/>
              </w:rPr>
              <w:t>2</w:t>
            </w:r>
            <w:r>
              <w:rPr>
                <w:rFonts w:hint="eastAsia"/>
              </w:rPr>
              <w:t>00</w:t>
            </w:r>
            <w:r>
              <w:t>t/a</w:t>
            </w:r>
            <w:r>
              <w:rPr>
                <w:rFonts w:hint="eastAsia"/>
                <w:lang w:eastAsia="zh-CN"/>
              </w:rPr>
              <w:t>，</w:t>
            </w:r>
            <w:r>
              <w:rPr>
                <w:rFonts w:hint="eastAsia"/>
                <w:lang w:val="en-US" w:eastAsia="zh-CN"/>
              </w:rPr>
              <w:t>不产生废水</w:t>
            </w:r>
            <w:r>
              <w:rPr>
                <w:rFonts w:hint="eastAsia"/>
              </w:rPr>
              <w:t>。</w:t>
            </w:r>
          </w:p>
          <w:p>
            <w:pPr>
              <w:spacing w:line="360" w:lineRule="auto"/>
              <w:ind w:firstLine="480" w:firstLineChars="200"/>
            </w:pPr>
            <w:r>
              <w:rPr>
                <w:rFonts w:hint="eastAsia"/>
              </w:rPr>
              <w:t>（3）</w:t>
            </w:r>
            <w:r>
              <w:rPr>
                <w:rFonts w:hint="eastAsia"/>
                <w:bCs/>
              </w:rPr>
              <w:t>设备及地面清洗用水</w:t>
            </w:r>
          </w:p>
          <w:p>
            <w:pPr>
              <w:spacing w:line="360" w:lineRule="auto"/>
              <w:ind w:firstLine="480" w:firstLineChars="200"/>
            </w:pPr>
            <w:r>
              <w:rPr>
                <w:rFonts w:hint="eastAsia"/>
              </w:rPr>
              <w:t>项目设备及地面每5天清洗一次，每次需用水2.5吨，年用水量为160吨，有10%损耗，产生的清洗废水量为144吨/年，经沉淀池处理后回用。</w:t>
            </w:r>
          </w:p>
          <w:p>
            <w:pPr>
              <w:pStyle w:val="11"/>
              <w:rPr>
                <w:b/>
                <w:bCs/>
                <w:sz w:val="24"/>
                <w:szCs w:val="24"/>
              </w:rPr>
            </w:pPr>
            <w:r>
              <w:rPr>
                <w:rFonts w:hint="eastAsia"/>
                <w:b/>
                <w:bCs/>
                <w:sz w:val="24"/>
                <w:szCs w:val="24"/>
              </w:rPr>
              <w:t>项目水平衡图见下图：</w:t>
            </w:r>
          </w:p>
          <w:p>
            <w:pPr>
              <w:spacing w:line="360" w:lineRule="auto"/>
              <w:jc w:val="center"/>
            </w:pPr>
            <w:r>
              <w:rPr>
                <w:rFonts w:hint="eastAsia"/>
              </w:rPr>
              <w:drawing>
                <wp:inline distT="0" distB="0" distL="114300" distR="114300">
                  <wp:extent cx="4731385" cy="3034030"/>
                  <wp:effectExtent l="0" t="0" r="0" b="0"/>
                  <wp:docPr id="2" name="ECB019B1-382A-4266-B25C-5B523AA43C14-1" descr="C:/Users/MI/AppData/Local/Temp/wps.QaWqu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C:/Users/MI/AppData/Local/Temp/wps.QaWquVwps"/>
                          <pic:cNvPicPr>
                            <a:picLocks noChangeAspect="1"/>
                          </pic:cNvPicPr>
                        </pic:nvPicPr>
                        <pic:blipFill>
                          <a:blip r:embed="rId14"/>
                          <a:stretch>
                            <a:fillRect/>
                          </a:stretch>
                        </pic:blipFill>
                        <pic:spPr>
                          <a:xfrm>
                            <a:off x="0" y="0"/>
                            <a:ext cx="4731385" cy="3034030"/>
                          </a:xfrm>
                          <a:prstGeom prst="rect">
                            <a:avLst/>
                          </a:prstGeom>
                        </pic:spPr>
                      </pic:pic>
                    </a:graphicData>
                  </a:graphic>
                </wp:inline>
              </w:drawing>
            </w:r>
          </w:p>
          <w:p>
            <w:pPr>
              <w:spacing w:line="360" w:lineRule="auto"/>
              <w:jc w:val="center"/>
              <w:rPr>
                <w:b/>
                <w:bCs/>
              </w:rPr>
            </w:pPr>
            <w:r>
              <w:rPr>
                <w:rFonts w:hint="eastAsia"/>
                <w:b/>
                <w:bCs/>
              </w:rPr>
              <w:t>图2-1  项目水平衡图（t/a）</w:t>
            </w:r>
          </w:p>
          <w:p>
            <w:pPr>
              <w:spacing w:line="360" w:lineRule="auto"/>
              <w:ind w:firstLine="480" w:firstLineChars="200"/>
              <w:jc w:val="left"/>
            </w:pPr>
            <w:r>
              <w:rPr>
                <w:rFonts w:hint="eastAsia"/>
              </w:rPr>
              <w:t>7</w:t>
            </w:r>
            <w:r>
              <w:t>、</w:t>
            </w:r>
            <w:r>
              <w:rPr>
                <w:rFonts w:hint="eastAsia"/>
              </w:rPr>
              <w:t>厂区</w:t>
            </w:r>
            <w:r>
              <w:t>平面布置</w:t>
            </w:r>
          </w:p>
          <w:p>
            <w:pPr>
              <w:spacing w:line="360" w:lineRule="auto"/>
              <w:ind w:firstLine="480" w:firstLineChars="200"/>
            </w:pPr>
            <w:r>
              <w:t>本项目</w:t>
            </w:r>
            <w:r>
              <w:rPr>
                <w:rFonts w:hint="eastAsia"/>
              </w:rPr>
              <w:t>建设地点</w:t>
            </w:r>
            <w:r>
              <w:t>位于</w:t>
            </w:r>
            <w:r>
              <w:rPr>
                <w:rFonts w:hint="eastAsia"/>
              </w:rPr>
              <w:t>安徽省宿州市泗县草沟镇工业园区06号</w:t>
            </w:r>
            <w:r>
              <w:t>，</w:t>
            </w:r>
            <w:r>
              <w:rPr>
                <w:rFonts w:hint="eastAsia"/>
              </w:rPr>
              <w:t>租赁泗县卓越纺织品有限公司土地及空置厂房。办公区位于厂区西部，1#、2#、3#生产车间位于厂区西部且从西到东依次排序。1#生产车间设置安装搅拌系统、JQT轻质隔墙板机，2#生产车间设置安装搅拌系统、JQT轻质隔墙板机，3#生产车间设置安装JQT轻质隔墙板机。养护区位于厂区内东部，隔油池+化粪池位于厂区内西北部，沉淀池位于厂区内东南部。一般固废暂存间位于3#生产车间内北部。</w:t>
            </w:r>
          </w:p>
          <w:p>
            <w:pPr>
              <w:spacing w:line="360" w:lineRule="auto"/>
              <w:ind w:firstLine="480" w:firstLineChars="200"/>
              <w:rPr>
                <w:rFonts w:hint="eastAsia"/>
              </w:rPr>
            </w:pPr>
            <w:r>
              <w:rPr>
                <w:rFonts w:hint="eastAsia"/>
              </w:rPr>
              <w:t>总体来说，厂区</w:t>
            </w:r>
            <w:r>
              <w:t>平面布置充分利用场地，合理布置、缩短管线、节约投资</w:t>
            </w:r>
            <w:r>
              <w:rPr>
                <w:rFonts w:hint="eastAsia"/>
              </w:rPr>
              <w:t>，</w:t>
            </w:r>
            <w:r>
              <w:t>平面布置合理可行。</w:t>
            </w:r>
          </w:p>
          <w:p>
            <w:pPr>
              <w:spacing w:line="360" w:lineRule="auto"/>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pStyle w:val="20"/>
              <w:adjustRightInd w:val="0"/>
              <w:snapToGrid w:val="0"/>
              <w:spacing w:before="0" w:beforeAutospacing="0" w:after="0" w:afterAutospacing="0"/>
              <w:jc w:val="center"/>
              <w:rPr>
                <w:rFonts w:ascii="Times New Roman" w:hAnsi="Times New Roman"/>
                <w:sz w:val="21"/>
                <w:szCs w:val="21"/>
              </w:rPr>
            </w:pPr>
            <w:r>
              <w:rPr>
                <w:rFonts w:ascii="Times New Roman" w:hAnsi="Times New Roman"/>
                <w:szCs w:val="24"/>
              </w:rPr>
              <w:t>工艺流程和产排污环节</w:t>
            </w:r>
          </w:p>
        </w:tc>
        <w:tc>
          <w:tcPr>
            <w:tcW w:w="8161" w:type="dxa"/>
          </w:tcPr>
          <w:p>
            <w:pPr>
              <w:pStyle w:val="11"/>
              <w:ind w:firstLine="480" w:firstLineChars="200"/>
              <w:rPr>
                <w:color w:val="000000"/>
                <w:sz w:val="24"/>
              </w:rPr>
            </w:pPr>
            <w:r>
              <w:rPr>
                <w:color w:val="000000"/>
                <w:sz w:val="24"/>
              </w:rPr>
              <w:t>本项目产品为</w:t>
            </w:r>
            <w:r>
              <w:rPr>
                <w:rFonts w:hint="eastAsia"/>
                <w:color w:val="000000"/>
                <w:sz w:val="24"/>
              </w:rPr>
              <w:t>轻质隔墙板，项目生产工艺流程如下：</w:t>
            </w:r>
          </w:p>
          <w:p>
            <w:pPr>
              <w:spacing w:line="360" w:lineRule="auto"/>
              <w:jc w:val="center"/>
            </w:pPr>
            <w:r>
              <w:drawing>
                <wp:inline distT="0" distB="0" distL="114300" distR="114300">
                  <wp:extent cx="4025900" cy="6283960"/>
                  <wp:effectExtent l="0" t="0" r="0" b="0"/>
                  <wp:docPr id="3" name="ECB019B1-382A-4266-B25C-5B523AA43C14-2" descr="C:/Users/MI/AppData/Local/Temp/wps.CakAXk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2" descr="C:/Users/MI/AppData/Local/Temp/wps.CakAXkwps"/>
                          <pic:cNvPicPr>
                            <a:picLocks noChangeAspect="1"/>
                          </pic:cNvPicPr>
                        </pic:nvPicPr>
                        <pic:blipFill>
                          <a:blip r:embed="rId15"/>
                          <a:stretch>
                            <a:fillRect/>
                          </a:stretch>
                        </pic:blipFill>
                        <pic:spPr>
                          <a:xfrm>
                            <a:off x="0" y="0"/>
                            <a:ext cx="4025900" cy="6283960"/>
                          </a:xfrm>
                          <a:prstGeom prst="rect">
                            <a:avLst/>
                          </a:prstGeom>
                        </pic:spPr>
                      </pic:pic>
                    </a:graphicData>
                  </a:graphic>
                </wp:inline>
              </w:drawing>
            </w:r>
          </w:p>
          <w:p>
            <w:pPr>
              <w:spacing w:line="360" w:lineRule="auto"/>
              <w:jc w:val="center"/>
              <w:rPr>
                <w:b/>
                <w:bCs/>
              </w:rPr>
            </w:pPr>
            <w:r>
              <w:rPr>
                <w:b/>
                <w:bCs/>
              </w:rPr>
              <w:t>图2-</w:t>
            </w:r>
            <w:r>
              <w:rPr>
                <w:rFonts w:hint="eastAsia"/>
                <w:b/>
                <w:bCs/>
              </w:rPr>
              <w:t>2</w:t>
            </w:r>
            <w:r>
              <w:rPr>
                <w:b/>
                <w:bCs/>
              </w:rPr>
              <w:t xml:space="preserve">  轻质隔墙板</w:t>
            </w:r>
            <w:r>
              <w:rPr>
                <w:rFonts w:hint="eastAsia"/>
                <w:b/>
                <w:bCs/>
              </w:rPr>
              <w:t>生产</w:t>
            </w:r>
            <w:r>
              <w:rPr>
                <w:b/>
                <w:bCs/>
              </w:rPr>
              <w:t>工艺流程及产污节点图（G-废气，</w:t>
            </w:r>
            <w:r>
              <w:rPr>
                <w:rFonts w:hint="eastAsia"/>
                <w:b/>
                <w:bCs/>
              </w:rPr>
              <w:t>W-废水</w:t>
            </w:r>
            <w:r>
              <w:rPr>
                <w:b/>
                <w:bCs/>
              </w:rPr>
              <w:t>，S-固废</w:t>
            </w:r>
            <w:r>
              <w:rPr>
                <w:rFonts w:hint="eastAsia"/>
                <w:b/>
                <w:bCs/>
              </w:rPr>
              <w:t>，</w:t>
            </w:r>
            <w:r>
              <w:rPr>
                <w:b/>
                <w:bCs/>
              </w:rPr>
              <w:t>N-噪声）</w:t>
            </w:r>
          </w:p>
          <w:p>
            <w:pPr>
              <w:spacing w:line="360" w:lineRule="auto"/>
              <w:ind w:firstLine="480" w:firstLineChars="200"/>
              <w:jc w:val="left"/>
            </w:pPr>
            <w:r>
              <w:t>轻质隔墙板生产工艺流程简介：</w:t>
            </w:r>
          </w:p>
          <w:p>
            <w:pPr>
              <w:spacing w:line="360" w:lineRule="auto"/>
              <w:ind w:firstLine="480" w:firstLineChars="200"/>
              <w:jc w:val="left"/>
              <w:rPr>
                <w:color w:val="auto"/>
              </w:rPr>
            </w:pPr>
            <w:r>
              <w:rPr>
                <w:rFonts w:hint="eastAsia"/>
              </w:rPr>
              <w:t>（1）原料堆放、拉筋：原料钢筋堆放于厂区内露天存放区。项目购置的钢筋为成型钢筋，即钢筋</w:t>
            </w:r>
            <w:r>
              <w:rPr>
                <w:rFonts w:hint="eastAsia"/>
                <w:color w:val="auto"/>
              </w:rPr>
              <w:t>的大小、长短均符合产品需要，无需二次加工，仅有少数钢筋可能需要人工拉筋，</w:t>
            </w:r>
            <w:r>
              <w:rPr>
                <w:rFonts w:hint="eastAsia"/>
                <w:color w:val="auto"/>
                <w:lang w:val="en-US" w:eastAsia="zh-CN"/>
              </w:rPr>
              <w:t>可能产生的污染物为废钢丝条S1</w:t>
            </w:r>
            <w:r>
              <w:rPr>
                <w:rFonts w:hint="eastAsia"/>
                <w:color w:val="auto"/>
                <w:lang w:eastAsia="zh-CN"/>
              </w:rPr>
              <w:t>，</w:t>
            </w:r>
            <w:r>
              <w:rPr>
                <w:rFonts w:hint="eastAsia"/>
                <w:color w:val="auto"/>
              </w:rPr>
              <w:t>该工序产生的污染物为</w:t>
            </w:r>
            <w:r>
              <w:rPr>
                <w:rFonts w:hint="eastAsia"/>
                <w:color w:val="auto"/>
                <w:lang w:val="en-US" w:eastAsia="zh-CN"/>
              </w:rPr>
              <w:t>废钢丝条S1和设备噪声N</w:t>
            </w:r>
            <w:r>
              <w:rPr>
                <w:rFonts w:hint="eastAsia"/>
                <w:color w:val="auto"/>
              </w:rPr>
              <w:t>。</w:t>
            </w:r>
          </w:p>
          <w:p>
            <w:pPr>
              <w:spacing w:line="360" w:lineRule="auto"/>
              <w:ind w:firstLine="480" w:firstLineChars="200"/>
              <w:jc w:val="left"/>
              <w:rPr>
                <w:color w:val="auto"/>
              </w:rPr>
            </w:pPr>
            <w:r>
              <w:rPr>
                <w:rFonts w:hint="eastAsia"/>
              </w:rPr>
              <w:t>（2）水泥仓</w:t>
            </w:r>
            <w:r>
              <w:t>：</w:t>
            </w:r>
            <w:r>
              <w:rPr>
                <w:rFonts w:hint="eastAsia"/>
              </w:rPr>
              <w:t>项目设置2个水泥仓，单个50吨容量，用于存放原料水泥，产生的污染物有水泥仓呼吸粉尘</w:t>
            </w:r>
            <w:r>
              <w:t>。</w:t>
            </w:r>
            <w:r>
              <w:rPr>
                <w:rFonts w:hint="eastAsia"/>
              </w:rPr>
              <w:t>该工序产生的污染物为水泥仓呼吸</w:t>
            </w:r>
            <w:r>
              <w:t>废气</w:t>
            </w:r>
            <w:r>
              <w:rPr>
                <w:rFonts w:hint="eastAsia"/>
              </w:rPr>
              <w:t>G1和设备噪声N</w:t>
            </w:r>
            <w:r>
              <w:t>；</w:t>
            </w:r>
          </w:p>
          <w:p>
            <w:pPr>
              <w:spacing w:line="360" w:lineRule="auto"/>
              <w:ind w:firstLine="480" w:firstLineChars="200"/>
              <w:jc w:val="left"/>
              <w:rPr>
                <w:color w:val="auto"/>
              </w:rPr>
            </w:pPr>
            <w:r>
              <w:rPr>
                <w:rFonts w:hint="eastAsia"/>
                <w:color w:val="auto"/>
              </w:rPr>
              <w:t>（3）物料混合搅拌</w:t>
            </w:r>
            <w:r>
              <w:rPr>
                <w:color w:val="auto"/>
              </w:rPr>
              <w:t>：</w:t>
            </w:r>
            <w:r>
              <w:rPr>
                <w:rFonts w:hint="eastAsia"/>
                <w:color w:val="auto"/>
              </w:rPr>
              <w:t>水、炉渣、水泥按一定比例</w:t>
            </w:r>
            <w:r>
              <w:rPr>
                <w:rFonts w:hint="eastAsia"/>
                <w:color w:val="auto"/>
                <w:lang w:val="en-US" w:eastAsia="zh-CN"/>
              </w:rPr>
              <w:t>混合搅拌</w:t>
            </w:r>
            <w:r>
              <w:rPr>
                <w:rFonts w:hint="eastAsia"/>
                <w:color w:val="auto"/>
              </w:rPr>
              <w:t>，得到浆料</w:t>
            </w:r>
            <w:r>
              <w:rPr>
                <w:rFonts w:hint="eastAsia"/>
                <w:color w:val="auto"/>
                <w:lang w:eastAsia="zh-CN"/>
              </w:rPr>
              <w:t>。</w:t>
            </w:r>
            <w:r>
              <w:rPr>
                <w:rFonts w:hint="eastAsia"/>
                <w:color w:val="auto"/>
                <w:lang w:val="en-US" w:eastAsia="zh-CN"/>
              </w:rPr>
              <w:t>炉渣本身含水率约为15%，使用铲车进行投料时不会产生粉尘；水泥经水泥仓管道输送，水泥输送过程中不产生粉尘</w:t>
            </w:r>
            <w:r>
              <w:rPr>
                <w:rFonts w:hint="eastAsia"/>
                <w:color w:val="auto"/>
                <w:lang w:eastAsia="zh-CN"/>
              </w:rPr>
              <w:t>。</w:t>
            </w:r>
            <w:r>
              <w:rPr>
                <w:rFonts w:hint="eastAsia"/>
                <w:color w:val="auto"/>
              </w:rPr>
              <w:t>混合搅</w:t>
            </w:r>
            <w:r>
              <w:rPr>
                <w:rFonts w:hint="eastAsia"/>
                <w:color w:val="auto"/>
                <w:lang w:val="en-US" w:eastAsia="zh-CN"/>
              </w:rPr>
              <w:t>拌过程中有粉尘产生</w:t>
            </w:r>
            <w:r>
              <w:rPr>
                <w:rFonts w:hint="eastAsia"/>
                <w:color w:val="auto"/>
                <w:lang w:eastAsia="zh-CN"/>
              </w:rPr>
              <w:t>，</w:t>
            </w:r>
            <w:r>
              <w:rPr>
                <w:rFonts w:hint="eastAsia"/>
                <w:color w:val="auto"/>
              </w:rPr>
              <w:t>该过程中产生的污染物有物料混合搅拌废气G2和设备噪声N</w:t>
            </w:r>
            <w:r>
              <w:rPr>
                <w:color w:val="auto"/>
              </w:rPr>
              <w:t>；</w:t>
            </w:r>
          </w:p>
          <w:p>
            <w:pPr>
              <w:spacing w:line="360" w:lineRule="auto"/>
              <w:ind w:firstLine="480" w:firstLineChars="200"/>
              <w:jc w:val="left"/>
            </w:pPr>
            <w:r>
              <w:rPr>
                <w:rFonts w:hint="eastAsia"/>
                <w:color w:val="auto"/>
              </w:rPr>
              <w:t>（4）成型</w:t>
            </w:r>
            <w:r>
              <w:rPr>
                <w:color w:val="auto"/>
              </w:rPr>
              <w:t>：</w:t>
            </w:r>
            <w:r>
              <w:rPr>
                <w:rFonts w:hint="eastAsia"/>
                <w:color w:val="auto"/>
                <w:lang w:val="en-US" w:eastAsia="zh-CN"/>
              </w:rPr>
              <w:t>把钢筋放入轻质隔墙板机中的模具位置，然后</w:t>
            </w:r>
            <w:r>
              <w:rPr>
                <w:rFonts w:hint="eastAsia"/>
                <w:color w:val="auto"/>
              </w:rPr>
              <w:t>把浆料注入JQT轻质隔墙板机中，轻质隔墙板机采用连续作业，一次成型工艺，将手工拉模、立模、挤压所需多道工序集于一体，10mm</w:t>
            </w:r>
            <w:r>
              <w:rPr>
                <w:rFonts w:hint="eastAsia"/>
              </w:rPr>
              <w:t>、20mm的轻质隔墙板采用立模工序，30mm-200mm的轻质隔墙板采用挤压工序，该工序产生的污染物为设备噪声N；</w:t>
            </w:r>
          </w:p>
          <w:p>
            <w:pPr>
              <w:widowControl/>
              <w:spacing w:line="360" w:lineRule="auto"/>
              <w:ind w:firstLine="480" w:firstLineChars="200"/>
              <w:jc w:val="left"/>
            </w:pPr>
            <w:r>
              <w:rPr>
                <w:rFonts w:hint="eastAsia"/>
              </w:rPr>
              <w:t>（5）切割</w:t>
            </w:r>
            <w:r>
              <w:t>：</w:t>
            </w:r>
            <w:r>
              <w:rPr>
                <w:rFonts w:hint="eastAsia"/>
              </w:rPr>
              <w:t>使用切割机进行切割，上个工序产生的产品本身湿润，不产生废气，该工序</w:t>
            </w:r>
            <w:r>
              <w:t>产生</w:t>
            </w:r>
            <w:r>
              <w:rPr>
                <w:rFonts w:hint="eastAsia"/>
              </w:rPr>
              <w:t>的污染物为废边角料S1和设备噪声N；</w:t>
            </w:r>
          </w:p>
          <w:p>
            <w:pPr>
              <w:widowControl/>
              <w:spacing w:line="360" w:lineRule="auto"/>
              <w:ind w:firstLine="480" w:firstLineChars="200"/>
              <w:jc w:val="left"/>
            </w:pPr>
            <w:r>
              <w:rPr>
                <w:rFonts w:hint="eastAsia"/>
              </w:rPr>
              <w:t>（</w:t>
            </w:r>
            <w:r>
              <w:rPr>
                <w:rFonts w:hint="eastAsia"/>
                <w:lang w:val="en-US" w:eastAsia="zh-CN"/>
              </w:rPr>
              <w:t>6</w:t>
            </w:r>
            <w:r>
              <w:rPr>
                <w:rFonts w:hint="eastAsia"/>
              </w:rPr>
              <w:t>）养护</w:t>
            </w:r>
            <w:r>
              <w:t>：</w:t>
            </w:r>
            <w:r>
              <w:rPr>
                <w:rFonts w:hint="eastAsia"/>
              </w:rPr>
              <w:t>切割后的产品需要水进行养护，人工养护，养护过程中水完全吸收、消耗，露天晾晒，该工序不产生污染物；</w:t>
            </w:r>
          </w:p>
          <w:p>
            <w:pPr>
              <w:widowControl/>
              <w:spacing w:line="360" w:lineRule="auto"/>
              <w:ind w:firstLine="480" w:firstLineChars="200"/>
              <w:jc w:val="left"/>
            </w:pPr>
            <w:r>
              <w:t>（</w:t>
            </w:r>
            <w:r>
              <w:rPr>
                <w:rFonts w:hint="eastAsia"/>
                <w:lang w:val="en-US" w:eastAsia="zh-CN"/>
              </w:rPr>
              <w:t>7</w:t>
            </w:r>
            <w:r>
              <w:t>）</w:t>
            </w:r>
            <w:r>
              <w:rPr>
                <w:rFonts w:hint="eastAsia"/>
              </w:rPr>
              <w:t>成品检验：人工检验成品是否合格，该工序产生的污染物为不合格品S2。</w:t>
            </w:r>
          </w:p>
          <w:p>
            <w:pPr>
              <w:adjustRightInd w:val="0"/>
              <w:snapToGrid w:val="0"/>
              <w:spacing w:line="360" w:lineRule="auto"/>
              <w:ind w:firstLine="482" w:firstLineChars="200"/>
              <w:jc w:val="center"/>
              <w:rPr>
                <w:b/>
                <w:color w:val="000000"/>
              </w:rPr>
            </w:pPr>
            <w:r>
              <w:rPr>
                <w:b/>
                <w:color w:val="000000"/>
                <w:lang w:bidi="ar"/>
              </w:rPr>
              <w:t>表2-</w:t>
            </w:r>
            <w:r>
              <w:rPr>
                <w:rFonts w:hint="eastAsia"/>
                <w:b/>
                <w:color w:val="000000"/>
                <w:lang w:bidi="ar"/>
              </w:rPr>
              <w:t xml:space="preserve">5  </w:t>
            </w:r>
            <w:r>
              <w:rPr>
                <w:b/>
                <w:color w:val="000000"/>
                <w:lang w:bidi="ar"/>
              </w:rPr>
              <w:t>产污环节一览表</w:t>
            </w:r>
          </w:p>
          <w:tbl>
            <w:tblPr>
              <w:tblStyle w:val="24"/>
              <w:tblW w:w="7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1775"/>
              <w:gridCol w:w="1498"/>
              <w:gridCol w:w="185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4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b/>
                      <w:color w:val="000000"/>
                      <w:sz w:val="21"/>
                      <w:szCs w:val="21"/>
                    </w:rPr>
                  </w:pPr>
                  <w:r>
                    <w:rPr>
                      <w:b/>
                      <w:color w:val="000000"/>
                      <w:sz w:val="21"/>
                      <w:szCs w:val="21"/>
                      <w:lang w:bidi="ar"/>
                    </w:rPr>
                    <w:t>类别</w:t>
                  </w:r>
                </w:p>
              </w:tc>
              <w:tc>
                <w:tcPr>
                  <w:tcW w:w="1775" w:type="dxa"/>
                  <w:tcBorders>
                    <w:top w:val="single" w:color="auto" w:sz="4" w:space="0"/>
                    <w:left w:val="nil"/>
                    <w:bottom w:val="single" w:color="auto" w:sz="4" w:space="0"/>
                    <w:right w:val="single" w:color="auto" w:sz="4" w:space="0"/>
                  </w:tcBorders>
                  <w:vAlign w:val="center"/>
                </w:tcPr>
                <w:p>
                  <w:pPr>
                    <w:adjustRightInd w:val="0"/>
                    <w:snapToGrid w:val="0"/>
                    <w:jc w:val="center"/>
                    <w:rPr>
                      <w:b/>
                      <w:color w:val="000000"/>
                      <w:sz w:val="21"/>
                      <w:szCs w:val="21"/>
                    </w:rPr>
                  </w:pPr>
                  <w:r>
                    <w:rPr>
                      <w:b/>
                      <w:color w:val="000000"/>
                      <w:sz w:val="21"/>
                      <w:szCs w:val="21"/>
                      <w:lang w:bidi="ar"/>
                    </w:rPr>
                    <w:t>产污环节</w:t>
                  </w:r>
                </w:p>
              </w:tc>
              <w:tc>
                <w:tcPr>
                  <w:tcW w:w="1498" w:type="dxa"/>
                  <w:tcBorders>
                    <w:top w:val="single" w:color="auto" w:sz="4" w:space="0"/>
                    <w:left w:val="nil"/>
                    <w:bottom w:val="single" w:color="auto" w:sz="4" w:space="0"/>
                    <w:right w:val="single" w:color="auto" w:sz="4" w:space="0"/>
                  </w:tcBorders>
                  <w:vAlign w:val="center"/>
                </w:tcPr>
                <w:p>
                  <w:pPr>
                    <w:adjustRightInd w:val="0"/>
                    <w:snapToGrid w:val="0"/>
                    <w:jc w:val="center"/>
                    <w:rPr>
                      <w:b/>
                      <w:color w:val="000000"/>
                      <w:sz w:val="21"/>
                      <w:szCs w:val="21"/>
                    </w:rPr>
                  </w:pPr>
                  <w:r>
                    <w:rPr>
                      <w:b/>
                      <w:color w:val="000000"/>
                      <w:sz w:val="21"/>
                      <w:szCs w:val="21"/>
                      <w:lang w:bidi="ar"/>
                    </w:rPr>
                    <w:t>污染物</w:t>
                  </w:r>
                </w:p>
              </w:tc>
              <w:tc>
                <w:tcPr>
                  <w:tcW w:w="1854" w:type="dxa"/>
                  <w:tcBorders>
                    <w:top w:val="single" w:color="auto" w:sz="4" w:space="0"/>
                    <w:left w:val="nil"/>
                    <w:bottom w:val="single" w:color="auto" w:sz="4" w:space="0"/>
                    <w:right w:val="single" w:color="auto" w:sz="4" w:space="0"/>
                  </w:tcBorders>
                  <w:vAlign w:val="center"/>
                </w:tcPr>
                <w:p>
                  <w:pPr>
                    <w:adjustRightInd w:val="0"/>
                    <w:snapToGrid w:val="0"/>
                    <w:jc w:val="center"/>
                    <w:rPr>
                      <w:b/>
                      <w:color w:val="000000"/>
                      <w:sz w:val="21"/>
                      <w:szCs w:val="21"/>
                      <w:lang w:bidi="ar"/>
                    </w:rPr>
                  </w:pPr>
                  <w:r>
                    <w:rPr>
                      <w:b/>
                      <w:color w:val="000000"/>
                      <w:sz w:val="21"/>
                      <w:szCs w:val="21"/>
                      <w:lang w:bidi="ar"/>
                    </w:rPr>
                    <w:t>处理措施</w:t>
                  </w:r>
                </w:p>
              </w:tc>
              <w:tc>
                <w:tcPr>
                  <w:tcW w:w="1854" w:type="dxa"/>
                  <w:tcBorders>
                    <w:top w:val="single" w:color="auto" w:sz="4" w:space="0"/>
                    <w:left w:val="nil"/>
                    <w:bottom w:val="single" w:color="auto" w:sz="4" w:space="0"/>
                    <w:right w:val="single" w:color="auto" w:sz="4" w:space="0"/>
                  </w:tcBorders>
                  <w:vAlign w:val="center"/>
                </w:tcPr>
                <w:p>
                  <w:pPr>
                    <w:adjustRightInd w:val="0"/>
                    <w:snapToGrid w:val="0"/>
                    <w:jc w:val="center"/>
                    <w:rPr>
                      <w:b/>
                      <w:color w:val="000000"/>
                      <w:sz w:val="21"/>
                      <w:szCs w:val="21"/>
                      <w:lang w:bidi="ar"/>
                    </w:rPr>
                  </w:pPr>
                  <w:r>
                    <w:rPr>
                      <w:rFonts w:hint="eastAsia"/>
                      <w:b/>
                      <w:color w:val="000000"/>
                      <w:sz w:val="21"/>
                      <w:szCs w:val="21"/>
                      <w:lang w:bidi="ar"/>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6" w:type="dxa"/>
                  <w:vMerge w:val="restart"/>
                  <w:tcBorders>
                    <w:top w:val="single" w:color="auto" w:sz="4" w:space="0"/>
                    <w:left w:val="single" w:color="auto" w:sz="4" w:space="0"/>
                    <w:right w:val="single" w:color="auto" w:sz="4" w:space="0"/>
                  </w:tcBorders>
                  <w:vAlign w:val="center"/>
                </w:tcPr>
                <w:p>
                  <w:pPr>
                    <w:adjustRightInd w:val="0"/>
                    <w:snapToGrid w:val="0"/>
                    <w:jc w:val="center"/>
                    <w:rPr>
                      <w:color w:val="000000"/>
                      <w:sz w:val="21"/>
                      <w:szCs w:val="21"/>
                      <w:lang w:bidi="ar"/>
                    </w:rPr>
                  </w:pPr>
                  <w:r>
                    <w:rPr>
                      <w:rFonts w:hint="eastAsia"/>
                      <w:color w:val="000000"/>
                      <w:sz w:val="21"/>
                      <w:szCs w:val="21"/>
                      <w:lang w:bidi="ar"/>
                    </w:rPr>
                    <w:t>废气</w:t>
                  </w:r>
                </w:p>
              </w:tc>
              <w:tc>
                <w:tcPr>
                  <w:tcW w:w="1775" w:type="dxa"/>
                  <w:tcBorders>
                    <w:top w:val="single" w:color="auto" w:sz="4" w:space="0"/>
                    <w:left w:val="nil"/>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水泥仓呼吸</w:t>
                  </w:r>
                </w:p>
              </w:tc>
              <w:tc>
                <w:tcPr>
                  <w:tcW w:w="1498" w:type="dxa"/>
                  <w:tcBorders>
                    <w:top w:val="single" w:color="auto" w:sz="4" w:space="0"/>
                    <w:left w:val="nil"/>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粉尘</w:t>
                  </w:r>
                </w:p>
              </w:tc>
              <w:tc>
                <w:tcPr>
                  <w:tcW w:w="1854" w:type="dxa"/>
                  <w:tcBorders>
                    <w:top w:val="single" w:color="auto" w:sz="4" w:space="0"/>
                    <w:left w:val="nil"/>
                    <w:right w:val="single" w:color="auto" w:sz="4" w:space="0"/>
                  </w:tcBorders>
                  <w:vAlign w:val="center"/>
                </w:tcPr>
                <w:p>
                  <w:pPr>
                    <w:adjustRightInd w:val="0"/>
                    <w:snapToGrid w:val="0"/>
                    <w:jc w:val="center"/>
                    <w:rPr>
                      <w:kern w:val="0"/>
                      <w:sz w:val="21"/>
                      <w:szCs w:val="21"/>
                    </w:rPr>
                  </w:pPr>
                  <w:r>
                    <w:rPr>
                      <w:rFonts w:hint="eastAsia"/>
                      <w:kern w:val="0"/>
                      <w:sz w:val="21"/>
                      <w:szCs w:val="21"/>
                    </w:rPr>
                    <w:t>设备自带布袋除尘器</w:t>
                  </w:r>
                </w:p>
              </w:tc>
              <w:tc>
                <w:tcPr>
                  <w:tcW w:w="1854" w:type="dxa"/>
                  <w:tcBorders>
                    <w:top w:val="single" w:color="auto" w:sz="4" w:space="0"/>
                    <w:left w:val="nil"/>
                    <w:right w:val="single" w:color="auto" w:sz="4" w:space="0"/>
                  </w:tcBorders>
                  <w:vAlign w:val="center"/>
                </w:tcPr>
                <w:p>
                  <w:pPr>
                    <w:adjustRightInd w:val="0"/>
                    <w:snapToGrid w:val="0"/>
                    <w:jc w:val="center"/>
                    <w:rPr>
                      <w:kern w:val="0"/>
                      <w:sz w:val="21"/>
                      <w:szCs w:val="21"/>
                    </w:rPr>
                  </w:pPr>
                  <w:r>
                    <w:rPr>
                      <w:rFonts w:hint="eastAsia"/>
                      <w:kern w:val="0"/>
                      <w:sz w:val="21"/>
                      <w:szCs w:val="21"/>
                    </w:rPr>
                    <w:t>密闭车间内无组织排放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6" w:type="dxa"/>
                  <w:vMerge w:val="continue"/>
                  <w:tcBorders>
                    <w:left w:val="single" w:color="auto" w:sz="4" w:space="0"/>
                    <w:right w:val="single" w:color="auto" w:sz="4" w:space="0"/>
                  </w:tcBorders>
                  <w:vAlign w:val="center"/>
                </w:tcPr>
                <w:p>
                  <w:pPr>
                    <w:adjustRightInd w:val="0"/>
                    <w:snapToGrid w:val="0"/>
                    <w:jc w:val="center"/>
                    <w:rPr>
                      <w:color w:val="000000"/>
                      <w:sz w:val="21"/>
                      <w:szCs w:val="21"/>
                      <w:lang w:bidi="ar"/>
                    </w:rPr>
                  </w:pPr>
                </w:p>
              </w:tc>
              <w:tc>
                <w:tcPr>
                  <w:tcW w:w="1775" w:type="dxa"/>
                  <w:tcBorders>
                    <w:top w:val="single" w:color="auto" w:sz="4" w:space="0"/>
                    <w:left w:val="nil"/>
                    <w:bottom w:val="single" w:color="auto" w:sz="4" w:space="0"/>
                    <w:right w:val="single" w:color="auto" w:sz="4" w:space="0"/>
                  </w:tcBorders>
                  <w:vAlign w:val="center"/>
                </w:tcPr>
                <w:p>
                  <w:pPr>
                    <w:adjustRightInd w:val="0"/>
                    <w:snapToGrid w:val="0"/>
                    <w:jc w:val="center"/>
                    <w:rPr>
                      <w:sz w:val="21"/>
                      <w:szCs w:val="21"/>
                    </w:rPr>
                  </w:pPr>
                  <w:r>
                    <w:rPr>
                      <w:rFonts w:hint="eastAsia"/>
                      <w:sz w:val="21"/>
                      <w:szCs w:val="21"/>
                    </w:rPr>
                    <w:t>物料混合搅拌</w:t>
                  </w:r>
                </w:p>
              </w:tc>
              <w:tc>
                <w:tcPr>
                  <w:tcW w:w="1498" w:type="dxa"/>
                  <w:tcBorders>
                    <w:top w:val="single" w:color="auto" w:sz="4" w:space="0"/>
                    <w:left w:val="nil"/>
                    <w:bottom w:val="single" w:color="auto" w:sz="4" w:space="0"/>
                    <w:right w:val="single" w:color="auto" w:sz="4" w:space="0"/>
                  </w:tcBorders>
                  <w:vAlign w:val="center"/>
                </w:tcPr>
                <w:p>
                  <w:pPr>
                    <w:adjustRightInd w:val="0"/>
                    <w:snapToGrid w:val="0"/>
                    <w:jc w:val="center"/>
                    <w:rPr>
                      <w:sz w:val="21"/>
                      <w:szCs w:val="21"/>
                      <w:lang w:bidi="ar"/>
                    </w:rPr>
                  </w:pPr>
                  <w:r>
                    <w:rPr>
                      <w:rFonts w:hint="eastAsia"/>
                      <w:sz w:val="21"/>
                      <w:szCs w:val="21"/>
                    </w:rPr>
                    <w:t>粉尘</w:t>
                  </w:r>
                </w:p>
              </w:tc>
              <w:tc>
                <w:tcPr>
                  <w:tcW w:w="1854" w:type="dxa"/>
                  <w:tcBorders>
                    <w:top w:val="single" w:color="auto" w:sz="4" w:space="0"/>
                    <w:left w:val="nil"/>
                    <w:right w:val="single" w:color="auto" w:sz="4" w:space="0"/>
                  </w:tcBorders>
                  <w:vAlign w:val="center"/>
                </w:tcPr>
                <w:p>
                  <w:pPr>
                    <w:adjustRightInd w:val="0"/>
                    <w:snapToGrid w:val="0"/>
                    <w:jc w:val="center"/>
                    <w:rPr>
                      <w:kern w:val="0"/>
                      <w:sz w:val="21"/>
                      <w:szCs w:val="21"/>
                    </w:rPr>
                  </w:pPr>
                  <w:r>
                    <w:rPr>
                      <w:rFonts w:hint="eastAsia"/>
                      <w:kern w:val="0"/>
                      <w:sz w:val="21"/>
                      <w:szCs w:val="21"/>
                    </w:rPr>
                    <w:t>设备自带布袋除尘器</w:t>
                  </w:r>
                </w:p>
              </w:tc>
              <w:tc>
                <w:tcPr>
                  <w:tcW w:w="1854" w:type="dxa"/>
                  <w:tcBorders>
                    <w:top w:val="single" w:color="auto" w:sz="4" w:space="0"/>
                    <w:left w:val="nil"/>
                    <w:right w:val="single" w:color="auto" w:sz="4" w:space="0"/>
                  </w:tcBorders>
                  <w:vAlign w:val="center"/>
                </w:tcPr>
                <w:p>
                  <w:pPr>
                    <w:adjustRightInd w:val="0"/>
                    <w:snapToGrid w:val="0"/>
                    <w:jc w:val="center"/>
                    <w:rPr>
                      <w:kern w:val="0"/>
                      <w:sz w:val="21"/>
                      <w:szCs w:val="21"/>
                    </w:rPr>
                  </w:pPr>
                  <w:r>
                    <w:rPr>
                      <w:rFonts w:hint="eastAsia"/>
                      <w:kern w:val="0"/>
                      <w:sz w:val="21"/>
                      <w:szCs w:val="21"/>
                    </w:rPr>
                    <w:t>密闭车间内无组织排放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436" w:type="dxa"/>
                  <w:vMerge w:val="restart"/>
                  <w:tcBorders>
                    <w:left w:val="single" w:color="auto" w:sz="4" w:space="0"/>
                    <w:right w:val="single" w:color="auto" w:sz="4" w:space="0"/>
                  </w:tcBorders>
                  <w:vAlign w:val="center"/>
                </w:tcPr>
                <w:p>
                  <w:pPr>
                    <w:adjustRightInd w:val="0"/>
                    <w:snapToGrid w:val="0"/>
                    <w:jc w:val="center"/>
                    <w:rPr>
                      <w:color w:val="000000"/>
                      <w:sz w:val="21"/>
                      <w:szCs w:val="21"/>
                      <w:lang w:bidi="ar"/>
                    </w:rPr>
                  </w:pPr>
                  <w:r>
                    <w:rPr>
                      <w:rFonts w:hint="eastAsia"/>
                      <w:color w:val="000000"/>
                      <w:sz w:val="21"/>
                      <w:szCs w:val="21"/>
                      <w:lang w:bidi="ar"/>
                    </w:rPr>
                    <w:t>废水</w:t>
                  </w:r>
                </w:p>
              </w:tc>
              <w:tc>
                <w:tcPr>
                  <w:tcW w:w="1775" w:type="dxa"/>
                  <w:tcBorders>
                    <w:top w:val="single" w:color="auto" w:sz="4" w:space="0"/>
                    <w:left w:val="nil"/>
                    <w:bottom w:val="single" w:color="auto" w:sz="4" w:space="0"/>
                    <w:right w:val="single" w:color="auto" w:sz="4" w:space="0"/>
                  </w:tcBorders>
                  <w:vAlign w:val="center"/>
                </w:tcPr>
                <w:p>
                  <w:pPr>
                    <w:adjustRightInd w:val="0"/>
                    <w:snapToGrid w:val="0"/>
                    <w:jc w:val="center"/>
                    <w:rPr>
                      <w:sz w:val="21"/>
                      <w:szCs w:val="21"/>
                      <w:lang w:bidi="ar"/>
                    </w:rPr>
                  </w:pPr>
                  <w:r>
                    <w:rPr>
                      <w:rFonts w:hint="eastAsia"/>
                      <w:sz w:val="21"/>
                      <w:szCs w:val="21"/>
                      <w:lang w:bidi="ar"/>
                    </w:rPr>
                    <w:t>生活污水</w:t>
                  </w:r>
                </w:p>
              </w:tc>
              <w:tc>
                <w:tcPr>
                  <w:tcW w:w="1498" w:type="dxa"/>
                  <w:tcBorders>
                    <w:top w:val="single" w:color="auto" w:sz="4" w:space="0"/>
                    <w:left w:val="nil"/>
                    <w:bottom w:val="single" w:color="auto" w:sz="4" w:space="0"/>
                    <w:right w:val="single" w:color="auto" w:sz="4" w:space="0"/>
                  </w:tcBorders>
                  <w:vAlign w:val="center"/>
                </w:tcPr>
                <w:p>
                  <w:pPr>
                    <w:adjustRightInd w:val="0"/>
                    <w:snapToGrid w:val="0"/>
                    <w:jc w:val="center"/>
                    <w:rPr>
                      <w:sz w:val="21"/>
                      <w:szCs w:val="21"/>
                      <w:lang w:bidi="ar"/>
                    </w:rPr>
                  </w:pPr>
                  <w:r>
                    <w:rPr>
                      <w:sz w:val="21"/>
                      <w:szCs w:val="21"/>
                      <w:lang w:bidi="ar"/>
                    </w:rPr>
                    <w:t>pH、COD、BOD、SS、氨氮</w:t>
                  </w:r>
                  <w:r>
                    <w:rPr>
                      <w:rFonts w:hint="eastAsia"/>
                      <w:sz w:val="21"/>
                      <w:szCs w:val="21"/>
                      <w:lang w:bidi="ar"/>
                    </w:rPr>
                    <w:t>、动植物油</w:t>
                  </w:r>
                </w:p>
              </w:tc>
              <w:tc>
                <w:tcPr>
                  <w:tcW w:w="1854" w:type="dxa"/>
                  <w:tcBorders>
                    <w:top w:val="single" w:color="auto" w:sz="4" w:space="0"/>
                    <w:left w:val="nil"/>
                    <w:right w:val="single" w:color="auto" w:sz="4" w:space="0"/>
                  </w:tcBorders>
                  <w:vAlign w:val="center"/>
                </w:tcPr>
                <w:p>
                  <w:pPr>
                    <w:adjustRightInd w:val="0"/>
                    <w:snapToGrid w:val="0"/>
                    <w:jc w:val="center"/>
                    <w:rPr>
                      <w:sz w:val="21"/>
                      <w:szCs w:val="21"/>
                    </w:rPr>
                  </w:pPr>
                  <w:r>
                    <w:rPr>
                      <w:rFonts w:hint="eastAsia"/>
                      <w:sz w:val="21"/>
                      <w:szCs w:val="21"/>
                    </w:rPr>
                    <w:t>隔油池+化粪池</w:t>
                  </w:r>
                </w:p>
              </w:tc>
              <w:tc>
                <w:tcPr>
                  <w:tcW w:w="1854" w:type="dxa"/>
                  <w:tcBorders>
                    <w:top w:val="single" w:color="auto" w:sz="4" w:space="0"/>
                    <w:left w:val="nil"/>
                    <w:right w:val="single" w:color="auto" w:sz="4" w:space="0"/>
                  </w:tcBorders>
                  <w:vAlign w:val="center"/>
                </w:tcPr>
                <w:p>
                  <w:pPr>
                    <w:adjustRightInd w:val="0"/>
                    <w:snapToGrid w:val="0"/>
                    <w:jc w:val="center"/>
                    <w:rPr>
                      <w:kern w:val="0"/>
                      <w:sz w:val="21"/>
                      <w:szCs w:val="21"/>
                    </w:rPr>
                  </w:pPr>
                  <w:r>
                    <w:rPr>
                      <w:rFonts w:hint="eastAsia"/>
                      <w:kern w:val="0"/>
                      <w:sz w:val="21"/>
                      <w:szCs w:val="21"/>
                    </w:rPr>
                    <w:t>定期清掏不外排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436" w:type="dxa"/>
                  <w:vMerge w:val="continue"/>
                  <w:tcBorders>
                    <w:left w:val="single" w:color="auto" w:sz="4" w:space="0"/>
                    <w:right w:val="single" w:color="auto" w:sz="4" w:space="0"/>
                  </w:tcBorders>
                  <w:vAlign w:val="center"/>
                </w:tcPr>
                <w:p>
                  <w:pPr>
                    <w:adjustRightInd w:val="0"/>
                    <w:snapToGrid w:val="0"/>
                    <w:jc w:val="center"/>
                    <w:rPr>
                      <w:color w:val="000000"/>
                      <w:sz w:val="21"/>
                      <w:szCs w:val="21"/>
                      <w:lang w:bidi="ar"/>
                    </w:rPr>
                  </w:pPr>
                </w:p>
              </w:tc>
              <w:tc>
                <w:tcPr>
                  <w:tcW w:w="1775" w:type="dxa"/>
                  <w:tcBorders>
                    <w:top w:val="single" w:color="auto" w:sz="4" w:space="0"/>
                    <w:left w:val="nil"/>
                    <w:right w:val="single" w:color="auto" w:sz="4" w:space="0"/>
                  </w:tcBorders>
                  <w:vAlign w:val="center"/>
                </w:tcPr>
                <w:p>
                  <w:pPr>
                    <w:adjustRightInd w:val="0"/>
                    <w:snapToGrid w:val="0"/>
                    <w:jc w:val="center"/>
                    <w:rPr>
                      <w:sz w:val="21"/>
                      <w:szCs w:val="21"/>
                    </w:rPr>
                  </w:pPr>
                  <w:r>
                    <w:rPr>
                      <w:rFonts w:hint="eastAsia"/>
                      <w:sz w:val="21"/>
                      <w:szCs w:val="21"/>
                    </w:rPr>
                    <w:t>设备及地面清洗</w:t>
                  </w:r>
                </w:p>
              </w:tc>
              <w:tc>
                <w:tcPr>
                  <w:tcW w:w="1498" w:type="dxa"/>
                  <w:tcBorders>
                    <w:top w:val="single" w:color="auto" w:sz="4" w:space="0"/>
                    <w:left w:val="nil"/>
                    <w:bottom w:val="single" w:color="auto" w:sz="4" w:space="0"/>
                    <w:right w:val="single" w:color="auto" w:sz="4" w:space="0"/>
                  </w:tcBorders>
                  <w:vAlign w:val="center"/>
                </w:tcPr>
                <w:p>
                  <w:pPr>
                    <w:adjustRightInd w:val="0"/>
                    <w:snapToGrid w:val="0"/>
                    <w:jc w:val="center"/>
                    <w:rPr>
                      <w:sz w:val="21"/>
                      <w:szCs w:val="21"/>
                    </w:rPr>
                  </w:pPr>
                  <w:r>
                    <w:rPr>
                      <w:sz w:val="21"/>
                      <w:szCs w:val="21"/>
                      <w:lang w:bidi="ar"/>
                    </w:rPr>
                    <w:t>pH、COD、BOD、SS、氨氮</w:t>
                  </w:r>
                </w:p>
              </w:tc>
              <w:tc>
                <w:tcPr>
                  <w:tcW w:w="1854" w:type="dxa"/>
                  <w:tcBorders>
                    <w:top w:val="single" w:color="auto" w:sz="4" w:space="0"/>
                    <w:left w:val="nil"/>
                    <w:right w:val="single" w:color="auto" w:sz="4" w:space="0"/>
                  </w:tcBorders>
                  <w:vAlign w:val="center"/>
                </w:tcPr>
                <w:p>
                  <w:pPr>
                    <w:adjustRightInd w:val="0"/>
                    <w:snapToGrid w:val="0"/>
                    <w:jc w:val="center"/>
                    <w:rPr>
                      <w:kern w:val="0"/>
                      <w:sz w:val="21"/>
                      <w:szCs w:val="21"/>
                    </w:rPr>
                  </w:pPr>
                  <w:r>
                    <w:rPr>
                      <w:rFonts w:hint="eastAsia"/>
                      <w:kern w:val="0"/>
                      <w:sz w:val="21"/>
                      <w:szCs w:val="21"/>
                    </w:rPr>
                    <w:t>沉淀池</w:t>
                  </w:r>
                </w:p>
              </w:tc>
              <w:tc>
                <w:tcPr>
                  <w:tcW w:w="1854" w:type="dxa"/>
                  <w:tcBorders>
                    <w:top w:val="single" w:color="auto" w:sz="4" w:space="0"/>
                    <w:left w:val="nil"/>
                    <w:right w:val="single" w:color="auto" w:sz="4" w:space="0"/>
                  </w:tcBorders>
                  <w:vAlign w:val="center"/>
                </w:tcPr>
                <w:p>
                  <w:pPr>
                    <w:adjustRightInd w:val="0"/>
                    <w:snapToGrid w:val="0"/>
                    <w:jc w:val="center"/>
                    <w:rPr>
                      <w:kern w:val="0"/>
                      <w:sz w:val="21"/>
                      <w:szCs w:val="21"/>
                    </w:rPr>
                  </w:pPr>
                  <w:r>
                    <w:rPr>
                      <w:rFonts w:hint="eastAsia"/>
                      <w:kern w:val="0"/>
                      <w:sz w:val="21"/>
                      <w:szCs w:val="21"/>
                      <w:lang w:val="en-US" w:eastAsia="zh-CN"/>
                    </w:rPr>
                    <w:t>设备及地面清洗时</w:t>
                  </w:r>
                  <w:r>
                    <w:rPr>
                      <w:rFonts w:hint="eastAsia"/>
                      <w:kern w:val="0"/>
                      <w:sz w:val="21"/>
                      <w:szCs w:val="21"/>
                    </w:rPr>
                    <w:t>回用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36" w:type="dxa"/>
                  <w:tcBorders>
                    <w:left w:val="single" w:color="auto" w:sz="4" w:space="0"/>
                    <w:right w:val="single" w:color="auto" w:sz="4" w:space="0"/>
                  </w:tcBorders>
                  <w:vAlign w:val="center"/>
                </w:tcPr>
                <w:p>
                  <w:pPr>
                    <w:jc w:val="center"/>
                    <w:rPr>
                      <w:sz w:val="21"/>
                      <w:szCs w:val="21"/>
                    </w:rPr>
                  </w:pPr>
                  <w:r>
                    <w:rPr>
                      <w:sz w:val="21"/>
                      <w:szCs w:val="21"/>
                    </w:rPr>
                    <w:t>噪声</w:t>
                  </w:r>
                </w:p>
              </w:tc>
              <w:tc>
                <w:tcPr>
                  <w:tcW w:w="1775" w:type="dxa"/>
                  <w:tcBorders>
                    <w:top w:val="single" w:color="auto" w:sz="4" w:space="0"/>
                    <w:left w:val="nil"/>
                    <w:right w:val="single" w:color="auto" w:sz="4" w:space="0"/>
                  </w:tcBorders>
                  <w:shd w:val="clear" w:color="auto" w:fill="auto"/>
                  <w:vAlign w:val="center"/>
                </w:tcPr>
                <w:p>
                  <w:pPr>
                    <w:jc w:val="center"/>
                    <w:rPr>
                      <w:sz w:val="21"/>
                      <w:szCs w:val="21"/>
                    </w:rPr>
                  </w:pPr>
                  <w:r>
                    <w:rPr>
                      <w:sz w:val="21"/>
                      <w:szCs w:val="21"/>
                    </w:rPr>
                    <w:t>设备运转</w:t>
                  </w:r>
                </w:p>
              </w:tc>
              <w:tc>
                <w:tcPr>
                  <w:tcW w:w="1498" w:type="dxa"/>
                  <w:tcBorders>
                    <w:top w:val="single" w:color="auto" w:sz="4" w:space="0"/>
                    <w:left w:val="nil"/>
                    <w:right w:val="single" w:color="auto" w:sz="4" w:space="0"/>
                  </w:tcBorders>
                  <w:shd w:val="clear" w:color="auto" w:fill="auto"/>
                  <w:vAlign w:val="center"/>
                </w:tcPr>
                <w:p>
                  <w:pPr>
                    <w:jc w:val="center"/>
                    <w:rPr>
                      <w:sz w:val="21"/>
                      <w:szCs w:val="21"/>
                    </w:rPr>
                  </w:pPr>
                  <w:r>
                    <w:rPr>
                      <w:sz w:val="21"/>
                      <w:szCs w:val="21"/>
                    </w:rPr>
                    <w:t>噪声</w:t>
                  </w:r>
                </w:p>
              </w:tc>
              <w:tc>
                <w:tcPr>
                  <w:tcW w:w="1854" w:type="dxa"/>
                  <w:tcBorders>
                    <w:top w:val="single" w:color="auto" w:sz="4" w:space="0"/>
                    <w:left w:val="nil"/>
                    <w:right w:val="single" w:color="auto" w:sz="4" w:space="0"/>
                  </w:tcBorders>
                  <w:shd w:val="clear" w:color="auto" w:fill="auto"/>
                  <w:vAlign w:val="center"/>
                </w:tcPr>
                <w:p>
                  <w:pPr>
                    <w:jc w:val="center"/>
                    <w:rPr>
                      <w:sz w:val="21"/>
                      <w:szCs w:val="21"/>
                    </w:rPr>
                  </w:pPr>
                  <w:r>
                    <w:rPr>
                      <w:sz w:val="21"/>
                      <w:szCs w:val="21"/>
                    </w:rPr>
                    <w:t>选用低噪声设备，并安装减振垫</w:t>
                  </w:r>
                </w:p>
              </w:tc>
              <w:tc>
                <w:tcPr>
                  <w:tcW w:w="1854" w:type="dxa"/>
                  <w:tcBorders>
                    <w:left w:val="nil"/>
                    <w:right w:val="single" w:color="auto" w:sz="4" w:space="0"/>
                  </w:tcBorders>
                  <w:shd w:val="clear" w:color="auto" w:fill="auto"/>
                  <w:vAlign w:val="center"/>
                </w:tcPr>
                <w:p>
                  <w:pPr>
                    <w:jc w:val="center"/>
                    <w:rPr>
                      <w:sz w:val="21"/>
                      <w:szCs w:val="21"/>
                    </w:rPr>
                  </w:pPr>
                  <w:r>
                    <w:rPr>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36" w:type="dxa"/>
                  <w:vMerge w:val="restart"/>
                  <w:tcBorders>
                    <w:left w:val="single" w:color="auto" w:sz="4" w:space="0"/>
                    <w:right w:val="single" w:color="auto" w:sz="4" w:space="0"/>
                  </w:tcBorders>
                  <w:vAlign w:val="center"/>
                </w:tcPr>
                <w:p>
                  <w:pPr>
                    <w:jc w:val="center"/>
                    <w:rPr>
                      <w:sz w:val="21"/>
                      <w:szCs w:val="21"/>
                    </w:rPr>
                  </w:pPr>
                  <w:r>
                    <w:rPr>
                      <w:color w:val="000000"/>
                      <w:sz w:val="21"/>
                      <w:szCs w:val="21"/>
                      <w:lang w:bidi="ar"/>
                    </w:rPr>
                    <w:t>固废</w:t>
                  </w:r>
                </w:p>
              </w:tc>
              <w:tc>
                <w:tcPr>
                  <w:tcW w:w="1775" w:type="dxa"/>
                  <w:tcBorders>
                    <w:top w:val="single" w:color="auto" w:sz="4" w:space="0"/>
                    <w:left w:val="nil"/>
                    <w:right w:val="single" w:color="auto" w:sz="4" w:space="0"/>
                  </w:tcBorders>
                  <w:shd w:val="clear" w:color="auto" w:fill="auto"/>
                  <w:vAlign w:val="center"/>
                </w:tcPr>
                <w:p>
                  <w:pPr>
                    <w:jc w:val="center"/>
                    <w:rPr>
                      <w:rFonts w:hint="default" w:eastAsia="宋体"/>
                      <w:sz w:val="21"/>
                      <w:szCs w:val="21"/>
                      <w:lang w:val="en-US" w:eastAsia="zh-CN"/>
                    </w:rPr>
                  </w:pPr>
                  <w:r>
                    <w:rPr>
                      <w:rFonts w:hint="eastAsia"/>
                      <w:sz w:val="21"/>
                      <w:szCs w:val="21"/>
                      <w:lang w:val="en-US" w:eastAsia="zh-CN"/>
                    </w:rPr>
                    <w:t>拉筋</w:t>
                  </w:r>
                </w:p>
              </w:tc>
              <w:tc>
                <w:tcPr>
                  <w:tcW w:w="1498" w:type="dxa"/>
                  <w:tcBorders>
                    <w:top w:val="single" w:color="auto" w:sz="4" w:space="0"/>
                    <w:left w:val="nil"/>
                    <w:right w:val="single" w:color="auto" w:sz="4" w:space="0"/>
                  </w:tcBorders>
                  <w:shd w:val="clear" w:color="auto" w:fill="auto"/>
                  <w:vAlign w:val="center"/>
                </w:tcPr>
                <w:p>
                  <w:pPr>
                    <w:jc w:val="center"/>
                    <w:rPr>
                      <w:sz w:val="21"/>
                      <w:szCs w:val="21"/>
                    </w:rPr>
                  </w:pPr>
                  <w:r>
                    <w:rPr>
                      <w:rFonts w:hint="eastAsia"/>
                      <w:sz w:val="21"/>
                      <w:szCs w:val="21"/>
                      <w:lang w:val="en-US" w:eastAsia="zh-CN"/>
                    </w:rPr>
                    <w:t>废钢丝条</w:t>
                  </w:r>
                </w:p>
              </w:tc>
              <w:tc>
                <w:tcPr>
                  <w:tcW w:w="1854" w:type="dxa"/>
                  <w:vMerge w:val="restart"/>
                  <w:tcBorders>
                    <w:top w:val="single" w:color="auto" w:sz="4" w:space="0"/>
                    <w:left w:val="nil"/>
                    <w:right w:val="single" w:color="auto" w:sz="4" w:space="0"/>
                  </w:tcBorders>
                  <w:shd w:val="clear" w:color="auto" w:fill="auto"/>
                  <w:vAlign w:val="center"/>
                </w:tcPr>
                <w:p>
                  <w:pPr>
                    <w:jc w:val="center"/>
                    <w:rPr>
                      <w:sz w:val="21"/>
                      <w:szCs w:val="21"/>
                    </w:rPr>
                  </w:pPr>
                  <w:r>
                    <w:rPr>
                      <w:sz w:val="21"/>
                      <w:szCs w:val="21"/>
                      <w:lang w:bidi="ar"/>
                    </w:rPr>
                    <w:t>集中收集后暂存一般固废间</w:t>
                  </w:r>
                </w:p>
              </w:tc>
              <w:tc>
                <w:tcPr>
                  <w:tcW w:w="1854" w:type="dxa"/>
                  <w:vMerge w:val="restart"/>
                  <w:tcBorders>
                    <w:left w:val="nil"/>
                    <w:right w:val="single" w:color="auto" w:sz="4" w:space="0"/>
                  </w:tcBorders>
                  <w:shd w:val="clear" w:color="auto" w:fill="auto"/>
                  <w:vAlign w:val="center"/>
                </w:tcPr>
                <w:p>
                  <w:pPr>
                    <w:jc w:val="center"/>
                    <w:rPr>
                      <w:sz w:val="21"/>
                      <w:szCs w:val="21"/>
                    </w:rPr>
                  </w:pPr>
                  <w:r>
                    <w:rPr>
                      <w:sz w:val="21"/>
                      <w:szCs w:val="21"/>
                      <w:lang w:bidi="ar"/>
                    </w:rPr>
                    <w:t>外售至物资回收站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36" w:type="dxa"/>
                  <w:vMerge w:val="continue"/>
                  <w:tcBorders>
                    <w:left w:val="single" w:color="auto" w:sz="4" w:space="0"/>
                    <w:right w:val="single" w:color="auto" w:sz="4" w:space="0"/>
                  </w:tcBorders>
                  <w:vAlign w:val="center"/>
                </w:tcPr>
                <w:p>
                  <w:pPr>
                    <w:jc w:val="center"/>
                    <w:rPr>
                      <w:sz w:val="21"/>
                      <w:szCs w:val="21"/>
                    </w:rPr>
                  </w:pPr>
                </w:p>
              </w:tc>
              <w:tc>
                <w:tcPr>
                  <w:tcW w:w="1775" w:type="dxa"/>
                  <w:tcBorders>
                    <w:top w:val="single" w:color="auto" w:sz="4" w:space="0"/>
                    <w:left w:val="nil"/>
                    <w:right w:val="single" w:color="auto" w:sz="4" w:space="0"/>
                  </w:tcBorders>
                  <w:shd w:val="clear" w:color="auto" w:fill="auto"/>
                  <w:vAlign w:val="center"/>
                </w:tcPr>
                <w:p>
                  <w:pPr>
                    <w:jc w:val="center"/>
                    <w:rPr>
                      <w:sz w:val="21"/>
                      <w:szCs w:val="21"/>
                    </w:rPr>
                  </w:pPr>
                  <w:r>
                    <w:rPr>
                      <w:rFonts w:hint="eastAsia"/>
                      <w:sz w:val="21"/>
                      <w:szCs w:val="21"/>
                    </w:rPr>
                    <w:t>成品检验</w:t>
                  </w:r>
                </w:p>
              </w:tc>
              <w:tc>
                <w:tcPr>
                  <w:tcW w:w="1498" w:type="dxa"/>
                  <w:tcBorders>
                    <w:top w:val="single" w:color="auto" w:sz="4" w:space="0"/>
                    <w:left w:val="nil"/>
                    <w:right w:val="single" w:color="auto" w:sz="4" w:space="0"/>
                  </w:tcBorders>
                  <w:shd w:val="clear" w:color="auto" w:fill="auto"/>
                  <w:vAlign w:val="center"/>
                </w:tcPr>
                <w:p>
                  <w:pPr>
                    <w:jc w:val="center"/>
                    <w:rPr>
                      <w:sz w:val="21"/>
                      <w:szCs w:val="21"/>
                    </w:rPr>
                  </w:pPr>
                  <w:r>
                    <w:rPr>
                      <w:rFonts w:hint="eastAsia"/>
                      <w:sz w:val="21"/>
                      <w:szCs w:val="21"/>
                    </w:rPr>
                    <w:t>不合格品</w:t>
                  </w:r>
                </w:p>
              </w:tc>
              <w:tc>
                <w:tcPr>
                  <w:tcW w:w="1854" w:type="dxa"/>
                  <w:vMerge w:val="continue"/>
                  <w:tcBorders>
                    <w:left w:val="nil"/>
                    <w:right w:val="single" w:color="auto" w:sz="4" w:space="0"/>
                  </w:tcBorders>
                  <w:shd w:val="clear" w:color="auto" w:fill="auto"/>
                  <w:vAlign w:val="center"/>
                </w:tcPr>
                <w:p>
                  <w:pPr>
                    <w:jc w:val="center"/>
                    <w:rPr>
                      <w:sz w:val="21"/>
                      <w:szCs w:val="21"/>
                    </w:rPr>
                  </w:pPr>
                </w:p>
              </w:tc>
              <w:tc>
                <w:tcPr>
                  <w:tcW w:w="1854" w:type="dxa"/>
                  <w:vMerge w:val="continue"/>
                  <w:tcBorders>
                    <w:left w:val="nil"/>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36" w:type="dxa"/>
                  <w:vMerge w:val="continue"/>
                  <w:tcBorders>
                    <w:left w:val="single" w:color="auto" w:sz="4" w:space="0"/>
                    <w:right w:val="single" w:color="auto" w:sz="4" w:space="0"/>
                  </w:tcBorders>
                  <w:vAlign w:val="center"/>
                </w:tcPr>
                <w:p>
                  <w:pPr>
                    <w:jc w:val="center"/>
                    <w:rPr>
                      <w:sz w:val="21"/>
                      <w:szCs w:val="21"/>
                    </w:rPr>
                  </w:pPr>
                </w:p>
              </w:tc>
              <w:tc>
                <w:tcPr>
                  <w:tcW w:w="1775" w:type="dxa"/>
                  <w:tcBorders>
                    <w:top w:val="single" w:color="auto" w:sz="4" w:space="0"/>
                    <w:left w:val="nil"/>
                    <w:right w:val="single" w:color="auto" w:sz="4" w:space="0"/>
                  </w:tcBorders>
                  <w:shd w:val="clear" w:color="auto" w:fill="auto"/>
                  <w:vAlign w:val="center"/>
                </w:tcPr>
                <w:p>
                  <w:pPr>
                    <w:jc w:val="center"/>
                    <w:rPr>
                      <w:sz w:val="21"/>
                      <w:szCs w:val="21"/>
                    </w:rPr>
                  </w:pPr>
                  <w:r>
                    <w:rPr>
                      <w:rFonts w:hint="eastAsia"/>
                      <w:sz w:val="21"/>
                      <w:szCs w:val="21"/>
                    </w:rPr>
                    <w:t>切割</w:t>
                  </w:r>
                </w:p>
              </w:tc>
              <w:tc>
                <w:tcPr>
                  <w:tcW w:w="1498" w:type="dxa"/>
                  <w:tcBorders>
                    <w:top w:val="single" w:color="auto" w:sz="4" w:space="0"/>
                    <w:left w:val="nil"/>
                    <w:right w:val="single" w:color="auto" w:sz="4" w:space="0"/>
                  </w:tcBorders>
                  <w:shd w:val="clear" w:color="auto" w:fill="auto"/>
                  <w:vAlign w:val="center"/>
                </w:tcPr>
                <w:p>
                  <w:pPr>
                    <w:jc w:val="center"/>
                    <w:rPr>
                      <w:sz w:val="21"/>
                      <w:szCs w:val="21"/>
                    </w:rPr>
                  </w:pPr>
                  <w:r>
                    <w:rPr>
                      <w:rFonts w:hint="eastAsia"/>
                      <w:sz w:val="21"/>
                      <w:szCs w:val="21"/>
                    </w:rPr>
                    <w:t>废边角料</w:t>
                  </w:r>
                </w:p>
              </w:tc>
              <w:tc>
                <w:tcPr>
                  <w:tcW w:w="1854" w:type="dxa"/>
                  <w:vMerge w:val="continue"/>
                  <w:tcBorders>
                    <w:left w:val="nil"/>
                    <w:right w:val="single" w:color="auto" w:sz="4" w:space="0"/>
                  </w:tcBorders>
                  <w:shd w:val="clear" w:color="auto" w:fill="auto"/>
                  <w:vAlign w:val="center"/>
                </w:tcPr>
                <w:p>
                  <w:pPr>
                    <w:jc w:val="center"/>
                    <w:rPr>
                      <w:sz w:val="21"/>
                      <w:szCs w:val="21"/>
                    </w:rPr>
                  </w:pPr>
                </w:p>
              </w:tc>
              <w:tc>
                <w:tcPr>
                  <w:tcW w:w="1854" w:type="dxa"/>
                  <w:vMerge w:val="restart"/>
                  <w:tcBorders>
                    <w:left w:val="nil"/>
                    <w:right w:val="single" w:color="auto" w:sz="4" w:space="0"/>
                  </w:tcBorders>
                  <w:shd w:val="clear" w:color="auto" w:fill="auto"/>
                  <w:vAlign w:val="center"/>
                </w:tcPr>
                <w:p>
                  <w:pPr>
                    <w:jc w:val="center"/>
                    <w:rPr>
                      <w:sz w:val="21"/>
                      <w:szCs w:val="21"/>
                    </w:rPr>
                  </w:pPr>
                  <w:r>
                    <w:rPr>
                      <w:rFonts w:hint="eastAsia"/>
                      <w:sz w:val="21"/>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36" w:type="dxa"/>
                  <w:vMerge w:val="continue"/>
                  <w:tcBorders>
                    <w:left w:val="single" w:color="auto" w:sz="4" w:space="0"/>
                    <w:right w:val="single" w:color="auto" w:sz="4" w:space="0"/>
                  </w:tcBorders>
                  <w:vAlign w:val="center"/>
                </w:tcPr>
                <w:p>
                  <w:pPr>
                    <w:jc w:val="center"/>
                    <w:rPr>
                      <w:sz w:val="21"/>
                      <w:szCs w:val="21"/>
                    </w:rPr>
                  </w:pPr>
                </w:p>
              </w:tc>
              <w:tc>
                <w:tcPr>
                  <w:tcW w:w="1775" w:type="dxa"/>
                  <w:tcBorders>
                    <w:top w:val="single" w:color="auto" w:sz="4" w:space="0"/>
                    <w:left w:val="nil"/>
                    <w:right w:val="single" w:color="auto" w:sz="4" w:space="0"/>
                  </w:tcBorders>
                  <w:shd w:val="clear" w:color="auto" w:fill="auto"/>
                  <w:vAlign w:val="center"/>
                </w:tcPr>
                <w:p>
                  <w:pPr>
                    <w:jc w:val="center"/>
                    <w:rPr>
                      <w:sz w:val="21"/>
                      <w:szCs w:val="21"/>
                    </w:rPr>
                  </w:pPr>
                  <w:r>
                    <w:rPr>
                      <w:rFonts w:hint="eastAsia"/>
                      <w:sz w:val="21"/>
                      <w:szCs w:val="21"/>
                    </w:rPr>
                    <w:t>废水处理</w:t>
                  </w:r>
                </w:p>
              </w:tc>
              <w:tc>
                <w:tcPr>
                  <w:tcW w:w="1498" w:type="dxa"/>
                  <w:tcBorders>
                    <w:top w:val="single" w:color="auto" w:sz="4" w:space="0"/>
                    <w:left w:val="nil"/>
                    <w:right w:val="single" w:color="auto" w:sz="4" w:space="0"/>
                  </w:tcBorders>
                  <w:shd w:val="clear" w:color="auto" w:fill="auto"/>
                  <w:vAlign w:val="center"/>
                </w:tcPr>
                <w:p>
                  <w:pPr>
                    <w:jc w:val="center"/>
                    <w:rPr>
                      <w:sz w:val="21"/>
                      <w:szCs w:val="21"/>
                    </w:rPr>
                  </w:pPr>
                  <w:r>
                    <w:rPr>
                      <w:rFonts w:hint="eastAsia"/>
                      <w:sz w:val="21"/>
                      <w:szCs w:val="21"/>
                    </w:rPr>
                    <w:t>沉淀池底泥</w:t>
                  </w:r>
                </w:p>
              </w:tc>
              <w:tc>
                <w:tcPr>
                  <w:tcW w:w="1854" w:type="dxa"/>
                  <w:vMerge w:val="continue"/>
                  <w:tcBorders>
                    <w:left w:val="nil"/>
                    <w:right w:val="single" w:color="auto" w:sz="4" w:space="0"/>
                  </w:tcBorders>
                  <w:shd w:val="clear" w:color="auto" w:fill="auto"/>
                  <w:vAlign w:val="center"/>
                </w:tcPr>
                <w:p>
                  <w:pPr>
                    <w:jc w:val="center"/>
                    <w:rPr>
                      <w:sz w:val="21"/>
                      <w:szCs w:val="21"/>
                      <w:lang w:bidi="ar"/>
                    </w:rPr>
                  </w:pPr>
                </w:p>
              </w:tc>
              <w:tc>
                <w:tcPr>
                  <w:tcW w:w="1854" w:type="dxa"/>
                  <w:vMerge w:val="continue"/>
                  <w:tcBorders>
                    <w:left w:val="nil"/>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36" w:type="dxa"/>
                  <w:vMerge w:val="continue"/>
                  <w:tcBorders>
                    <w:left w:val="single" w:color="auto" w:sz="4" w:space="0"/>
                    <w:right w:val="single" w:color="auto" w:sz="4" w:space="0"/>
                  </w:tcBorders>
                  <w:vAlign w:val="center"/>
                </w:tcPr>
                <w:p>
                  <w:pPr>
                    <w:jc w:val="center"/>
                    <w:rPr>
                      <w:sz w:val="21"/>
                      <w:szCs w:val="21"/>
                    </w:rPr>
                  </w:pPr>
                </w:p>
              </w:tc>
              <w:tc>
                <w:tcPr>
                  <w:tcW w:w="1775"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废气处理</w:t>
                  </w:r>
                </w:p>
              </w:tc>
              <w:tc>
                <w:tcPr>
                  <w:tcW w:w="1498" w:type="dxa"/>
                  <w:tcBorders>
                    <w:top w:val="single" w:color="auto" w:sz="4" w:space="0"/>
                    <w:left w:val="nil"/>
                    <w:bottom w:val="single" w:color="auto" w:sz="4" w:space="0"/>
                    <w:right w:val="single" w:color="auto" w:sz="4" w:space="0"/>
                  </w:tcBorders>
                  <w:shd w:val="clear" w:color="auto" w:fill="auto"/>
                  <w:vAlign w:val="center"/>
                </w:tcPr>
                <w:p>
                  <w:pPr>
                    <w:jc w:val="center"/>
                    <w:rPr>
                      <w:sz w:val="21"/>
                      <w:szCs w:val="21"/>
                    </w:rPr>
                  </w:pPr>
                  <w:r>
                    <w:rPr>
                      <w:rFonts w:hint="eastAsia"/>
                      <w:sz w:val="21"/>
                      <w:szCs w:val="21"/>
                    </w:rPr>
                    <w:t>收集的粉尘</w:t>
                  </w:r>
                </w:p>
              </w:tc>
              <w:tc>
                <w:tcPr>
                  <w:tcW w:w="1854" w:type="dxa"/>
                  <w:vMerge w:val="continue"/>
                  <w:tcBorders>
                    <w:left w:val="nil"/>
                    <w:right w:val="single" w:color="auto" w:sz="4" w:space="0"/>
                  </w:tcBorders>
                  <w:shd w:val="clear" w:color="auto" w:fill="auto"/>
                  <w:vAlign w:val="center"/>
                </w:tcPr>
                <w:p>
                  <w:pPr>
                    <w:jc w:val="center"/>
                    <w:rPr>
                      <w:sz w:val="21"/>
                      <w:szCs w:val="21"/>
                      <w:lang w:bidi="ar"/>
                    </w:rPr>
                  </w:pPr>
                </w:p>
              </w:tc>
              <w:tc>
                <w:tcPr>
                  <w:tcW w:w="1854" w:type="dxa"/>
                  <w:vMerge w:val="continue"/>
                  <w:tcBorders>
                    <w:left w:val="nil"/>
                    <w:right w:val="single" w:color="auto" w:sz="4" w:space="0"/>
                  </w:tcBorders>
                  <w:shd w:val="clear" w:color="auto" w:fill="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436" w:type="dxa"/>
                  <w:tcBorders>
                    <w:left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lang w:val="en-US" w:eastAsia="zh-CN"/>
                    </w:rPr>
                    <w:t>危废</w:t>
                  </w:r>
                </w:p>
              </w:tc>
              <w:tc>
                <w:tcPr>
                  <w:tcW w:w="1775" w:type="dxa"/>
                  <w:tcBorders>
                    <w:top w:val="single" w:color="auto" w:sz="4" w:space="0"/>
                    <w:left w:val="nil"/>
                    <w:right w:val="single" w:color="auto" w:sz="4" w:space="0"/>
                  </w:tcBorders>
                  <w:shd w:val="clear" w:color="auto" w:fill="auto"/>
                  <w:vAlign w:val="center"/>
                </w:tcPr>
                <w:p>
                  <w:pPr>
                    <w:jc w:val="center"/>
                    <w:rPr>
                      <w:rFonts w:hint="default" w:eastAsia="宋体"/>
                      <w:sz w:val="21"/>
                      <w:szCs w:val="21"/>
                      <w:lang w:val="en-US" w:eastAsia="zh-CN"/>
                    </w:rPr>
                  </w:pPr>
                  <w:r>
                    <w:rPr>
                      <w:rFonts w:hint="eastAsia"/>
                      <w:sz w:val="21"/>
                      <w:szCs w:val="21"/>
                      <w:lang w:val="en-US" w:eastAsia="zh-CN"/>
                    </w:rPr>
                    <w:t>设备维护</w:t>
                  </w:r>
                </w:p>
              </w:tc>
              <w:tc>
                <w:tcPr>
                  <w:tcW w:w="1498" w:type="dxa"/>
                  <w:tcBorders>
                    <w:top w:val="single" w:color="auto" w:sz="4" w:space="0"/>
                    <w:left w:val="nil"/>
                    <w:right w:val="single" w:color="auto" w:sz="4" w:space="0"/>
                  </w:tcBorders>
                  <w:shd w:val="clear" w:color="auto" w:fill="auto"/>
                  <w:vAlign w:val="center"/>
                </w:tcPr>
                <w:p>
                  <w:pPr>
                    <w:jc w:val="center"/>
                    <w:rPr>
                      <w:rFonts w:hint="default" w:eastAsia="宋体"/>
                      <w:sz w:val="21"/>
                      <w:szCs w:val="21"/>
                      <w:lang w:val="en-US" w:eastAsia="zh-CN"/>
                    </w:rPr>
                  </w:pPr>
                  <w:r>
                    <w:rPr>
                      <w:rFonts w:hint="eastAsia"/>
                      <w:sz w:val="21"/>
                      <w:szCs w:val="21"/>
                      <w:lang w:val="en-US" w:eastAsia="zh-CN"/>
                    </w:rPr>
                    <w:t>废机油、废机油桶</w:t>
                  </w:r>
                </w:p>
              </w:tc>
              <w:tc>
                <w:tcPr>
                  <w:tcW w:w="1854" w:type="dxa"/>
                  <w:tcBorders>
                    <w:left w:val="nil"/>
                    <w:right w:val="single" w:color="auto" w:sz="4" w:space="0"/>
                  </w:tcBorders>
                  <w:shd w:val="clear" w:color="auto" w:fill="auto"/>
                  <w:vAlign w:val="center"/>
                </w:tcPr>
                <w:p>
                  <w:pPr>
                    <w:jc w:val="center"/>
                    <w:rPr>
                      <w:rFonts w:hint="default" w:eastAsia="宋体"/>
                      <w:sz w:val="21"/>
                      <w:szCs w:val="21"/>
                      <w:lang w:val="en-US" w:eastAsia="zh-CN" w:bidi="ar"/>
                    </w:rPr>
                  </w:pPr>
                  <w:r>
                    <w:rPr>
                      <w:rFonts w:hint="eastAsia"/>
                      <w:sz w:val="21"/>
                      <w:szCs w:val="21"/>
                      <w:lang w:val="en-US" w:eastAsia="zh-CN" w:bidi="ar"/>
                    </w:rPr>
                    <w:t>暂存于危废间</w:t>
                  </w:r>
                </w:p>
              </w:tc>
              <w:tc>
                <w:tcPr>
                  <w:tcW w:w="1854" w:type="dxa"/>
                  <w:tcBorders>
                    <w:left w:val="nil"/>
                    <w:right w:val="single" w:color="auto" w:sz="4" w:space="0"/>
                  </w:tcBorders>
                  <w:shd w:val="clear" w:color="auto" w:fill="auto"/>
                  <w:vAlign w:val="center"/>
                </w:tcPr>
                <w:p>
                  <w:pPr>
                    <w:jc w:val="center"/>
                    <w:rPr>
                      <w:rFonts w:hint="default" w:eastAsia="宋体"/>
                      <w:sz w:val="21"/>
                      <w:szCs w:val="21"/>
                      <w:lang w:val="en-US" w:eastAsia="zh-CN"/>
                    </w:rPr>
                  </w:pPr>
                  <w:r>
                    <w:rPr>
                      <w:rFonts w:hint="eastAsia"/>
                      <w:sz w:val="21"/>
                      <w:szCs w:val="21"/>
                      <w:lang w:val="en-US" w:eastAsia="zh-CN"/>
                    </w:rPr>
                    <w:t>委托有资质单位处理</w:t>
                  </w:r>
                </w:p>
              </w:tc>
            </w:tr>
          </w:tbl>
          <w:p>
            <w:pPr>
              <w:pStyle w:val="8"/>
              <w:spacing w:line="360" w:lineRule="auto"/>
              <w:ind w:firstLine="0" w:firstLineChars="0"/>
              <w:jc w:val="left"/>
              <w:rPr>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823" w:type="dxa"/>
            <w:vAlign w:val="center"/>
          </w:tcPr>
          <w:p>
            <w:pPr>
              <w:pStyle w:val="20"/>
              <w:adjustRightInd w:val="0"/>
              <w:snapToGrid w:val="0"/>
              <w:spacing w:before="0" w:beforeAutospacing="0" w:after="0" w:afterAutospacing="0"/>
              <w:jc w:val="center"/>
              <w:rPr>
                <w:rFonts w:ascii="Times New Roman" w:hAnsi="Times New Roman"/>
                <w:sz w:val="21"/>
                <w:szCs w:val="21"/>
              </w:rPr>
            </w:pPr>
            <w:r>
              <w:rPr>
                <w:rFonts w:ascii="Times New Roman" w:hAnsi="Times New Roman"/>
                <w:bCs/>
                <w:kern w:val="2"/>
                <w:szCs w:val="24"/>
              </w:rPr>
              <w:t>与项目有关的原有环境污染问题</w:t>
            </w:r>
          </w:p>
        </w:tc>
        <w:tc>
          <w:tcPr>
            <w:tcW w:w="8161" w:type="dxa"/>
          </w:tcPr>
          <w:p>
            <w:pPr>
              <w:pStyle w:val="11"/>
              <w:spacing w:line="360" w:lineRule="auto"/>
              <w:ind w:firstLine="480" w:firstLineChars="200"/>
              <w:rPr>
                <w:sz w:val="24"/>
                <w:szCs w:val="24"/>
                <w:lang w:bidi="ar"/>
              </w:rPr>
            </w:pPr>
          </w:p>
          <w:p>
            <w:pPr>
              <w:pStyle w:val="11"/>
              <w:spacing w:line="360" w:lineRule="auto"/>
              <w:ind w:firstLine="480" w:firstLineChars="200"/>
              <w:rPr>
                <w:sz w:val="24"/>
                <w:szCs w:val="24"/>
                <w:lang w:bidi="ar"/>
              </w:rPr>
            </w:pPr>
          </w:p>
          <w:p>
            <w:pPr>
              <w:pStyle w:val="11"/>
              <w:spacing w:line="360" w:lineRule="auto"/>
              <w:ind w:firstLine="480" w:firstLineChars="200"/>
              <w:rPr>
                <w:bCs/>
                <w:szCs w:val="21"/>
              </w:rPr>
            </w:pPr>
            <w:r>
              <w:rPr>
                <w:sz w:val="24"/>
                <w:szCs w:val="24"/>
                <w:lang w:bidi="ar"/>
              </w:rPr>
              <w:t>本项目属于新建项目，</w:t>
            </w:r>
            <w:r>
              <w:rPr>
                <w:rFonts w:hint="eastAsia"/>
                <w:sz w:val="24"/>
                <w:szCs w:val="24"/>
                <w:lang w:bidi="ar"/>
              </w:rPr>
              <w:t>租赁泗县卓越纺织品有限公司土地及空置厂房</w:t>
            </w:r>
            <w:r>
              <w:rPr>
                <w:sz w:val="24"/>
                <w:szCs w:val="24"/>
                <w:lang w:bidi="ar"/>
              </w:rPr>
              <w:t>，不存在原有污染问题。</w:t>
            </w:r>
          </w:p>
          <w:p>
            <w:pPr>
              <w:pStyle w:val="11"/>
              <w:rPr>
                <w:bCs/>
                <w:szCs w:val="21"/>
              </w:rPr>
            </w:pPr>
          </w:p>
          <w:p>
            <w:pPr>
              <w:pStyle w:val="11"/>
              <w:rPr>
                <w:bCs/>
                <w:szCs w:val="21"/>
              </w:rPr>
            </w:pPr>
          </w:p>
          <w:p>
            <w:pPr>
              <w:adjustRightInd w:val="0"/>
              <w:snapToGrid w:val="0"/>
              <w:rPr>
                <w:bCs/>
                <w:szCs w:val="21"/>
              </w:rPr>
            </w:pPr>
          </w:p>
        </w:tc>
      </w:tr>
    </w:tbl>
    <w:p>
      <w:pPr>
        <w:pStyle w:val="20"/>
        <w:jc w:val="both"/>
        <w:rPr>
          <w:rFonts w:ascii="Times New Roman" w:hAnsi="Times New Roman" w:eastAsia="黑体"/>
          <w:snapToGrid w:val="0"/>
          <w:sz w:val="36"/>
          <w:szCs w:val="36"/>
        </w:rPr>
        <w:sectPr>
          <w:pgSz w:w="11906" w:h="16838"/>
          <w:pgMar w:top="1701" w:right="1531" w:bottom="1701" w:left="1531" w:header="851" w:footer="851" w:gutter="0"/>
          <w:cols w:space="425" w:num="1"/>
          <w:docGrid w:linePitch="312" w:charSpace="0"/>
        </w:sectPr>
      </w:pPr>
    </w:p>
    <w:p>
      <w:pPr>
        <w:pStyle w:val="20"/>
        <w:ind w:firstLine="1200" w:firstLineChars="400"/>
        <w:jc w:val="both"/>
        <w:outlineLvl w:val="0"/>
        <w:rPr>
          <w:rFonts w:ascii="Times New Roman" w:hAnsi="Times New Roman" w:eastAsia="黑体"/>
          <w:snapToGrid w:val="0"/>
          <w:sz w:val="30"/>
          <w:szCs w:val="30"/>
        </w:rPr>
      </w:pPr>
      <w:r>
        <w:rPr>
          <w:rFonts w:ascii="Times New Roman" w:hAnsi="Times New Roman"/>
          <w:snapToGrid w:val="0"/>
          <w:sz w:val="30"/>
          <w:szCs w:val="30"/>
        </w:rPr>
        <w:t>三、区域环境质量现状、环境保护目标及评价标准</w:t>
      </w:r>
    </w:p>
    <w:tbl>
      <w:tblPr>
        <w:tblStyle w:val="24"/>
        <w:tblW w:w="899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2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790" w:type="dxa"/>
            <w:vAlign w:val="center"/>
          </w:tcPr>
          <w:p>
            <w:pPr>
              <w:adjustRightInd w:val="0"/>
              <w:snapToGrid w:val="0"/>
              <w:jc w:val="center"/>
              <w:rPr>
                <w:kern w:val="0"/>
              </w:rPr>
            </w:pPr>
            <w:r>
              <w:rPr>
                <w:kern w:val="0"/>
              </w:rPr>
              <w:t>区域</w:t>
            </w:r>
          </w:p>
          <w:p>
            <w:pPr>
              <w:adjustRightInd w:val="0"/>
              <w:snapToGrid w:val="0"/>
              <w:jc w:val="center"/>
              <w:rPr>
                <w:kern w:val="0"/>
              </w:rPr>
            </w:pPr>
            <w:r>
              <w:rPr>
                <w:kern w:val="0"/>
              </w:rPr>
              <w:t>环境</w:t>
            </w:r>
          </w:p>
          <w:p>
            <w:pPr>
              <w:adjustRightInd w:val="0"/>
              <w:snapToGrid w:val="0"/>
              <w:jc w:val="center"/>
              <w:rPr>
                <w:kern w:val="0"/>
              </w:rPr>
            </w:pPr>
            <w:r>
              <w:rPr>
                <w:kern w:val="0"/>
              </w:rPr>
              <w:t>质量</w:t>
            </w:r>
          </w:p>
          <w:p>
            <w:pPr>
              <w:adjustRightInd w:val="0"/>
              <w:snapToGrid w:val="0"/>
              <w:jc w:val="center"/>
              <w:rPr>
                <w:kern w:val="0"/>
              </w:rPr>
            </w:pPr>
            <w:r>
              <w:rPr>
                <w:kern w:val="0"/>
              </w:rPr>
              <w:t>现状</w:t>
            </w:r>
          </w:p>
        </w:tc>
        <w:tc>
          <w:tcPr>
            <w:tcW w:w="82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default" w:ascii="Times New Roman" w:hAnsi="Times New Roman" w:eastAsia="宋体" w:cs="Times New Roman"/>
                <w:color w:val="auto"/>
              </w:rPr>
            </w:pPr>
            <w:r>
              <w:rPr>
                <w:rFonts w:hint="default" w:ascii="Times New Roman" w:hAnsi="Times New Roman" w:eastAsia="宋体" w:cs="Times New Roman"/>
                <w:color w:val="auto"/>
              </w:rPr>
              <w:t>1、环境空气质量现状</w:t>
            </w:r>
          </w:p>
          <w:p>
            <w:pPr>
              <w:adjustRightInd w:val="0"/>
              <w:snapToGrid w:val="0"/>
              <w:spacing w:line="360" w:lineRule="auto"/>
              <w:ind w:firstLine="480" w:firstLineChars="200"/>
              <w:jc w:val="left"/>
              <w:rPr>
                <w:rFonts w:hint="eastAsia" w:ascii="Times New Roman" w:hAnsi="Times New Roman" w:eastAsia="宋体" w:cs="Times New Roman"/>
                <w:b w:val="0"/>
                <w:bCs w:val="0"/>
                <w:color w:val="auto"/>
                <w:kern w:val="0"/>
                <w:sz w:val="24"/>
              </w:rPr>
            </w:pPr>
            <w:r>
              <w:rPr>
                <w:rFonts w:hint="eastAsia" w:ascii="Times New Roman" w:hAnsi="Times New Roman" w:eastAsia="宋体" w:cs="Times New Roman"/>
                <w:b w:val="0"/>
                <w:bCs w:val="0"/>
                <w:color w:val="auto"/>
                <w:kern w:val="0"/>
                <w:sz w:val="24"/>
              </w:rPr>
              <w:t>根据</w:t>
            </w:r>
            <w:r>
              <w:rPr>
                <w:rFonts w:ascii="宋体" w:hAnsi="宋体" w:eastAsia="宋体" w:cs="宋体"/>
                <w:sz w:val="24"/>
                <w:szCs w:val="24"/>
              </w:rPr>
              <w:t>环境空气质量模型技术支持服务系统</w:t>
            </w:r>
            <w:r>
              <w:rPr>
                <w:rFonts w:hint="eastAsia" w:ascii="宋体" w:hAnsi="宋体" w:eastAsia="宋体" w:cs="宋体"/>
                <w:sz w:val="24"/>
                <w:szCs w:val="24"/>
                <w:lang w:val="en-US" w:eastAsia="zh-CN"/>
              </w:rPr>
              <w:t>中提供数据</w:t>
            </w:r>
            <w:r>
              <w:rPr>
                <w:rFonts w:hint="eastAsia" w:ascii="Times New Roman" w:hAnsi="Times New Roman" w:eastAsia="宋体" w:cs="Times New Roman"/>
                <w:b w:val="0"/>
                <w:bCs w:val="0"/>
                <w:color w:val="auto"/>
                <w:kern w:val="0"/>
                <w:sz w:val="24"/>
              </w:rPr>
              <w:t>，202</w:t>
            </w:r>
            <w:r>
              <w:rPr>
                <w:rFonts w:hint="eastAsia" w:ascii="Times New Roman" w:hAnsi="Times New Roman" w:eastAsia="宋体" w:cs="Times New Roman"/>
                <w:b w:val="0"/>
                <w:bCs w:val="0"/>
                <w:color w:val="auto"/>
                <w:kern w:val="0"/>
                <w:sz w:val="24"/>
                <w:lang w:val="en-US" w:eastAsia="zh-CN"/>
              </w:rPr>
              <w:t>2</w:t>
            </w:r>
            <w:r>
              <w:rPr>
                <w:rFonts w:hint="eastAsia" w:ascii="Times New Roman" w:hAnsi="Times New Roman" w:eastAsia="宋体" w:cs="Times New Roman"/>
                <w:b w:val="0"/>
                <w:bCs w:val="0"/>
                <w:color w:val="auto"/>
                <w:kern w:val="0"/>
                <w:sz w:val="24"/>
              </w:rPr>
              <w:t>年宿州市SO</w:t>
            </w:r>
            <w:r>
              <w:rPr>
                <w:rFonts w:hint="eastAsia" w:ascii="Times New Roman" w:hAnsi="Times New Roman" w:eastAsia="宋体" w:cs="Times New Roman"/>
                <w:b w:val="0"/>
                <w:bCs w:val="0"/>
                <w:color w:val="auto"/>
                <w:kern w:val="0"/>
                <w:sz w:val="24"/>
                <w:vertAlign w:val="subscript"/>
              </w:rPr>
              <w:t>2</w:t>
            </w:r>
            <w:r>
              <w:rPr>
                <w:rFonts w:hint="eastAsia" w:ascii="Times New Roman" w:hAnsi="Times New Roman" w:eastAsia="宋体" w:cs="Times New Roman"/>
                <w:b w:val="0"/>
                <w:bCs w:val="0"/>
                <w:color w:val="auto"/>
                <w:kern w:val="0"/>
                <w:sz w:val="24"/>
              </w:rPr>
              <w:t>、NO</w:t>
            </w:r>
            <w:r>
              <w:rPr>
                <w:rFonts w:hint="eastAsia" w:ascii="Times New Roman" w:hAnsi="Times New Roman" w:eastAsia="宋体" w:cs="Times New Roman"/>
                <w:b w:val="0"/>
                <w:bCs w:val="0"/>
                <w:color w:val="auto"/>
                <w:kern w:val="0"/>
                <w:sz w:val="24"/>
                <w:vertAlign w:val="subscript"/>
              </w:rPr>
              <w:t>2</w:t>
            </w:r>
            <w:r>
              <w:rPr>
                <w:rFonts w:hint="eastAsia" w:ascii="Times New Roman" w:hAnsi="Times New Roman" w:eastAsia="宋体" w:cs="Times New Roman"/>
                <w:b w:val="0"/>
                <w:bCs w:val="0"/>
                <w:color w:val="auto"/>
                <w:kern w:val="0"/>
                <w:sz w:val="24"/>
              </w:rPr>
              <w:t>、PM</w:t>
            </w:r>
            <w:r>
              <w:rPr>
                <w:rFonts w:hint="eastAsia" w:ascii="Times New Roman" w:hAnsi="Times New Roman" w:eastAsia="宋体" w:cs="Times New Roman"/>
                <w:b w:val="0"/>
                <w:bCs w:val="0"/>
                <w:color w:val="auto"/>
                <w:kern w:val="0"/>
                <w:sz w:val="24"/>
                <w:vertAlign w:val="subscript"/>
              </w:rPr>
              <w:t>10</w:t>
            </w:r>
            <w:r>
              <w:rPr>
                <w:rFonts w:hint="eastAsia" w:ascii="Times New Roman" w:hAnsi="Times New Roman" w:eastAsia="宋体" w:cs="Times New Roman"/>
                <w:b w:val="0"/>
                <w:bCs w:val="0"/>
                <w:color w:val="auto"/>
                <w:kern w:val="0"/>
                <w:sz w:val="24"/>
              </w:rPr>
              <w:t>、PM</w:t>
            </w:r>
            <w:r>
              <w:rPr>
                <w:rFonts w:hint="eastAsia" w:ascii="Times New Roman" w:hAnsi="Times New Roman" w:eastAsia="宋体" w:cs="Times New Roman"/>
                <w:b w:val="0"/>
                <w:bCs w:val="0"/>
                <w:color w:val="auto"/>
                <w:kern w:val="0"/>
                <w:sz w:val="24"/>
                <w:vertAlign w:val="subscript"/>
              </w:rPr>
              <w:t>2.5</w:t>
            </w:r>
            <w:r>
              <w:rPr>
                <w:rFonts w:hint="eastAsia" w:ascii="Times New Roman" w:hAnsi="Times New Roman" w:eastAsia="宋体" w:cs="Times New Roman"/>
                <w:b w:val="0"/>
                <w:bCs w:val="0"/>
                <w:color w:val="auto"/>
                <w:kern w:val="0"/>
                <w:sz w:val="24"/>
              </w:rPr>
              <w:t>年均浓度分别为4</w:t>
            </w:r>
            <w:r>
              <w:rPr>
                <w:rFonts w:hint="default" w:ascii="Times New Roman" w:hAnsi="Times New Roman" w:eastAsia="宋体" w:cs="Times New Roman"/>
                <w:b w:val="0"/>
                <w:bCs w:val="0"/>
                <w:color w:val="auto"/>
                <w:kern w:val="0"/>
                <w:sz w:val="24"/>
              </w:rPr>
              <w:t>μg/m</w:t>
            </w:r>
            <w:r>
              <w:rPr>
                <w:rFonts w:hint="default" w:ascii="Times New Roman" w:hAnsi="Times New Roman" w:eastAsia="宋体" w:cs="Times New Roman"/>
                <w:b w:val="0"/>
                <w:bCs w:val="0"/>
                <w:color w:val="auto"/>
                <w:kern w:val="0"/>
                <w:sz w:val="24"/>
                <w:vertAlign w:val="superscript"/>
              </w:rPr>
              <w:t>3</w:t>
            </w:r>
            <w:r>
              <w:rPr>
                <w:rFonts w:hint="eastAsia" w:ascii="Times New Roman" w:hAnsi="Times New Roman" w:eastAsia="宋体" w:cs="Times New Roman"/>
                <w:b w:val="0"/>
                <w:bCs w:val="0"/>
                <w:color w:val="auto"/>
                <w:kern w:val="0"/>
                <w:sz w:val="24"/>
              </w:rPr>
              <w:t>、20</w:t>
            </w:r>
            <w:r>
              <w:rPr>
                <w:rFonts w:hint="default" w:ascii="Times New Roman" w:hAnsi="Times New Roman" w:eastAsia="宋体" w:cs="Times New Roman"/>
                <w:b w:val="0"/>
                <w:bCs w:val="0"/>
                <w:color w:val="auto"/>
                <w:kern w:val="0"/>
                <w:sz w:val="24"/>
              </w:rPr>
              <w:t>μg/m</w:t>
            </w:r>
            <w:r>
              <w:rPr>
                <w:rFonts w:hint="default" w:ascii="Times New Roman" w:hAnsi="Times New Roman" w:eastAsia="宋体" w:cs="Times New Roman"/>
                <w:b w:val="0"/>
                <w:bCs w:val="0"/>
                <w:color w:val="auto"/>
                <w:kern w:val="0"/>
                <w:sz w:val="24"/>
                <w:vertAlign w:val="superscript"/>
              </w:rPr>
              <w:t>3</w:t>
            </w:r>
            <w:r>
              <w:rPr>
                <w:rFonts w:hint="eastAsia" w:ascii="Times New Roman" w:hAnsi="Times New Roman" w:eastAsia="宋体" w:cs="Times New Roman"/>
                <w:b w:val="0"/>
                <w:bCs w:val="0"/>
                <w:color w:val="auto"/>
                <w:kern w:val="0"/>
                <w:sz w:val="24"/>
              </w:rPr>
              <w:t>、70</w:t>
            </w:r>
            <w:r>
              <w:rPr>
                <w:rFonts w:hint="default" w:ascii="Times New Roman" w:hAnsi="Times New Roman" w:eastAsia="宋体" w:cs="Times New Roman"/>
                <w:b w:val="0"/>
                <w:bCs w:val="0"/>
                <w:color w:val="auto"/>
                <w:kern w:val="0"/>
                <w:sz w:val="24"/>
              </w:rPr>
              <w:t>μg/m</w:t>
            </w:r>
            <w:r>
              <w:rPr>
                <w:rFonts w:hint="default" w:ascii="Times New Roman" w:hAnsi="Times New Roman" w:eastAsia="宋体" w:cs="Times New Roman"/>
                <w:b w:val="0"/>
                <w:bCs w:val="0"/>
                <w:color w:val="auto"/>
                <w:kern w:val="0"/>
                <w:sz w:val="24"/>
                <w:vertAlign w:val="superscript"/>
              </w:rPr>
              <w:t>3</w:t>
            </w:r>
            <w:r>
              <w:rPr>
                <w:rFonts w:hint="eastAsia" w:ascii="Times New Roman" w:hAnsi="Times New Roman" w:eastAsia="宋体" w:cs="Times New Roman"/>
                <w:b w:val="0"/>
                <w:bCs w:val="0"/>
                <w:color w:val="auto"/>
                <w:kern w:val="0"/>
                <w:sz w:val="24"/>
              </w:rPr>
              <w:t>、40</w:t>
            </w:r>
            <w:r>
              <w:rPr>
                <w:rFonts w:hint="default" w:ascii="Times New Roman" w:hAnsi="Times New Roman" w:eastAsia="宋体" w:cs="Times New Roman"/>
                <w:b w:val="0"/>
                <w:bCs w:val="0"/>
                <w:color w:val="auto"/>
                <w:kern w:val="0"/>
                <w:sz w:val="24"/>
              </w:rPr>
              <w:t>μg/m</w:t>
            </w:r>
            <w:r>
              <w:rPr>
                <w:rFonts w:hint="default" w:ascii="Times New Roman" w:hAnsi="Times New Roman" w:eastAsia="宋体" w:cs="Times New Roman"/>
                <w:b w:val="0"/>
                <w:bCs w:val="0"/>
                <w:color w:val="auto"/>
                <w:kern w:val="0"/>
                <w:sz w:val="24"/>
                <w:vertAlign w:val="superscript"/>
              </w:rPr>
              <w:t>3</w:t>
            </w:r>
            <w:r>
              <w:rPr>
                <w:rFonts w:hint="eastAsia" w:ascii="Times New Roman" w:hAnsi="Times New Roman" w:eastAsia="宋体" w:cs="Times New Roman"/>
                <w:b w:val="0"/>
                <w:bCs w:val="0"/>
                <w:color w:val="auto"/>
                <w:kern w:val="0"/>
                <w:sz w:val="24"/>
              </w:rPr>
              <w:t>；CO24小时平均第95百分位数为0.9mg/m</w:t>
            </w:r>
            <w:r>
              <w:rPr>
                <w:rFonts w:hint="eastAsia" w:ascii="Times New Roman" w:hAnsi="Times New Roman" w:eastAsia="宋体" w:cs="Times New Roman"/>
                <w:b w:val="0"/>
                <w:bCs w:val="0"/>
                <w:color w:val="auto"/>
                <w:kern w:val="0"/>
                <w:sz w:val="24"/>
                <w:vertAlign w:val="superscript"/>
              </w:rPr>
              <w:t>3</w:t>
            </w:r>
            <w:r>
              <w:rPr>
                <w:rFonts w:hint="eastAsia" w:ascii="Times New Roman" w:hAnsi="Times New Roman" w:eastAsia="宋体" w:cs="Times New Roman"/>
                <w:b w:val="0"/>
                <w:bCs w:val="0"/>
                <w:color w:val="auto"/>
                <w:kern w:val="0"/>
                <w:sz w:val="24"/>
              </w:rPr>
              <w:t>，O</w:t>
            </w:r>
            <w:r>
              <w:rPr>
                <w:rFonts w:hint="eastAsia" w:ascii="Times New Roman" w:hAnsi="Times New Roman" w:eastAsia="宋体" w:cs="Times New Roman"/>
                <w:b w:val="0"/>
                <w:bCs w:val="0"/>
                <w:color w:val="auto"/>
                <w:kern w:val="0"/>
                <w:sz w:val="24"/>
                <w:vertAlign w:val="subscript"/>
              </w:rPr>
              <w:t>3</w:t>
            </w:r>
            <w:r>
              <w:rPr>
                <w:rFonts w:hint="eastAsia" w:ascii="Times New Roman" w:hAnsi="Times New Roman" w:eastAsia="宋体" w:cs="Times New Roman"/>
                <w:b w:val="0"/>
                <w:bCs w:val="0"/>
                <w:color w:val="auto"/>
                <w:kern w:val="0"/>
                <w:sz w:val="24"/>
              </w:rPr>
              <w:t>日最大8小时平均第90百分位数为163</w:t>
            </w:r>
            <w:r>
              <w:rPr>
                <w:rFonts w:hint="default" w:ascii="Times New Roman" w:hAnsi="Times New Roman" w:eastAsia="宋体" w:cs="Times New Roman"/>
                <w:b w:val="0"/>
                <w:bCs w:val="0"/>
                <w:color w:val="auto"/>
                <w:kern w:val="0"/>
                <w:sz w:val="24"/>
              </w:rPr>
              <w:t>μg/m</w:t>
            </w:r>
            <w:r>
              <w:rPr>
                <w:rFonts w:hint="default" w:ascii="Times New Roman" w:hAnsi="Times New Roman" w:eastAsia="宋体" w:cs="Times New Roman"/>
                <w:b w:val="0"/>
                <w:bCs w:val="0"/>
                <w:color w:val="auto"/>
                <w:kern w:val="0"/>
                <w:sz w:val="24"/>
                <w:vertAlign w:val="superscript"/>
              </w:rPr>
              <w:t>3</w:t>
            </w:r>
            <w:r>
              <w:rPr>
                <w:rFonts w:hint="eastAsia" w:ascii="Times New Roman" w:hAnsi="Times New Roman" w:eastAsia="宋体" w:cs="Times New Roman"/>
                <w:b w:val="0"/>
                <w:bCs w:val="0"/>
                <w:color w:val="auto"/>
                <w:kern w:val="0"/>
                <w:sz w:val="24"/>
              </w:rPr>
              <w:t>；超过《环境空气质量标准》（GB3095-2012）中二级标准限值的污染物为O</w:t>
            </w:r>
            <w:r>
              <w:rPr>
                <w:rFonts w:hint="eastAsia" w:ascii="Times New Roman" w:hAnsi="Times New Roman" w:eastAsia="宋体" w:cs="Times New Roman"/>
                <w:b w:val="0"/>
                <w:bCs w:val="0"/>
                <w:color w:val="auto"/>
                <w:kern w:val="0"/>
                <w:sz w:val="24"/>
                <w:vertAlign w:val="subscript"/>
              </w:rPr>
              <w:t>3</w:t>
            </w:r>
            <w:r>
              <w:rPr>
                <w:rFonts w:hint="eastAsia" w:ascii="Times New Roman" w:hAnsi="Times New Roman" w:eastAsia="宋体" w:cs="Times New Roman"/>
                <w:b w:val="0"/>
                <w:bCs w:val="0"/>
                <w:color w:val="auto"/>
                <w:kern w:val="0"/>
                <w:sz w:val="24"/>
              </w:rPr>
              <w:t>、PM</w:t>
            </w:r>
            <w:r>
              <w:rPr>
                <w:rFonts w:hint="eastAsia" w:ascii="Times New Roman" w:hAnsi="Times New Roman" w:eastAsia="宋体" w:cs="Times New Roman"/>
                <w:b w:val="0"/>
                <w:bCs w:val="0"/>
                <w:color w:val="auto"/>
                <w:kern w:val="0"/>
                <w:sz w:val="24"/>
                <w:vertAlign w:val="subscript"/>
              </w:rPr>
              <w:t>2.5</w:t>
            </w:r>
            <w:r>
              <w:rPr>
                <w:rFonts w:hint="eastAsia" w:ascii="Times New Roman" w:hAnsi="Times New Roman" w:eastAsia="宋体" w:cs="Times New Roman"/>
                <w:b w:val="0"/>
                <w:bCs w:val="0"/>
                <w:color w:val="auto"/>
                <w:kern w:val="0"/>
                <w:sz w:val="24"/>
                <w:lang w:eastAsia="zh-CN"/>
              </w:rPr>
              <w:t>。</w:t>
            </w:r>
          </w:p>
          <w:p>
            <w:pPr>
              <w:adjustRightInd w:val="0"/>
              <w:snapToGrid w:val="0"/>
              <w:spacing w:line="360" w:lineRule="auto"/>
              <w:ind w:firstLine="480" w:firstLineChars="200"/>
              <w:jc w:val="left"/>
              <w:rPr>
                <w:rFonts w:ascii="Times New Roman" w:hAnsi="Times New Roman" w:eastAsia="宋体" w:cs="Times New Roman"/>
                <w:b w:val="0"/>
                <w:bCs w:val="0"/>
                <w:color w:val="auto"/>
                <w:kern w:val="0"/>
                <w:sz w:val="24"/>
              </w:rPr>
            </w:pPr>
            <w:r>
              <w:rPr>
                <w:rFonts w:hint="eastAsia" w:ascii="Times New Roman" w:hAnsi="Times New Roman" w:eastAsia="宋体" w:cs="Times New Roman"/>
                <w:b w:val="0"/>
                <w:bCs w:val="0"/>
                <w:color w:val="auto"/>
                <w:kern w:val="0"/>
                <w:sz w:val="24"/>
              </w:rPr>
              <w:t>根据</w:t>
            </w:r>
            <w:r>
              <w:rPr>
                <w:rFonts w:ascii="宋体" w:hAnsi="宋体" w:eastAsia="宋体" w:cs="宋体"/>
                <w:sz w:val="24"/>
                <w:szCs w:val="24"/>
              </w:rPr>
              <w:t>环境空气质量模型技术支持服务系统</w:t>
            </w:r>
            <w:r>
              <w:rPr>
                <w:rFonts w:hint="eastAsia" w:ascii="宋体" w:hAnsi="宋体" w:eastAsia="宋体" w:cs="宋体"/>
                <w:sz w:val="24"/>
                <w:szCs w:val="24"/>
                <w:lang w:val="en-US" w:eastAsia="zh-CN"/>
              </w:rPr>
              <w:t>中提供数据</w:t>
            </w:r>
            <w:r>
              <w:rPr>
                <w:rFonts w:hint="eastAsia" w:ascii="Times New Roman" w:hAnsi="Times New Roman" w:eastAsia="宋体" w:cs="Times New Roman"/>
                <w:b w:val="0"/>
                <w:bCs w:val="0"/>
                <w:color w:val="auto"/>
                <w:kern w:val="0"/>
                <w:sz w:val="24"/>
              </w:rPr>
              <w:t>对区域达标情况进行判定，宿州市202</w:t>
            </w:r>
            <w:r>
              <w:rPr>
                <w:rFonts w:hint="eastAsia" w:ascii="Times New Roman" w:hAnsi="Times New Roman" w:eastAsia="宋体" w:cs="Times New Roman"/>
                <w:b w:val="0"/>
                <w:bCs w:val="0"/>
                <w:color w:val="auto"/>
                <w:kern w:val="0"/>
                <w:sz w:val="24"/>
                <w:lang w:val="en-US" w:eastAsia="zh-CN"/>
              </w:rPr>
              <w:t>2</w:t>
            </w:r>
            <w:r>
              <w:rPr>
                <w:rFonts w:hint="eastAsia" w:ascii="Times New Roman" w:hAnsi="Times New Roman" w:eastAsia="宋体" w:cs="Times New Roman"/>
                <w:b w:val="0"/>
                <w:bCs w:val="0"/>
                <w:color w:val="auto"/>
                <w:kern w:val="0"/>
                <w:sz w:val="24"/>
              </w:rPr>
              <w:t>年环境空气质量基础污染物监测浓度见下表。</w:t>
            </w:r>
          </w:p>
          <w:p>
            <w:pPr>
              <w:adjustRightInd w:val="0"/>
              <w:snapToGrid w:val="0"/>
              <w:spacing w:line="360" w:lineRule="auto"/>
              <w:jc w:val="center"/>
              <w:rPr>
                <w:rFonts w:ascii="Times New Roman" w:hAnsi="Times New Roman" w:eastAsia="宋体" w:cs="Times New Roman"/>
                <w:b/>
                <w:bCs/>
                <w:color w:val="auto"/>
                <w:kern w:val="0"/>
                <w:sz w:val="24"/>
              </w:rPr>
            </w:pPr>
            <w:r>
              <w:rPr>
                <w:rFonts w:ascii="Times New Roman" w:hAnsi="Times New Roman" w:eastAsia="宋体" w:cs="Times New Roman"/>
                <w:b/>
                <w:bCs/>
                <w:color w:val="auto"/>
                <w:kern w:val="0"/>
                <w:sz w:val="24"/>
              </w:rPr>
              <w:t>表3</w:t>
            </w:r>
            <w:r>
              <w:rPr>
                <w:rFonts w:hint="eastAsia" w:ascii="Times New Roman" w:hAnsi="Times New Roman" w:eastAsia="宋体" w:cs="Times New Roman"/>
                <w:b/>
                <w:bCs/>
                <w:color w:val="auto"/>
                <w:kern w:val="0"/>
                <w:sz w:val="24"/>
              </w:rPr>
              <w:t>-</w:t>
            </w:r>
            <w:r>
              <w:rPr>
                <w:rFonts w:ascii="Times New Roman" w:hAnsi="Times New Roman" w:eastAsia="宋体" w:cs="Times New Roman"/>
                <w:b/>
                <w:bCs/>
                <w:color w:val="auto"/>
                <w:kern w:val="0"/>
                <w:sz w:val="24"/>
              </w:rPr>
              <w:t>1 区域空气质量现状评价表</w:t>
            </w:r>
          </w:p>
          <w:tbl>
            <w:tblPr>
              <w:tblStyle w:val="24"/>
              <w:tblW w:w="7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779"/>
              <w:gridCol w:w="1287"/>
              <w:gridCol w:w="1307"/>
              <w:gridCol w:w="126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adjustRightInd w:val="0"/>
                    <w:snapToGrid w:val="0"/>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污染物</w:t>
                  </w:r>
                </w:p>
              </w:tc>
              <w:tc>
                <w:tcPr>
                  <w:tcW w:w="1779" w:type="dxa"/>
                  <w:vAlign w:val="center"/>
                </w:tcPr>
                <w:p>
                  <w:pPr>
                    <w:adjustRightInd w:val="0"/>
                    <w:snapToGrid w:val="0"/>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评价标准</w:t>
                  </w:r>
                </w:p>
              </w:tc>
              <w:tc>
                <w:tcPr>
                  <w:tcW w:w="1287" w:type="dxa"/>
                  <w:vAlign w:val="center"/>
                </w:tcPr>
                <w:p>
                  <w:pPr>
                    <w:adjustRightInd w:val="0"/>
                    <w:snapToGrid w:val="0"/>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年均浓度（μg/m</w:t>
                  </w:r>
                  <w:r>
                    <w:rPr>
                      <w:rFonts w:ascii="Times New Roman" w:hAnsi="Times New Roman" w:eastAsia="宋体" w:cs="Times New Roman"/>
                      <w:b/>
                      <w:bCs/>
                      <w:color w:val="auto"/>
                      <w:kern w:val="0"/>
                      <w:sz w:val="21"/>
                      <w:szCs w:val="21"/>
                      <w:vertAlign w:val="superscript"/>
                    </w:rPr>
                    <w:t>3</w:t>
                  </w:r>
                  <w:r>
                    <w:rPr>
                      <w:rFonts w:ascii="Times New Roman" w:hAnsi="Times New Roman" w:eastAsia="宋体" w:cs="Times New Roman"/>
                      <w:b/>
                      <w:bCs/>
                      <w:color w:val="auto"/>
                      <w:kern w:val="0"/>
                      <w:sz w:val="21"/>
                      <w:szCs w:val="21"/>
                    </w:rPr>
                    <w:t>）</w:t>
                  </w:r>
                </w:p>
              </w:tc>
              <w:tc>
                <w:tcPr>
                  <w:tcW w:w="1307" w:type="dxa"/>
                  <w:vAlign w:val="center"/>
                </w:tcPr>
                <w:p>
                  <w:pPr>
                    <w:adjustRightInd w:val="0"/>
                    <w:snapToGrid w:val="0"/>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标准值（μg/m</w:t>
                  </w:r>
                  <w:r>
                    <w:rPr>
                      <w:rFonts w:ascii="Times New Roman" w:hAnsi="Times New Roman" w:eastAsia="宋体" w:cs="Times New Roman"/>
                      <w:b/>
                      <w:bCs/>
                      <w:color w:val="auto"/>
                      <w:kern w:val="0"/>
                      <w:sz w:val="21"/>
                      <w:szCs w:val="21"/>
                      <w:vertAlign w:val="superscript"/>
                    </w:rPr>
                    <w:t>3</w:t>
                  </w:r>
                  <w:r>
                    <w:rPr>
                      <w:rFonts w:ascii="Times New Roman" w:hAnsi="Times New Roman" w:eastAsia="宋体" w:cs="Times New Roman"/>
                      <w:b/>
                      <w:bCs/>
                      <w:color w:val="auto"/>
                      <w:kern w:val="0"/>
                      <w:sz w:val="21"/>
                      <w:szCs w:val="21"/>
                    </w:rPr>
                    <w:t>）</w:t>
                  </w:r>
                </w:p>
              </w:tc>
              <w:tc>
                <w:tcPr>
                  <w:tcW w:w="1262" w:type="dxa"/>
                  <w:vAlign w:val="center"/>
                </w:tcPr>
                <w:p>
                  <w:pPr>
                    <w:adjustRightInd w:val="0"/>
                    <w:snapToGrid w:val="0"/>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占标率%</w:t>
                  </w:r>
                </w:p>
              </w:tc>
              <w:tc>
                <w:tcPr>
                  <w:tcW w:w="1292" w:type="dxa"/>
                  <w:vAlign w:val="center"/>
                </w:tcPr>
                <w:p>
                  <w:pPr>
                    <w:adjustRightInd w:val="0"/>
                    <w:snapToGrid w:val="0"/>
                    <w:jc w:val="center"/>
                    <w:rPr>
                      <w:rFonts w:ascii="Times New Roman" w:hAnsi="Times New Roman" w:eastAsia="宋体" w:cs="Times New Roman"/>
                      <w:b/>
                      <w:bCs/>
                      <w:color w:val="auto"/>
                      <w:kern w:val="0"/>
                      <w:sz w:val="21"/>
                      <w:szCs w:val="21"/>
                    </w:rPr>
                  </w:pPr>
                  <w:r>
                    <w:rPr>
                      <w:rFonts w:ascii="Times New Roman" w:hAnsi="Times New Roman" w:eastAsia="宋体" w:cs="Times New Roman"/>
                      <w:b/>
                      <w:bCs/>
                      <w:color w:val="auto"/>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PM</w:t>
                  </w:r>
                  <w:r>
                    <w:rPr>
                      <w:rFonts w:ascii="Times New Roman" w:hAnsi="Times New Roman" w:eastAsia="宋体" w:cs="Times New Roman"/>
                      <w:color w:val="auto"/>
                      <w:kern w:val="0"/>
                      <w:sz w:val="21"/>
                      <w:szCs w:val="21"/>
                      <w:vertAlign w:val="subscript"/>
                    </w:rPr>
                    <w:t>10</w:t>
                  </w:r>
                </w:p>
              </w:tc>
              <w:tc>
                <w:tcPr>
                  <w:tcW w:w="1779"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年平均浓度</w:t>
                  </w:r>
                </w:p>
              </w:tc>
              <w:tc>
                <w:tcPr>
                  <w:tcW w:w="1287"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70</w:t>
                  </w:r>
                </w:p>
              </w:tc>
              <w:tc>
                <w:tcPr>
                  <w:tcW w:w="1307"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70</w:t>
                  </w:r>
                </w:p>
              </w:tc>
              <w:tc>
                <w:tcPr>
                  <w:tcW w:w="1262" w:type="dxa"/>
                  <w:vAlign w:val="center"/>
                </w:tcPr>
                <w:p>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100.00</w:t>
                  </w:r>
                  <w:r>
                    <w:rPr>
                      <w:rFonts w:ascii="Times New Roman" w:hAnsi="Times New Roman" w:eastAsia="宋体" w:cs="Times New Roman"/>
                      <w:color w:val="auto"/>
                      <w:sz w:val="21"/>
                      <w:szCs w:val="21"/>
                    </w:rPr>
                    <w:t>%</w:t>
                  </w:r>
                </w:p>
              </w:tc>
              <w:tc>
                <w:tcPr>
                  <w:tcW w:w="129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PM</w:t>
                  </w:r>
                  <w:r>
                    <w:rPr>
                      <w:rFonts w:ascii="Times New Roman" w:hAnsi="Times New Roman" w:eastAsia="宋体" w:cs="Times New Roman"/>
                      <w:color w:val="auto"/>
                      <w:kern w:val="0"/>
                      <w:sz w:val="21"/>
                      <w:szCs w:val="21"/>
                      <w:vertAlign w:val="subscript"/>
                    </w:rPr>
                    <w:t>2.5</w:t>
                  </w:r>
                </w:p>
              </w:tc>
              <w:tc>
                <w:tcPr>
                  <w:tcW w:w="1779"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年平均浓度</w:t>
                  </w:r>
                </w:p>
              </w:tc>
              <w:tc>
                <w:tcPr>
                  <w:tcW w:w="1287"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40</w:t>
                  </w:r>
                </w:p>
              </w:tc>
              <w:tc>
                <w:tcPr>
                  <w:tcW w:w="1307"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35</w:t>
                  </w:r>
                </w:p>
              </w:tc>
              <w:tc>
                <w:tcPr>
                  <w:tcW w:w="1262" w:type="dxa"/>
                  <w:vAlign w:val="center"/>
                </w:tcPr>
                <w:p>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114.29</w:t>
                  </w:r>
                  <w:r>
                    <w:rPr>
                      <w:rFonts w:ascii="Times New Roman" w:hAnsi="Times New Roman" w:eastAsia="宋体" w:cs="Times New Roman"/>
                      <w:color w:val="auto"/>
                      <w:sz w:val="21"/>
                      <w:szCs w:val="21"/>
                    </w:rPr>
                    <w:t>%</w:t>
                  </w:r>
                </w:p>
              </w:tc>
              <w:tc>
                <w:tcPr>
                  <w:tcW w:w="129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SO</w:t>
                  </w:r>
                  <w:r>
                    <w:rPr>
                      <w:rFonts w:ascii="Times New Roman" w:hAnsi="Times New Roman" w:eastAsia="宋体" w:cs="Times New Roman"/>
                      <w:color w:val="auto"/>
                      <w:kern w:val="0"/>
                      <w:sz w:val="21"/>
                      <w:szCs w:val="21"/>
                      <w:vertAlign w:val="subscript"/>
                    </w:rPr>
                    <w:t>2</w:t>
                  </w:r>
                </w:p>
              </w:tc>
              <w:tc>
                <w:tcPr>
                  <w:tcW w:w="1779"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年平均浓度</w:t>
                  </w:r>
                </w:p>
              </w:tc>
              <w:tc>
                <w:tcPr>
                  <w:tcW w:w="1287"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w:t>
                  </w:r>
                </w:p>
              </w:tc>
              <w:tc>
                <w:tcPr>
                  <w:tcW w:w="1307"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60</w:t>
                  </w:r>
                </w:p>
              </w:tc>
              <w:tc>
                <w:tcPr>
                  <w:tcW w:w="1262" w:type="dxa"/>
                  <w:vAlign w:val="center"/>
                </w:tcPr>
                <w:p>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6.67</w:t>
                  </w:r>
                  <w:r>
                    <w:rPr>
                      <w:rFonts w:ascii="Times New Roman" w:hAnsi="Times New Roman" w:eastAsia="宋体" w:cs="Times New Roman"/>
                      <w:color w:val="auto"/>
                      <w:sz w:val="21"/>
                      <w:szCs w:val="21"/>
                    </w:rPr>
                    <w:t>%</w:t>
                  </w:r>
                </w:p>
              </w:tc>
              <w:tc>
                <w:tcPr>
                  <w:tcW w:w="129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NO</w:t>
                  </w:r>
                  <w:r>
                    <w:rPr>
                      <w:rFonts w:ascii="Times New Roman" w:hAnsi="Times New Roman" w:eastAsia="宋体" w:cs="Times New Roman"/>
                      <w:color w:val="auto"/>
                      <w:kern w:val="0"/>
                      <w:sz w:val="21"/>
                      <w:szCs w:val="21"/>
                      <w:vertAlign w:val="subscript"/>
                    </w:rPr>
                    <w:t>2</w:t>
                  </w:r>
                </w:p>
              </w:tc>
              <w:tc>
                <w:tcPr>
                  <w:tcW w:w="1779"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年平均浓度</w:t>
                  </w:r>
                </w:p>
              </w:tc>
              <w:tc>
                <w:tcPr>
                  <w:tcW w:w="1287"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20</w:t>
                  </w:r>
                </w:p>
              </w:tc>
              <w:tc>
                <w:tcPr>
                  <w:tcW w:w="1307"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40</w:t>
                  </w:r>
                </w:p>
              </w:tc>
              <w:tc>
                <w:tcPr>
                  <w:tcW w:w="1262" w:type="dxa"/>
                  <w:vAlign w:val="center"/>
                </w:tcPr>
                <w:p>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50.00</w:t>
                  </w:r>
                  <w:r>
                    <w:rPr>
                      <w:rFonts w:ascii="Times New Roman" w:hAnsi="Times New Roman" w:eastAsia="宋体" w:cs="Times New Roman"/>
                      <w:color w:val="auto"/>
                      <w:sz w:val="21"/>
                      <w:szCs w:val="21"/>
                    </w:rPr>
                    <w:t>%</w:t>
                  </w:r>
                </w:p>
              </w:tc>
              <w:tc>
                <w:tcPr>
                  <w:tcW w:w="129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CO</w:t>
                  </w:r>
                </w:p>
              </w:tc>
              <w:tc>
                <w:tcPr>
                  <w:tcW w:w="1779"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日平均第95百分位质量浓度</w:t>
                  </w:r>
                </w:p>
              </w:tc>
              <w:tc>
                <w:tcPr>
                  <w:tcW w:w="1287" w:type="dxa"/>
                  <w:vAlign w:val="center"/>
                </w:tcPr>
                <w:p>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0.9</w:t>
                  </w:r>
                  <w:r>
                    <w:rPr>
                      <w:rFonts w:ascii="Times New Roman" w:hAnsi="Times New Roman" w:eastAsia="宋体" w:cs="Times New Roman"/>
                      <w:color w:val="auto"/>
                      <w:kern w:val="0"/>
                      <w:sz w:val="21"/>
                      <w:szCs w:val="21"/>
                    </w:rPr>
                    <w:t>mg/m</w:t>
                  </w:r>
                  <w:r>
                    <w:rPr>
                      <w:rFonts w:ascii="Times New Roman" w:hAnsi="Times New Roman" w:eastAsia="宋体" w:cs="Times New Roman"/>
                      <w:color w:val="auto"/>
                      <w:kern w:val="0"/>
                      <w:sz w:val="21"/>
                      <w:szCs w:val="21"/>
                      <w:vertAlign w:val="superscript"/>
                    </w:rPr>
                    <w:t>3</w:t>
                  </w:r>
                </w:p>
              </w:tc>
              <w:tc>
                <w:tcPr>
                  <w:tcW w:w="1307" w:type="dxa"/>
                  <w:vAlign w:val="center"/>
                </w:tcPr>
                <w:p>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4</w:t>
                  </w:r>
                  <w:r>
                    <w:rPr>
                      <w:rFonts w:ascii="Times New Roman" w:hAnsi="Times New Roman" w:eastAsia="宋体" w:cs="Times New Roman"/>
                      <w:color w:val="auto"/>
                      <w:kern w:val="0"/>
                      <w:sz w:val="21"/>
                      <w:szCs w:val="21"/>
                    </w:rPr>
                    <w:t>mg/m</w:t>
                  </w:r>
                  <w:r>
                    <w:rPr>
                      <w:rFonts w:ascii="Times New Roman" w:hAnsi="Times New Roman" w:eastAsia="宋体" w:cs="Times New Roman"/>
                      <w:color w:val="auto"/>
                      <w:kern w:val="0"/>
                      <w:sz w:val="21"/>
                      <w:szCs w:val="21"/>
                      <w:vertAlign w:val="superscript"/>
                    </w:rPr>
                    <w:t>3</w:t>
                  </w:r>
                </w:p>
              </w:tc>
              <w:tc>
                <w:tcPr>
                  <w:tcW w:w="1262" w:type="dxa"/>
                  <w:vAlign w:val="center"/>
                </w:tcPr>
                <w:p>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22.50</w:t>
                  </w:r>
                  <w:r>
                    <w:rPr>
                      <w:rFonts w:ascii="Times New Roman" w:hAnsi="Times New Roman" w:eastAsia="宋体" w:cs="Times New Roman"/>
                      <w:color w:val="auto"/>
                      <w:sz w:val="21"/>
                      <w:szCs w:val="21"/>
                    </w:rPr>
                    <w:t>%</w:t>
                  </w:r>
                </w:p>
              </w:tc>
              <w:tc>
                <w:tcPr>
                  <w:tcW w:w="129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2"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O</w:t>
                  </w:r>
                  <w:r>
                    <w:rPr>
                      <w:rFonts w:ascii="Times New Roman" w:hAnsi="Times New Roman" w:eastAsia="宋体" w:cs="Times New Roman"/>
                      <w:color w:val="auto"/>
                      <w:kern w:val="0"/>
                      <w:sz w:val="21"/>
                      <w:szCs w:val="21"/>
                      <w:vertAlign w:val="subscript"/>
                    </w:rPr>
                    <w:t>3</w:t>
                  </w:r>
                </w:p>
              </w:tc>
              <w:tc>
                <w:tcPr>
                  <w:tcW w:w="1779" w:type="dxa"/>
                  <w:vAlign w:val="center"/>
                </w:tcPr>
                <w:p>
                  <w:pPr>
                    <w:adjustRightInd w:val="0"/>
                    <w:snapToGrid w:val="0"/>
                    <w:jc w:val="center"/>
                    <w:rPr>
                      <w:rFonts w:ascii="Times New Roman" w:hAnsi="Times New Roman" w:eastAsia="宋体" w:cs="Times New Roman"/>
                      <w:color w:val="auto"/>
                      <w:kern w:val="0"/>
                      <w:sz w:val="21"/>
                      <w:szCs w:val="21"/>
                    </w:rPr>
                  </w:pPr>
                  <w:r>
                    <w:rPr>
                      <w:rFonts w:ascii="Times New Roman" w:hAnsi="Times New Roman" w:eastAsia="宋体" w:cs="Times New Roman"/>
                      <w:color w:val="auto"/>
                      <w:kern w:val="0"/>
                      <w:sz w:val="21"/>
                      <w:szCs w:val="21"/>
                    </w:rPr>
                    <w:t>日最大8小时平均第90百分位质量浓度</w:t>
                  </w:r>
                </w:p>
              </w:tc>
              <w:tc>
                <w:tcPr>
                  <w:tcW w:w="1287"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163</w:t>
                  </w:r>
                </w:p>
              </w:tc>
              <w:tc>
                <w:tcPr>
                  <w:tcW w:w="1307" w:type="dxa"/>
                  <w:vAlign w:val="center"/>
                </w:tcPr>
                <w:p>
                  <w:pPr>
                    <w:jc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160</w:t>
                  </w:r>
                </w:p>
              </w:tc>
              <w:tc>
                <w:tcPr>
                  <w:tcW w:w="1262" w:type="dxa"/>
                  <w:vAlign w:val="center"/>
                </w:tcPr>
                <w:p>
                  <w:pPr>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sz w:val="21"/>
                      <w:szCs w:val="21"/>
                      <w:lang w:val="en-US" w:eastAsia="zh-CN"/>
                    </w:rPr>
                    <w:t>101.88</w:t>
                  </w:r>
                  <w:r>
                    <w:rPr>
                      <w:rFonts w:ascii="Times New Roman" w:hAnsi="Times New Roman" w:eastAsia="宋体" w:cs="Times New Roman"/>
                      <w:color w:val="auto"/>
                      <w:sz w:val="21"/>
                      <w:szCs w:val="21"/>
                    </w:rPr>
                    <w:t>%</w:t>
                  </w:r>
                </w:p>
              </w:tc>
              <w:tc>
                <w:tcPr>
                  <w:tcW w:w="1292" w:type="dxa"/>
                  <w:vAlign w:val="center"/>
                </w:tcPr>
                <w:p>
                  <w:pPr>
                    <w:adjustRightInd w:val="0"/>
                    <w:snapToGrid w:val="0"/>
                    <w:jc w:val="center"/>
                    <w:rPr>
                      <w:rFonts w:ascii="Times New Roman" w:hAnsi="Times New Roman" w:eastAsia="宋体" w:cs="Times New Roman"/>
                      <w:color w:val="auto"/>
                      <w:kern w:val="0"/>
                      <w:sz w:val="21"/>
                      <w:szCs w:val="21"/>
                    </w:rPr>
                  </w:pPr>
                  <w:r>
                    <w:rPr>
                      <w:rFonts w:hint="eastAsia" w:ascii="Times New Roman" w:hAnsi="Times New Roman" w:eastAsia="宋体" w:cs="Times New Roman"/>
                      <w:color w:val="auto"/>
                      <w:kern w:val="0"/>
                      <w:sz w:val="21"/>
                      <w:szCs w:val="21"/>
                      <w:lang w:val="en-US" w:eastAsia="zh-CN"/>
                    </w:rPr>
                    <w:t>不</w:t>
                  </w:r>
                  <w:r>
                    <w:rPr>
                      <w:rFonts w:ascii="Times New Roman" w:hAnsi="Times New Roman" w:eastAsia="宋体" w:cs="Times New Roman"/>
                      <w:color w:val="auto"/>
                      <w:kern w:val="0"/>
                      <w:sz w:val="21"/>
                      <w:szCs w:val="21"/>
                    </w:rPr>
                    <w:t>达标</w:t>
                  </w:r>
                </w:p>
              </w:tc>
            </w:tr>
          </w:tbl>
          <w:p>
            <w:pPr>
              <w:spacing w:line="360" w:lineRule="auto"/>
              <w:ind w:firstLine="480" w:firstLineChars="200"/>
              <w:rPr>
                <w:rFonts w:hint="eastAsia" w:ascii="Times New Roman" w:hAnsi="Times New Roman" w:eastAsia="宋体" w:cs="Times New Roman"/>
                <w:color w:val="auto"/>
                <w:sz w:val="24"/>
              </w:rPr>
            </w:pPr>
            <w:r>
              <w:rPr>
                <w:rFonts w:ascii="Times New Roman" w:hAnsi="Times New Roman" w:eastAsia="宋体" w:cs="Times New Roman"/>
                <w:color w:val="auto"/>
                <w:sz w:val="24"/>
              </w:rPr>
              <w:t>针对基本污染物不达标问题，宿州市人民政府决定采取措施进行区域整改，</w:t>
            </w:r>
            <w:r>
              <w:rPr>
                <w:rFonts w:hint="eastAsia" w:ascii="Times New Roman" w:hAnsi="Times New Roman" w:eastAsia="宋体" w:cs="Times New Roman"/>
                <w:color w:val="auto"/>
                <w:sz w:val="24"/>
              </w:rPr>
              <w:t>改善区域大气环境质量的措施：</w:t>
            </w:r>
          </w:p>
          <w:p>
            <w:pPr>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1</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、在大气污染联防联控重点区域，建立区域空气环境质量评价体系，开展多种污染物协同控制，实施区域大气污染物特别排放限值，对火电、钢铁、有色、石化、建材、化工等行业进行重点防控。</w:t>
            </w:r>
          </w:p>
          <w:p>
            <w:pPr>
              <w:spacing w:line="360" w:lineRule="auto"/>
              <w:ind w:firstLine="480" w:firstLineChars="200"/>
            </w:pPr>
            <w:r>
              <w:rPr>
                <w:rFonts w:hint="eastAsia" w:ascii="Times New Roman" w:hAnsi="Times New Roman" w:eastAsia="宋体" w:cs="Times New Roman"/>
                <w:color w:val="auto"/>
                <w:sz w:val="24"/>
              </w:rPr>
              <w:t>2</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、开展臭氧、细颗粒物（PM</w:t>
            </w:r>
            <w:r>
              <w:rPr>
                <w:rFonts w:hint="eastAsia" w:ascii="Times New Roman" w:hAnsi="Times New Roman" w:eastAsia="宋体" w:cs="Times New Roman"/>
                <w:color w:val="auto"/>
                <w:sz w:val="24"/>
                <w:vertAlign w:val="subscript"/>
              </w:rPr>
              <w:t>2.5</w:t>
            </w:r>
            <w:r>
              <w:rPr>
                <w:rFonts w:hint="eastAsia" w:ascii="Times New Roman" w:hAnsi="Times New Roman" w:eastAsia="宋体" w:cs="Times New Roman"/>
                <w:color w:val="auto"/>
                <w:sz w:val="24"/>
              </w:rPr>
              <w:t>）等污染物监测，开展区域联合执法检查。严格执行以上措施将有效改善区域大气环境质量。</w:t>
            </w:r>
          </w:p>
          <w:p>
            <w:pPr>
              <w:spacing w:line="360" w:lineRule="auto"/>
              <w:ind w:firstLine="480" w:firstLineChars="200"/>
              <w:jc w:val="left"/>
              <w:rPr>
                <w:color w:val="auto"/>
              </w:rPr>
            </w:pPr>
            <w:r>
              <w:rPr>
                <w:color w:val="auto"/>
              </w:rPr>
              <w:t>2、地表水环境质量现状</w:t>
            </w:r>
          </w:p>
          <w:p>
            <w:pPr>
              <w:widowControl/>
              <w:spacing w:line="360" w:lineRule="auto"/>
              <w:ind w:firstLine="480" w:firstLineChars="200"/>
            </w:pPr>
            <w:r>
              <w:rPr>
                <w:rFonts w:hint="eastAsia" w:ascii="Times New Roman" w:hAnsi="Times New Roman" w:eastAsia="宋体" w:cs="Times New Roman"/>
                <w:color w:val="000000"/>
                <w:kern w:val="0"/>
                <w:sz w:val="24"/>
                <w:lang w:val="en-US" w:eastAsia="zh-CN" w:bidi="ar"/>
              </w:rPr>
              <w:t>根据</w:t>
            </w:r>
            <w:r>
              <w:rPr>
                <w:rFonts w:hint="eastAsia" w:ascii="Times New Roman" w:hAnsi="Times New Roman" w:eastAsia="宋体" w:cs="Times New Roman"/>
                <w:color w:val="000000"/>
                <w:kern w:val="0"/>
                <w:sz w:val="24"/>
                <w:lang w:eastAsia="zh-CN" w:bidi="ar"/>
              </w:rPr>
              <w:t>《</w:t>
            </w:r>
            <w:r>
              <w:rPr>
                <w:rFonts w:hint="eastAsia" w:ascii="Times New Roman" w:hAnsi="Times New Roman" w:eastAsia="宋体" w:cs="Times New Roman"/>
                <w:color w:val="000000"/>
                <w:kern w:val="0"/>
                <w:sz w:val="24"/>
                <w:lang w:bidi="ar"/>
              </w:rPr>
              <w:t>2022年省级考核断面数据</w:t>
            </w:r>
            <w:r>
              <w:rPr>
                <w:rFonts w:hint="eastAsia" w:ascii="Times New Roman" w:hAnsi="Times New Roman" w:eastAsia="宋体" w:cs="Times New Roman"/>
                <w:color w:val="000000"/>
                <w:kern w:val="0"/>
                <w:sz w:val="24"/>
                <w:lang w:eastAsia="zh-CN" w:bidi="ar"/>
              </w:rPr>
              <w:t>》，唐河泗县（樊集）</w:t>
            </w:r>
            <w:r>
              <w:rPr>
                <w:rFonts w:hint="eastAsia" w:ascii="Times New Roman" w:hAnsi="Times New Roman" w:eastAsia="宋体" w:cs="Times New Roman"/>
                <w:color w:val="000000"/>
                <w:kern w:val="0"/>
                <w:sz w:val="24"/>
                <w:lang w:val="en-US" w:eastAsia="zh-CN" w:bidi="ar"/>
              </w:rPr>
              <w:t>断面监测数据2022年平均值满足</w:t>
            </w:r>
            <w:r>
              <w:rPr>
                <w:rFonts w:hint="default" w:ascii="Times New Roman" w:hAnsi="Times New Roman" w:eastAsia="宋体" w:cs="Times New Roman"/>
                <w:color w:val="000000"/>
                <w:kern w:val="0"/>
                <w:sz w:val="24"/>
                <w:lang w:val="en-US" w:eastAsia="zh-CN" w:bidi="ar"/>
              </w:rPr>
              <w:t>Ⅲ</w:t>
            </w:r>
            <w:r>
              <w:rPr>
                <w:rFonts w:hint="eastAsia" w:ascii="宋体" w:hAnsi="宋体" w:eastAsia="宋体" w:cs="宋体"/>
                <w:color w:val="000000"/>
                <w:kern w:val="0"/>
                <w:sz w:val="24"/>
                <w:lang w:bidi="ar"/>
              </w:rPr>
              <w:t>类水质标准</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本项目附近水体为泗草运河</w:t>
            </w:r>
            <w:r>
              <w:rPr>
                <w:rFonts w:hint="eastAsia" w:ascii="Times New Roman" w:hAnsi="Times New Roman" w:eastAsia="宋体" w:cs="Times New Roman"/>
                <w:color w:val="000000"/>
                <w:kern w:val="0"/>
                <w:sz w:val="24"/>
                <w:lang w:val="en-US" w:eastAsia="zh-CN" w:bidi="ar"/>
              </w:rPr>
              <w:t>，最终汇入</w:t>
            </w:r>
            <w:r>
              <w:rPr>
                <w:rFonts w:hint="eastAsia" w:ascii="Times New Roman" w:hAnsi="Times New Roman" w:eastAsia="宋体" w:cs="Times New Roman"/>
                <w:color w:val="000000"/>
                <w:kern w:val="0"/>
                <w:sz w:val="24"/>
                <w:lang w:eastAsia="zh-CN" w:bidi="ar"/>
              </w:rPr>
              <w:t>唐河</w:t>
            </w:r>
            <w:r>
              <w:rPr>
                <w:rFonts w:hint="eastAsia" w:ascii="Times New Roman" w:hAnsi="Times New Roman" w:eastAsia="宋体" w:cs="Times New Roman"/>
                <w:color w:val="000000"/>
                <w:kern w:val="0"/>
                <w:sz w:val="24"/>
                <w:lang w:val="en-US" w:eastAsia="zh-CN" w:bidi="ar"/>
              </w:rPr>
              <w:t>，</w:t>
            </w:r>
            <w:r>
              <w:rPr>
                <w:rFonts w:hint="eastAsia" w:ascii="Times New Roman" w:hAnsi="Times New Roman" w:eastAsia="宋体" w:cs="Times New Roman"/>
                <w:color w:val="000000"/>
                <w:kern w:val="0"/>
                <w:sz w:val="24"/>
                <w:lang w:eastAsia="zh-CN" w:bidi="ar"/>
              </w:rPr>
              <w:t>唐河泗县（樊集）</w:t>
            </w:r>
            <w:r>
              <w:rPr>
                <w:rFonts w:hint="eastAsia" w:ascii="Times New Roman" w:hAnsi="Times New Roman" w:eastAsia="宋体" w:cs="Times New Roman"/>
                <w:color w:val="000000"/>
                <w:kern w:val="0"/>
                <w:sz w:val="24"/>
                <w:lang w:val="en-US" w:eastAsia="zh-CN" w:bidi="ar"/>
              </w:rPr>
              <w:t>为</w:t>
            </w:r>
            <w:r>
              <w:rPr>
                <w:rFonts w:hint="eastAsia" w:ascii="Times New Roman" w:hAnsi="Times New Roman" w:eastAsia="宋体" w:cs="Times New Roman"/>
                <w:color w:val="000000"/>
                <w:kern w:val="0"/>
                <w:sz w:val="24"/>
                <w:lang w:eastAsia="zh-CN" w:bidi="ar"/>
              </w:rPr>
              <w:t>唐河</w:t>
            </w:r>
            <w:r>
              <w:rPr>
                <w:rFonts w:hint="eastAsia" w:ascii="Times New Roman" w:hAnsi="Times New Roman" w:eastAsia="宋体" w:cs="Times New Roman"/>
                <w:color w:val="000000"/>
                <w:kern w:val="0"/>
                <w:sz w:val="24"/>
                <w:lang w:val="en-US" w:eastAsia="zh-CN" w:bidi="ar"/>
              </w:rPr>
              <w:t>的监测断面。根据《</w:t>
            </w:r>
            <w:r>
              <w:rPr>
                <w:rFonts w:ascii="宋体" w:hAnsi="宋体" w:eastAsia="宋体" w:cs="宋体"/>
                <w:sz w:val="24"/>
                <w:szCs w:val="24"/>
              </w:rPr>
              <w:t>建设项目环境影响报告表编制技术指南（污染影响类）</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试行</w:t>
            </w:r>
            <w:r>
              <w:rPr>
                <w:rFonts w:hint="eastAsia" w:ascii="宋体" w:hAnsi="宋体" w:eastAsia="宋体" w:cs="宋体"/>
                <w:sz w:val="24"/>
                <w:szCs w:val="24"/>
                <w:lang w:eastAsia="zh-CN"/>
              </w:rPr>
              <w:t>）</w:t>
            </w:r>
            <w:r>
              <w:rPr>
                <w:rFonts w:hint="eastAsia" w:ascii="Times New Roman" w:hAnsi="Times New Roman" w:eastAsia="宋体" w:cs="Times New Roman"/>
                <w:color w:val="000000"/>
                <w:kern w:val="0"/>
                <w:sz w:val="24"/>
                <w:lang w:val="en-US" w:eastAsia="zh-CN" w:bidi="ar"/>
              </w:rPr>
              <w:t>》，引用与建设项目距离近的有效数据，包括所在流域控制单元内国家、地方控制断面监测数据，生态环境主管部门发布的水环境质量数据或地表水达标情况的结论，本次引用是可行的</w:t>
            </w:r>
            <w:r>
              <w:rPr>
                <w:rFonts w:hint="eastAsia" w:ascii="宋体" w:hAnsi="宋体" w:eastAsia="宋体" w:cs="宋体"/>
                <w:color w:val="000000"/>
                <w:kern w:val="0"/>
                <w:sz w:val="24"/>
                <w:lang w:eastAsia="zh-CN" w:bidi="ar"/>
              </w:rPr>
              <w:t>。</w:t>
            </w:r>
          </w:p>
          <w:p>
            <w:pPr>
              <w:spacing w:line="360" w:lineRule="auto"/>
              <w:ind w:left="480" w:leftChars="200"/>
            </w:pPr>
            <w:r>
              <w:rPr>
                <w:rFonts w:hint="eastAsia"/>
              </w:rPr>
              <w:t>3、</w:t>
            </w:r>
            <w:r>
              <w:t>声环境质量现状</w:t>
            </w:r>
          </w:p>
          <w:p>
            <w:pPr>
              <w:adjustRightInd w:val="0"/>
              <w:snapToGrid w:val="0"/>
              <w:spacing w:line="360" w:lineRule="auto"/>
              <w:ind w:firstLine="480" w:firstLineChars="200"/>
            </w:pPr>
            <w:r>
              <w:t>本项目厂界外周边50米范围内不存在声环境保护目标，因此无需进行声环境现状监测</w:t>
            </w:r>
            <w:r>
              <w:rPr>
                <w:rFonts w:hint="eastAsia"/>
              </w:rPr>
              <w:t>。</w:t>
            </w:r>
          </w:p>
          <w:p>
            <w:pPr>
              <w:adjustRightInd w:val="0"/>
              <w:snapToGrid w:val="0"/>
              <w:spacing w:line="360" w:lineRule="auto"/>
              <w:ind w:firstLine="480" w:firstLineChars="200"/>
            </w:pPr>
            <w:r>
              <w:rPr>
                <w:rFonts w:hint="eastAsia"/>
              </w:rPr>
              <w:t>4、生态环境质量现状</w:t>
            </w:r>
          </w:p>
          <w:p>
            <w:pPr>
              <w:spacing w:line="360" w:lineRule="auto"/>
              <w:ind w:firstLine="480" w:firstLineChars="200"/>
              <w:rPr>
                <w:color w:val="0000FF"/>
              </w:rPr>
            </w:pPr>
            <w:r>
              <w:t>本项目属于工业用地</w:t>
            </w:r>
            <w:r>
              <w:rPr>
                <w:rFonts w:hint="eastAsia"/>
              </w:rPr>
              <w:t>，不</w:t>
            </w:r>
            <w:r>
              <w:t>新增用地，用地范围内不含生态环境保护目标，因此无需进行生态现状调查。</w:t>
            </w:r>
          </w:p>
          <w:p>
            <w:pPr>
              <w:adjustRightInd w:val="0"/>
              <w:snapToGrid w:val="0"/>
              <w:spacing w:line="360" w:lineRule="auto"/>
              <w:ind w:firstLine="480" w:firstLineChars="200"/>
            </w:pPr>
            <w:r>
              <w:rPr>
                <w:rFonts w:hint="eastAsia"/>
              </w:rPr>
              <w:t>5、电磁辐射质量现状</w:t>
            </w:r>
          </w:p>
          <w:p>
            <w:pPr>
              <w:adjustRightInd w:val="0"/>
              <w:snapToGrid w:val="0"/>
              <w:spacing w:line="360" w:lineRule="auto"/>
              <w:ind w:firstLine="480" w:firstLineChars="200"/>
              <w:rPr>
                <w:color w:val="0000FF"/>
              </w:rPr>
            </w:pPr>
            <w:r>
              <w:t>本项目不属于电磁辐射类项目。</w:t>
            </w:r>
          </w:p>
          <w:p>
            <w:pPr>
              <w:adjustRightInd w:val="0"/>
              <w:snapToGrid w:val="0"/>
              <w:spacing w:line="360" w:lineRule="auto"/>
              <w:ind w:firstLine="480" w:firstLineChars="200"/>
            </w:pPr>
            <w:r>
              <w:rPr>
                <w:rFonts w:hint="eastAsia"/>
              </w:rPr>
              <w:t>6、地下水、土壤环境质量现状</w:t>
            </w:r>
          </w:p>
          <w:p>
            <w:pPr>
              <w:spacing w:line="360" w:lineRule="auto"/>
              <w:ind w:firstLine="480" w:firstLineChars="200"/>
            </w:pPr>
            <w:r>
              <w:rPr>
                <w:rFonts w:hint="eastAsia"/>
              </w:rPr>
              <w:t>本项目</w:t>
            </w:r>
            <w:r>
              <w:t>厂界外500米范围内无地下水集中式饮用</w:t>
            </w:r>
            <w:r>
              <w:rPr>
                <w:rFonts w:hint="eastAsia"/>
              </w:rPr>
              <w:t>水水源和热水、矿泉水、温泉等特殊地下水资源，</w:t>
            </w:r>
            <w:r>
              <w:t>无需开展</w:t>
            </w:r>
            <w:r>
              <w:rPr>
                <w:rFonts w:hint="eastAsia"/>
              </w:rPr>
              <w:t>地下水、土壤</w:t>
            </w:r>
            <w:r>
              <w:t>环境质量现状调查。</w:t>
            </w:r>
          </w:p>
          <w:p>
            <w:pPr>
              <w:spacing w:line="360" w:lineRule="auto"/>
              <w:ind w:firstLine="480" w:firstLineChars="200"/>
              <w:rPr>
                <w:rFonts w:hint="eastAsia"/>
              </w:rPr>
            </w:pPr>
          </w:p>
          <w:p>
            <w:pPr>
              <w:spacing w:line="360" w:lineRule="auto"/>
              <w:ind w:firstLine="480" w:firstLineChars="200"/>
              <w:rPr>
                <w:rFonts w:hint="eastAsia"/>
              </w:rPr>
            </w:pPr>
          </w:p>
          <w:p>
            <w:pPr>
              <w:spacing w:line="360" w:lineRule="auto"/>
              <w:ind w:firstLine="480" w:firstLineChars="200"/>
              <w:rPr>
                <w:rFonts w:hint="eastAsia"/>
              </w:rPr>
            </w:pPr>
          </w:p>
          <w:p>
            <w:pPr>
              <w:spacing w:line="360" w:lineRule="auto"/>
              <w:ind w:firstLine="480" w:firstLineChars="200"/>
              <w:rPr>
                <w:rFonts w:hint="eastAsia"/>
              </w:rPr>
            </w:pPr>
          </w:p>
          <w:p>
            <w:pPr>
              <w:spacing w:line="360" w:lineRule="auto"/>
              <w:ind w:firstLine="480" w:firstLineChars="200"/>
              <w:rPr>
                <w:rFonts w:hint="eastAsia"/>
              </w:rPr>
            </w:pPr>
          </w:p>
          <w:p>
            <w:pPr>
              <w:spacing w:line="360" w:lineRule="auto"/>
              <w:ind w:firstLine="480" w:firstLineChars="200"/>
              <w:rPr>
                <w:rFonts w:hint="eastAsia"/>
              </w:rPr>
            </w:pPr>
          </w:p>
          <w:p>
            <w:pPr>
              <w:spacing w:line="360" w:lineRule="auto"/>
              <w:ind w:firstLine="480" w:firstLineChars="200"/>
              <w:rPr>
                <w:rFonts w:hint="eastAsia"/>
              </w:rPr>
            </w:pPr>
          </w:p>
          <w:p>
            <w:pPr>
              <w:spacing w:line="360" w:lineRule="auto"/>
              <w:ind w:firstLine="480" w:firstLineChars="200"/>
              <w:rPr>
                <w:rFonts w:hint="eastAsia"/>
              </w:rPr>
            </w:pPr>
          </w:p>
          <w:p>
            <w:pPr>
              <w:spacing w:line="360" w:lineRule="auto"/>
              <w:ind w:firstLine="480" w:firstLineChars="200"/>
              <w:rPr>
                <w:rFonts w:hint="eastAsia"/>
              </w:rPr>
            </w:pPr>
          </w:p>
          <w:p>
            <w:pPr>
              <w:spacing w:line="360" w:lineRule="auto"/>
              <w:ind w:firstLine="480" w:firstLineChars="200"/>
            </w:pPr>
          </w:p>
          <w:p>
            <w:pPr>
              <w:spacing w:line="360" w:lineRule="auto"/>
              <w:ind w:firstLine="480" w:firstLineChars="200"/>
            </w:pPr>
          </w:p>
          <w:p>
            <w:pPr>
              <w:spacing w:line="360" w:lineRule="auto"/>
              <w:ind w:firstLine="480" w:firstLineChars="200"/>
            </w:pPr>
          </w:p>
          <w:p>
            <w:pPr>
              <w:spacing w:line="360" w:lineRule="auto"/>
              <w:ind w:firstLine="480" w:firstLineChars="200"/>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90" w:type="dxa"/>
            <w:vAlign w:val="center"/>
          </w:tcPr>
          <w:p>
            <w:pPr>
              <w:adjustRightInd w:val="0"/>
              <w:snapToGrid w:val="0"/>
              <w:jc w:val="center"/>
              <w:rPr>
                <w:kern w:val="0"/>
              </w:rPr>
            </w:pPr>
            <w:r>
              <w:rPr>
                <w:kern w:val="0"/>
              </w:rPr>
              <w:t>环境</w:t>
            </w:r>
          </w:p>
          <w:p>
            <w:pPr>
              <w:adjustRightInd w:val="0"/>
              <w:snapToGrid w:val="0"/>
              <w:jc w:val="center"/>
              <w:rPr>
                <w:kern w:val="0"/>
              </w:rPr>
            </w:pPr>
            <w:r>
              <w:rPr>
                <w:kern w:val="0"/>
              </w:rPr>
              <w:t>保护</w:t>
            </w:r>
          </w:p>
          <w:p>
            <w:pPr>
              <w:adjustRightInd w:val="0"/>
              <w:snapToGrid w:val="0"/>
              <w:jc w:val="center"/>
              <w:rPr>
                <w:kern w:val="0"/>
              </w:rPr>
            </w:pPr>
            <w:r>
              <w:rPr>
                <w:kern w:val="0"/>
              </w:rPr>
              <w:t>目标</w:t>
            </w:r>
          </w:p>
        </w:tc>
        <w:tc>
          <w:tcPr>
            <w:tcW w:w="8200" w:type="dxa"/>
            <w:vAlign w:val="center"/>
          </w:tcPr>
          <w:p>
            <w:pPr>
              <w:adjustRightInd w:val="0"/>
              <w:snapToGrid w:val="0"/>
              <w:spacing w:line="360" w:lineRule="auto"/>
              <w:ind w:firstLine="480" w:firstLineChars="200"/>
            </w:pPr>
            <w:r>
              <w:t>1、大气环境</w:t>
            </w:r>
          </w:p>
          <w:p>
            <w:pPr>
              <w:adjustRightInd w:val="0"/>
              <w:snapToGrid w:val="0"/>
              <w:spacing w:line="360" w:lineRule="auto"/>
              <w:ind w:firstLine="480" w:firstLineChars="200"/>
              <w:rPr>
                <w:sz w:val="21"/>
                <w:szCs w:val="21"/>
              </w:rPr>
            </w:pPr>
            <w:r>
              <w:rPr>
                <w:rFonts w:hint="eastAsia"/>
              </w:rPr>
              <w:t>本项目500m内无大气环境保护目标。</w:t>
            </w:r>
          </w:p>
          <w:p>
            <w:pPr>
              <w:adjustRightInd w:val="0"/>
              <w:snapToGrid w:val="0"/>
              <w:spacing w:line="360" w:lineRule="auto"/>
              <w:ind w:firstLine="480" w:firstLineChars="200"/>
            </w:pPr>
            <w:r>
              <w:t>2、地表水环境</w:t>
            </w:r>
          </w:p>
          <w:p>
            <w:pPr>
              <w:spacing w:line="360" w:lineRule="auto"/>
              <w:ind w:firstLine="482" w:firstLineChars="200"/>
              <w:jc w:val="center"/>
              <w:rPr>
                <w:b/>
                <w:bCs/>
              </w:rPr>
            </w:pPr>
            <w:r>
              <w:rPr>
                <w:b/>
                <w:bCs/>
              </w:rPr>
              <w:t>表3-</w:t>
            </w:r>
            <w:r>
              <w:rPr>
                <w:rFonts w:hint="eastAsia"/>
                <w:b/>
                <w:bCs/>
              </w:rPr>
              <w:t>2</w:t>
            </w:r>
            <w:r>
              <w:rPr>
                <w:b/>
                <w:bCs/>
              </w:rPr>
              <w:t xml:space="preserve">  水环境保护目标一览表</w:t>
            </w:r>
          </w:p>
          <w:tbl>
            <w:tblPr>
              <w:tblStyle w:val="24"/>
              <w:tblW w:w="7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3"/>
              <w:gridCol w:w="1466"/>
              <w:gridCol w:w="1467"/>
              <w:gridCol w:w="1467"/>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123" w:type="dxa"/>
                  <w:vAlign w:val="center"/>
                </w:tcPr>
                <w:p>
                  <w:pPr>
                    <w:jc w:val="center"/>
                    <w:rPr>
                      <w:b/>
                      <w:bCs/>
                      <w:sz w:val="21"/>
                      <w:szCs w:val="21"/>
                    </w:rPr>
                  </w:pPr>
                  <w:r>
                    <w:rPr>
                      <w:b/>
                      <w:bCs/>
                      <w:sz w:val="21"/>
                      <w:szCs w:val="21"/>
                    </w:rPr>
                    <w:t>环境要素</w:t>
                  </w:r>
                </w:p>
              </w:tc>
              <w:tc>
                <w:tcPr>
                  <w:tcW w:w="1466" w:type="dxa"/>
                  <w:vAlign w:val="center"/>
                </w:tcPr>
                <w:p>
                  <w:pPr>
                    <w:jc w:val="center"/>
                    <w:rPr>
                      <w:b/>
                      <w:bCs/>
                      <w:sz w:val="21"/>
                      <w:szCs w:val="21"/>
                    </w:rPr>
                  </w:pPr>
                  <w:r>
                    <w:rPr>
                      <w:b/>
                      <w:bCs/>
                      <w:sz w:val="21"/>
                      <w:szCs w:val="21"/>
                    </w:rPr>
                    <w:t>环境保护对象</w:t>
                  </w:r>
                </w:p>
                <w:p>
                  <w:pPr>
                    <w:jc w:val="center"/>
                    <w:rPr>
                      <w:b/>
                      <w:bCs/>
                      <w:sz w:val="21"/>
                      <w:szCs w:val="21"/>
                    </w:rPr>
                  </w:pPr>
                  <w:r>
                    <w:rPr>
                      <w:b/>
                      <w:bCs/>
                      <w:sz w:val="21"/>
                      <w:szCs w:val="21"/>
                    </w:rPr>
                    <w:t>名称</w:t>
                  </w:r>
                </w:p>
              </w:tc>
              <w:tc>
                <w:tcPr>
                  <w:tcW w:w="1467" w:type="dxa"/>
                  <w:vAlign w:val="center"/>
                </w:tcPr>
                <w:p>
                  <w:pPr>
                    <w:jc w:val="center"/>
                    <w:rPr>
                      <w:b/>
                      <w:bCs/>
                      <w:sz w:val="21"/>
                      <w:szCs w:val="21"/>
                    </w:rPr>
                  </w:pPr>
                  <w:r>
                    <w:rPr>
                      <w:b/>
                      <w:bCs/>
                      <w:sz w:val="21"/>
                      <w:szCs w:val="21"/>
                    </w:rPr>
                    <w:t>方位/距离(m)</w:t>
                  </w:r>
                </w:p>
              </w:tc>
              <w:tc>
                <w:tcPr>
                  <w:tcW w:w="1467" w:type="dxa"/>
                  <w:vAlign w:val="center"/>
                </w:tcPr>
                <w:p>
                  <w:pPr>
                    <w:jc w:val="center"/>
                    <w:rPr>
                      <w:b/>
                      <w:bCs/>
                      <w:sz w:val="21"/>
                      <w:szCs w:val="21"/>
                    </w:rPr>
                  </w:pPr>
                  <w:r>
                    <w:rPr>
                      <w:b/>
                      <w:bCs/>
                      <w:sz w:val="21"/>
                      <w:szCs w:val="21"/>
                    </w:rPr>
                    <w:t>规模</w:t>
                  </w:r>
                </w:p>
              </w:tc>
              <w:tc>
                <w:tcPr>
                  <w:tcW w:w="2441" w:type="dxa"/>
                  <w:vAlign w:val="center"/>
                </w:tcPr>
                <w:p>
                  <w:pPr>
                    <w:jc w:val="center"/>
                    <w:rPr>
                      <w:b/>
                      <w:bCs/>
                      <w:sz w:val="21"/>
                      <w:szCs w:val="21"/>
                    </w:rPr>
                  </w:pPr>
                  <w:r>
                    <w:rPr>
                      <w:b/>
                      <w:bCs/>
                      <w:sz w:val="21"/>
                      <w:szCs w:val="21"/>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123" w:type="dxa"/>
                  <w:vAlign w:val="center"/>
                </w:tcPr>
                <w:p>
                  <w:pPr>
                    <w:jc w:val="center"/>
                    <w:rPr>
                      <w:sz w:val="21"/>
                      <w:szCs w:val="21"/>
                    </w:rPr>
                  </w:pPr>
                  <w:r>
                    <w:rPr>
                      <w:sz w:val="21"/>
                      <w:szCs w:val="21"/>
                    </w:rPr>
                    <w:t>地表水</w:t>
                  </w:r>
                </w:p>
              </w:tc>
              <w:tc>
                <w:tcPr>
                  <w:tcW w:w="1466" w:type="dxa"/>
                  <w:vAlign w:val="center"/>
                </w:tcPr>
                <w:p>
                  <w:pPr>
                    <w:jc w:val="center"/>
                    <w:rPr>
                      <w:rFonts w:hint="default" w:eastAsia="宋体"/>
                      <w:sz w:val="21"/>
                      <w:szCs w:val="21"/>
                      <w:lang w:val="en-US" w:eastAsia="zh-CN"/>
                    </w:rPr>
                  </w:pPr>
                  <w:r>
                    <w:rPr>
                      <w:rFonts w:hint="eastAsia"/>
                      <w:sz w:val="21"/>
                      <w:szCs w:val="21"/>
                      <w:lang w:val="en-US" w:eastAsia="zh-CN"/>
                    </w:rPr>
                    <w:t>泗草运河</w:t>
                  </w:r>
                </w:p>
              </w:tc>
              <w:tc>
                <w:tcPr>
                  <w:tcW w:w="1467" w:type="dxa"/>
                  <w:vAlign w:val="center"/>
                </w:tcPr>
                <w:p>
                  <w:pPr>
                    <w:jc w:val="center"/>
                    <w:rPr>
                      <w:rFonts w:hint="default" w:eastAsia="宋体"/>
                      <w:sz w:val="21"/>
                      <w:szCs w:val="21"/>
                      <w:lang w:val="en-US" w:eastAsia="zh-CN"/>
                    </w:rPr>
                  </w:pPr>
                  <w:r>
                    <w:rPr>
                      <w:sz w:val="21"/>
                      <w:szCs w:val="21"/>
                    </w:rPr>
                    <w:t>西</w:t>
                  </w:r>
                  <w:r>
                    <w:rPr>
                      <w:rFonts w:hint="eastAsia"/>
                      <w:sz w:val="21"/>
                      <w:szCs w:val="21"/>
                      <w:lang w:val="en-US" w:eastAsia="zh-CN"/>
                    </w:rPr>
                    <w:t>北</w:t>
                  </w:r>
                  <w:r>
                    <w:rPr>
                      <w:sz w:val="21"/>
                      <w:szCs w:val="21"/>
                    </w:rPr>
                    <w:t>/</w:t>
                  </w:r>
                  <w:r>
                    <w:rPr>
                      <w:rFonts w:hint="eastAsia"/>
                      <w:sz w:val="21"/>
                      <w:szCs w:val="21"/>
                      <w:lang w:val="en-US" w:eastAsia="zh-CN"/>
                    </w:rPr>
                    <w:t>260</w:t>
                  </w:r>
                </w:p>
              </w:tc>
              <w:tc>
                <w:tcPr>
                  <w:tcW w:w="1467" w:type="dxa"/>
                  <w:vAlign w:val="center"/>
                </w:tcPr>
                <w:p>
                  <w:pPr>
                    <w:jc w:val="center"/>
                    <w:rPr>
                      <w:sz w:val="21"/>
                      <w:szCs w:val="21"/>
                    </w:rPr>
                  </w:pPr>
                  <w:r>
                    <w:rPr>
                      <w:sz w:val="21"/>
                      <w:szCs w:val="21"/>
                    </w:rPr>
                    <w:t>小河</w:t>
                  </w:r>
                </w:p>
              </w:tc>
              <w:tc>
                <w:tcPr>
                  <w:tcW w:w="2441" w:type="dxa"/>
                  <w:vAlign w:val="center"/>
                </w:tcPr>
                <w:p>
                  <w:pPr>
                    <w:jc w:val="center"/>
                    <w:rPr>
                      <w:sz w:val="21"/>
                      <w:szCs w:val="21"/>
                    </w:rPr>
                  </w:pPr>
                  <w:r>
                    <w:rPr>
                      <w:sz w:val="21"/>
                      <w:szCs w:val="21"/>
                    </w:rPr>
                    <w:t>《地表水环境质量标准》（GB3838-2002）</w:t>
                  </w:r>
                  <w:r>
                    <w:rPr>
                      <w:rFonts w:hint="default" w:ascii="Times New Roman" w:hAnsi="Times New Roman" w:cs="Times New Roman"/>
                      <w:sz w:val="21"/>
                      <w:szCs w:val="21"/>
                    </w:rPr>
                    <w:t>Ⅳ</w:t>
                  </w:r>
                  <w:r>
                    <w:rPr>
                      <w:sz w:val="21"/>
                      <w:szCs w:val="21"/>
                    </w:rPr>
                    <w:t>类</w:t>
                  </w:r>
                </w:p>
              </w:tc>
            </w:tr>
          </w:tbl>
          <w:p>
            <w:pPr>
              <w:adjustRightInd w:val="0"/>
              <w:snapToGrid w:val="0"/>
              <w:spacing w:line="360" w:lineRule="auto"/>
              <w:ind w:firstLine="480" w:firstLineChars="200"/>
              <w:jc w:val="left"/>
            </w:pPr>
            <w:r>
              <w:rPr>
                <w:rFonts w:hint="eastAsia"/>
              </w:rPr>
              <w:t>3、声环境</w:t>
            </w:r>
          </w:p>
          <w:p>
            <w:pPr>
              <w:snapToGrid w:val="0"/>
              <w:spacing w:line="360" w:lineRule="auto"/>
              <w:ind w:firstLine="482"/>
              <w:jc w:val="left"/>
            </w:pPr>
            <w:r>
              <w:rPr>
                <w:rFonts w:hint="eastAsia"/>
              </w:rPr>
              <w:t>项目50m范围内无声环境保护目标。</w:t>
            </w:r>
          </w:p>
          <w:p>
            <w:pPr>
              <w:adjustRightInd w:val="0"/>
              <w:snapToGrid w:val="0"/>
              <w:spacing w:line="360" w:lineRule="auto"/>
              <w:ind w:left="480" w:leftChars="200"/>
              <w:jc w:val="left"/>
            </w:pPr>
            <w:r>
              <w:rPr>
                <w:rFonts w:hint="eastAsia"/>
              </w:rPr>
              <w:t>4、</w:t>
            </w:r>
            <w:r>
              <w:t>地下水环境</w:t>
            </w:r>
          </w:p>
          <w:p>
            <w:pPr>
              <w:adjustRightInd w:val="0"/>
              <w:snapToGrid w:val="0"/>
              <w:spacing w:line="360" w:lineRule="auto"/>
              <w:ind w:firstLine="480" w:firstLineChars="200"/>
              <w:jc w:val="left"/>
            </w:pPr>
            <w:r>
              <w:t>本项目厂界外500米范围内无地下水集中式饮用水水源和热水、矿泉</w:t>
            </w:r>
            <w:r>
              <w:rPr>
                <w:rFonts w:hint="eastAsia"/>
              </w:rPr>
              <w:t>水、温泉等特殊地下水资源。</w:t>
            </w:r>
          </w:p>
          <w:p>
            <w:pPr>
              <w:adjustRightInd w:val="0"/>
              <w:snapToGrid w:val="0"/>
              <w:spacing w:line="360" w:lineRule="auto"/>
              <w:ind w:firstLine="480" w:firstLineChars="200"/>
              <w:jc w:val="left"/>
            </w:pPr>
            <w:r>
              <w:t>5、生态环境</w:t>
            </w:r>
          </w:p>
          <w:p>
            <w:pPr>
              <w:adjustRightInd w:val="0"/>
              <w:snapToGrid w:val="0"/>
              <w:spacing w:line="360" w:lineRule="auto"/>
              <w:ind w:firstLine="480" w:firstLineChars="200"/>
              <w:jc w:val="left"/>
            </w:pPr>
            <w:r>
              <w:rPr>
                <w:rFonts w:hint="eastAsia"/>
                <w:color w:val="auto"/>
              </w:rPr>
              <w:t>本</w:t>
            </w:r>
            <w:r>
              <w:rPr>
                <w:color w:val="auto"/>
              </w:rPr>
              <w:t>项目属于</w:t>
            </w:r>
            <w:r>
              <w:rPr>
                <w:rStyle w:val="29"/>
                <w:rFonts w:hint="eastAsia"/>
                <w:color w:val="auto"/>
                <w:kern w:val="0"/>
                <w:sz w:val="24"/>
                <w:szCs w:val="22"/>
                <w:lang w:val="en-US" w:eastAsia="zh-CN"/>
              </w:rPr>
              <w:t>园区外建设项目，</w:t>
            </w:r>
            <w:r>
              <w:rPr>
                <w:rFonts w:hint="eastAsia" w:ascii="宋体" w:hAnsi="宋体" w:eastAsia="宋体" w:cs="宋体"/>
                <w:color w:val="auto"/>
                <w:kern w:val="0"/>
                <w:sz w:val="24"/>
                <w:szCs w:val="24"/>
                <w:lang w:val="en-US" w:eastAsia="zh-CN" w:bidi="ar"/>
              </w:rPr>
              <w:t>项目为新建项目，依托现有生产厂房和工业用地，不涉及新增用地，且用地范围内不含生态环境保护目标。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90" w:type="dxa"/>
            <w:tcMar>
              <w:left w:w="28" w:type="dxa"/>
              <w:right w:w="28" w:type="dxa"/>
            </w:tcMar>
            <w:vAlign w:val="center"/>
          </w:tcPr>
          <w:p>
            <w:pPr>
              <w:adjustRightInd w:val="0"/>
              <w:snapToGrid w:val="0"/>
              <w:jc w:val="center"/>
              <w:rPr>
                <w:kern w:val="0"/>
              </w:rPr>
            </w:pPr>
            <w:r>
              <w:rPr>
                <w:kern w:val="0"/>
              </w:rPr>
              <w:t>污染</w:t>
            </w:r>
          </w:p>
          <w:p>
            <w:pPr>
              <w:adjustRightInd w:val="0"/>
              <w:snapToGrid w:val="0"/>
              <w:jc w:val="center"/>
              <w:rPr>
                <w:kern w:val="0"/>
              </w:rPr>
            </w:pPr>
            <w:r>
              <w:rPr>
                <w:kern w:val="0"/>
              </w:rPr>
              <w:t>物排</w:t>
            </w:r>
          </w:p>
          <w:p>
            <w:pPr>
              <w:adjustRightInd w:val="0"/>
              <w:snapToGrid w:val="0"/>
              <w:jc w:val="center"/>
              <w:rPr>
                <w:kern w:val="0"/>
              </w:rPr>
            </w:pPr>
            <w:r>
              <w:rPr>
                <w:kern w:val="0"/>
              </w:rPr>
              <w:t>放控</w:t>
            </w:r>
          </w:p>
          <w:p>
            <w:pPr>
              <w:adjustRightInd w:val="0"/>
              <w:snapToGrid w:val="0"/>
              <w:jc w:val="center"/>
              <w:rPr>
                <w:kern w:val="0"/>
              </w:rPr>
            </w:pPr>
            <w:r>
              <w:rPr>
                <w:kern w:val="0"/>
              </w:rPr>
              <w:t>制标</w:t>
            </w:r>
          </w:p>
          <w:p>
            <w:pPr>
              <w:adjustRightInd w:val="0"/>
              <w:snapToGrid w:val="0"/>
              <w:jc w:val="center"/>
              <w:rPr>
                <w:kern w:val="0"/>
              </w:rPr>
            </w:pPr>
            <w:r>
              <w:rPr>
                <w:kern w:val="0"/>
              </w:rPr>
              <w:t>准</w:t>
            </w:r>
          </w:p>
        </w:tc>
        <w:tc>
          <w:tcPr>
            <w:tcW w:w="8200" w:type="dxa"/>
            <w:vAlign w:val="center"/>
          </w:tcPr>
          <w:p>
            <w:pPr>
              <w:tabs>
                <w:tab w:val="left" w:pos="402"/>
              </w:tabs>
              <w:spacing w:line="360" w:lineRule="auto"/>
              <w:ind w:firstLine="482" w:firstLineChars="200"/>
              <w:outlineLvl w:val="0"/>
            </w:pPr>
            <w:r>
              <w:rPr>
                <w:b/>
                <w:bCs/>
              </w:rPr>
              <w:t>一、大气污染物排放标准</w:t>
            </w:r>
          </w:p>
          <w:p>
            <w:pPr>
              <w:spacing w:line="360" w:lineRule="auto"/>
              <w:ind w:firstLine="480" w:firstLineChars="200"/>
              <w:jc w:val="left"/>
              <w:rPr>
                <w:b/>
                <w:bCs/>
              </w:rPr>
            </w:pPr>
            <w:r>
              <w:rPr>
                <w:color w:val="auto"/>
                <w:lang w:bidi="ar"/>
              </w:rPr>
              <w:t>本项目生产过程中产生的</w:t>
            </w:r>
            <w:r>
              <w:rPr>
                <w:rFonts w:hint="eastAsia"/>
                <w:color w:val="auto"/>
                <w:lang w:bidi="ar"/>
              </w:rPr>
              <w:t>颗粒物</w:t>
            </w:r>
            <w:r>
              <w:rPr>
                <w:color w:val="auto"/>
                <w:lang w:bidi="ar"/>
              </w:rPr>
              <w:t>排放</w:t>
            </w:r>
            <w:r>
              <w:rPr>
                <w:rFonts w:hint="eastAsia"/>
                <w:color w:val="auto"/>
                <w:lang w:bidi="ar"/>
              </w:rPr>
              <w:t>执行安徽省地方标准《水泥工业大气污染物排放标准》（DB34/3576-2020）表1中排放标准及表2无组织限值要求</w:t>
            </w:r>
            <w:r>
              <w:rPr>
                <w:color w:val="auto"/>
                <w:lang w:bidi="ar"/>
              </w:rPr>
              <w:t>。具体标准值如</w:t>
            </w:r>
            <w:r>
              <w:rPr>
                <w:lang w:bidi="ar"/>
              </w:rPr>
              <w:t>下表：</w:t>
            </w:r>
          </w:p>
          <w:p>
            <w:pPr>
              <w:spacing w:line="360" w:lineRule="auto"/>
              <w:jc w:val="center"/>
              <w:rPr>
                <w:b/>
                <w:bCs/>
              </w:rPr>
            </w:pPr>
            <w:r>
              <w:rPr>
                <w:b/>
                <w:bCs/>
              </w:rPr>
              <w:t>表</w:t>
            </w:r>
            <w:r>
              <w:rPr>
                <w:rFonts w:hint="eastAsia"/>
                <w:b/>
                <w:bCs/>
              </w:rPr>
              <w:t>3</w:t>
            </w:r>
            <w:r>
              <w:rPr>
                <w:b/>
                <w:bCs/>
              </w:rPr>
              <w:t>-</w:t>
            </w:r>
            <w:r>
              <w:rPr>
                <w:rFonts w:hint="eastAsia"/>
                <w:b/>
                <w:bCs/>
              </w:rPr>
              <w:t xml:space="preserve">3  </w:t>
            </w:r>
            <w:r>
              <w:rPr>
                <w:b/>
                <w:bCs/>
              </w:rPr>
              <w:t>大气污染物排放限值</w:t>
            </w:r>
          </w:p>
          <w:tbl>
            <w:tblPr>
              <w:tblStyle w:val="25"/>
              <w:tblW w:w="7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2206"/>
              <w:gridCol w:w="1388"/>
              <w:gridCol w:w="1327"/>
              <w:gridCol w:w="2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39"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污染物</w:t>
                  </w:r>
                </w:p>
              </w:tc>
              <w:tc>
                <w:tcPr>
                  <w:tcW w:w="22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大气污染物排放限值</w:t>
                  </w:r>
                </w:p>
              </w:tc>
              <w:tc>
                <w:tcPr>
                  <w:tcW w:w="271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无组织排放监控浓度限值</w:t>
                  </w:r>
                </w:p>
              </w:tc>
              <w:tc>
                <w:tcPr>
                  <w:tcW w:w="2098"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43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 w:val="21"/>
                      <w:szCs w:val="21"/>
                      <w:vertAlign w:val="baseline"/>
                    </w:rPr>
                  </w:pPr>
                </w:p>
              </w:tc>
              <w:tc>
                <w:tcPr>
                  <w:tcW w:w="22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bCs/>
                      <w:color w:val="auto"/>
                      <w:sz w:val="21"/>
                      <w:szCs w:val="21"/>
                      <w:vertAlign w:val="baseline"/>
                      <w:lang w:val="en-US" w:eastAsia="zh-CN"/>
                    </w:rPr>
                  </w:pPr>
                  <w:r>
                    <w:rPr>
                      <w:rFonts w:hint="eastAsia"/>
                      <w:b/>
                      <w:bCs/>
                      <w:color w:val="auto"/>
                      <w:sz w:val="21"/>
                      <w:szCs w:val="21"/>
                      <w:vertAlign w:val="baseline"/>
                      <w:lang w:val="en-US" w:eastAsia="zh-CN"/>
                    </w:rPr>
                    <w:t>最高允许排放浓度（mg/m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c>
                <w:tcPr>
                  <w:tcW w:w="13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监控点</w:t>
                  </w:r>
                </w:p>
              </w:tc>
              <w:tc>
                <w:tcPr>
                  <w:tcW w:w="13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bCs/>
                      <w:color w:val="auto"/>
                      <w:sz w:val="21"/>
                      <w:szCs w:val="21"/>
                      <w:vertAlign w:val="baseline"/>
                      <w:lang w:val="en-US" w:eastAsia="zh-CN"/>
                    </w:rPr>
                  </w:pPr>
                  <w:r>
                    <w:rPr>
                      <w:rFonts w:hint="eastAsia"/>
                      <w:b/>
                      <w:bCs/>
                      <w:color w:val="auto"/>
                      <w:sz w:val="21"/>
                      <w:szCs w:val="21"/>
                      <w:vertAlign w:val="baseline"/>
                      <w:lang w:val="en-US" w:eastAsia="zh-CN"/>
                    </w:rPr>
                    <w:t>浓度（mg/m</w:t>
                  </w:r>
                  <w:r>
                    <w:rPr>
                      <w:rFonts w:hint="eastAsia"/>
                      <w:b/>
                      <w:bCs/>
                      <w:color w:val="auto"/>
                      <w:sz w:val="21"/>
                      <w:szCs w:val="21"/>
                      <w:vertAlign w:val="superscript"/>
                      <w:lang w:val="en-US" w:eastAsia="zh-CN"/>
                    </w:rPr>
                    <w:t>3</w:t>
                  </w:r>
                  <w:r>
                    <w:rPr>
                      <w:rFonts w:hint="eastAsia"/>
                      <w:b/>
                      <w:bCs/>
                      <w:color w:val="auto"/>
                      <w:sz w:val="21"/>
                      <w:szCs w:val="21"/>
                      <w:vertAlign w:val="baseline"/>
                      <w:lang w:val="en-US" w:eastAsia="zh-CN"/>
                    </w:rPr>
                    <w:t>）</w:t>
                  </w:r>
                </w:p>
              </w:tc>
              <w:tc>
                <w:tcPr>
                  <w:tcW w:w="209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bCs/>
                      <w:color w:val="auto"/>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39"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颗粒物</w:t>
                  </w:r>
                </w:p>
              </w:tc>
              <w:tc>
                <w:tcPr>
                  <w:tcW w:w="2206"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10</w:t>
                  </w:r>
                </w:p>
              </w:tc>
              <w:tc>
                <w:tcPr>
                  <w:tcW w:w="138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厂界外浓度最高点</w:t>
                  </w:r>
                </w:p>
              </w:tc>
              <w:tc>
                <w:tcPr>
                  <w:tcW w:w="132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eastAsia="宋体"/>
                      <w:b w:val="0"/>
                      <w:bCs w:val="0"/>
                      <w:color w:val="auto"/>
                      <w:sz w:val="21"/>
                      <w:szCs w:val="21"/>
                      <w:vertAlign w:val="baseline"/>
                      <w:lang w:val="en-US" w:eastAsia="zh-CN"/>
                    </w:rPr>
                  </w:pPr>
                  <w:r>
                    <w:rPr>
                      <w:rFonts w:hint="eastAsia"/>
                      <w:b w:val="0"/>
                      <w:bCs w:val="0"/>
                      <w:color w:val="auto"/>
                      <w:sz w:val="21"/>
                      <w:szCs w:val="21"/>
                      <w:vertAlign w:val="baseline"/>
                      <w:lang w:val="en-US" w:eastAsia="zh-CN"/>
                    </w:rPr>
                    <w:t>0.5</w:t>
                  </w:r>
                </w:p>
              </w:tc>
              <w:tc>
                <w:tcPr>
                  <w:tcW w:w="209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b w:val="0"/>
                      <w:bCs w:val="0"/>
                      <w:color w:val="auto"/>
                      <w:sz w:val="21"/>
                      <w:szCs w:val="21"/>
                      <w:vertAlign w:val="baseline"/>
                    </w:rPr>
                  </w:pPr>
                  <w:r>
                    <w:rPr>
                      <w:rFonts w:hint="eastAsia"/>
                      <w:b w:val="0"/>
                      <w:bCs w:val="0"/>
                      <w:color w:val="auto"/>
                      <w:sz w:val="21"/>
                      <w:szCs w:val="21"/>
                    </w:rPr>
                    <w:t>《水泥工业大气污染物排放标准》（DB34/3576-2020）</w:t>
                  </w:r>
                </w:p>
              </w:tc>
            </w:tr>
          </w:tbl>
          <w:p>
            <w:pPr>
              <w:spacing w:line="360" w:lineRule="auto"/>
              <w:ind w:firstLine="482" w:firstLineChars="200"/>
              <w:rPr>
                <w:b/>
                <w:bCs/>
              </w:rPr>
            </w:pPr>
            <w:r>
              <w:rPr>
                <w:rFonts w:ascii="宋体" w:hAnsi="宋体" w:cs="宋体"/>
                <w:b/>
                <w:bCs/>
              </w:rPr>
              <w:t>二</w:t>
            </w:r>
            <w:r>
              <w:rPr>
                <w:b/>
                <w:bCs/>
              </w:rPr>
              <w:t>、废水排放标准</w:t>
            </w:r>
          </w:p>
          <w:p>
            <w:pPr>
              <w:spacing w:line="360" w:lineRule="auto"/>
              <w:ind w:firstLine="480" w:firstLineChars="200"/>
              <w:rPr>
                <w:rFonts w:ascii="宋体" w:hAnsi="宋体" w:cs="宋体"/>
              </w:rPr>
            </w:pPr>
            <w:r>
              <w:rPr>
                <w:rFonts w:hint="eastAsia" w:ascii="宋体" w:hAnsi="宋体" w:cs="宋体"/>
              </w:rPr>
              <w:t>项目生活污水经隔油池+化粪池处理后定期清掏不外排，设备及地面清洗废水经沉淀池处理后回用。项目无废水外排。</w:t>
            </w:r>
          </w:p>
          <w:p>
            <w:pPr>
              <w:spacing w:line="360" w:lineRule="auto"/>
              <w:ind w:firstLine="482" w:firstLineChars="200"/>
              <w:rPr>
                <w:b/>
                <w:bCs/>
              </w:rPr>
            </w:pPr>
            <w:r>
              <w:rPr>
                <w:rFonts w:ascii="宋体" w:hAnsi="宋体" w:cs="宋体"/>
                <w:b/>
                <w:bCs/>
              </w:rPr>
              <w:t>三</w:t>
            </w:r>
            <w:r>
              <w:rPr>
                <w:rFonts w:hint="eastAsia" w:ascii="宋体" w:hAnsi="宋体" w:cs="宋体"/>
                <w:b/>
                <w:bCs/>
              </w:rPr>
              <w:t>、</w:t>
            </w:r>
            <w:r>
              <w:rPr>
                <w:b/>
                <w:bCs/>
              </w:rPr>
              <w:t>噪声排放标准</w:t>
            </w:r>
          </w:p>
          <w:p>
            <w:pPr>
              <w:spacing w:line="360" w:lineRule="auto"/>
              <w:ind w:firstLine="480" w:firstLineChars="200"/>
              <w:rPr>
                <w:b/>
                <w:bCs/>
                <w:color w:val="000000"/>
              </w:rPr>
            </w:pPr>
            <w:r>
              <w:rPr>
                <w:rFonts w:hint="eastAsia"/>
                <w:color w:val="000000"/>
                <w:lang w:bidi="ar"/>
              </w:rPr>
              <w:t>本</w:t>
            </w:r>
            <w:r>
              <w:rPr>
                <w:color w:val="000000"/>
                <w:lang w:bidi="ar"/>
              </w:rPr>
              <w:t>项目</w:t>
            </w:r>
            <w:r>
              <w:rPr>
                <w:rFonts w:ascii="宋体" w:hAnsi="宋体" w:cs="宋体"/>
              </w:rPr>
              <w:t>施工期</w:t>
            </w:r>
            <w:r>
              <w:rPr>
                <w:color w:val="000000"/>
              </w:rPr>
              <w:t>厂界噪声</w:t>
            </w:r>
            <w:r>
              <w:rPr>
                <w:rFonts w:ascii="宋体" w:hAnsi="宋体" w:cs="宋体"/>
              </w:rPr>
              <w:t>执行</w:t>
            </w:r>
            <w:r>
              <w:rPr>
                <w:color w:val="000000"/>
              </w:rPr>
              <w:t>《建筑施工场界环境噪声排放标准》（GB12523-2011）中相关标准限值</w:t>
            </w:r>
            <w:r>
              <w:rPr>
                <w:rFonts w:hint="eastAsia"/>
                <w:color w:val="000000"/>
              </w:rPr>
              <w:t>，</w:t>
            </w:r>
            <w:r>
              <w:rPr>
                <w:color w:val="000000"/>
              </w:rPr>
              <w:t>运营期厂界噪声执行《工业企业厂界环境噪声排放标准》（GB12348-2008）中</w:t>
            </w:r>
            <w:r>
              <w:rPr>
                <w:rFonts w:hint="eastAsia"/>
                <w:color w:val="000000"/>
                <w:lang w:val="en-US" w:eastAsia="zh-CN"/>
              </w:rPr>
              <w:t>3</w:t>
            </w:r>
            <w:r>
              <w:rPr>
                <w:color w:val="000000"/>
              </w:rPr>
              <w:t>类标准要求，具体标准值如下表：</w:t>
            </w:r>
          </w:p>
          <w:p>
            <w:pPr>
              <w:tabs>
                <w:tab w:val="left" w:pos="402"/>
              </w:tabs>
              <w:spacing w:line="360" w:lineRule="auto"/>
              <w:jc w:val="center"/>
              <w:outlineLvl w:val="0"/>
              <w:rPr>
                <w:b/>
                <w:bCs/>
              </w:rPr>
            </w:pPr>
            <w:r>
              <w:rPr>
                <w:b/>
                <w:bCs/>
              </w:rPr>
              <w:t>表</w:t>
            </w:r>
            <w:r>
              <w:rPr>
                <w:rFonts w:hint="eastAsia"/>
                <w:b/>
                <w:bCs/>
              </w:rPr>
              <w:t>3-</w:t>
            </w:r>
            <w:r>
              <w:rPr>
                <w:rFonts w:hint="eastAsia"/>
                <w:b/>
                <w:bCs/>
                <w:lang w:val="en-US" w:eastAsia="zh-CN"/>
              </w:rPr>
              <w:t>4</w:t>
            </w:r>
            <w:r>
              <w:rPr>
                <w:b/>
                <w:bCs/>
              </w:rPr>
              <w:t xml:space="preserve">  噪声排放标准限值</w:t>
            </w:r>
            <w:r>
              <w:rPr>
                <w:rFonts w:hint="eastAsia"/>
                <w:b/>
                <w:bCs/>
              </w:rPr>
              <w:t xml:space="preserve">  </w:t>
            </w:r>
            <w:r>
              <w:rPr>
                <w:b/>
                <w:bCs/>
              </w:rPr>
              <w:t>单位：dB（A）</w:t>
            </w:r>
          </w:p>
          <w:tbl>
            <w:tblPr>
              <w:tblStyle w:val="25"/>
              <w:tblW w:w="7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139"/>
              <w:gridCol w:w="1140"/>
              <w:gridCol w:w="3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522" w:type="dxa"/>
                  <w:vAlign w:val="center"/>
                </w:tcPr>
                <w:p>
                  <w:pPr>
                    <w:jc w:val="center"/>
                    <w:rPr>
                      <w:b/>
                      <w:bCs/>
                      <w:sz w:val="21"/>
                      <w:szCs w:val="21"/>
                    </w:rPr>
                  </w:pPr>
                  <w:r>
                    <w:rPr>
                      <w:b/>
                      <w:bCs/>
                      <w:sz w:val="21"/>
                      <w:szCs w:val="21"/>
                    </w:rPr>
                    <w:t>类别</w:t>
                  </w:r>
                </w:p>
              </w:tc>
              <w:tc>
                <w:tcPr>
                  <w:tcW w:w="1139" w:type="dxa"/>
                  <w:vAlign w:val="center"/>
                </w:tcPr>
                <w:p>
                  <w:pPr>
                    <w:jc w:val="center"/>
                    <w:rPr>
                      <w:b/>
                      <w:bCs/>
                      <w:sz w:val="21"/>
                      <w:szCs w:val="21"/>
                    </w:rPr>
                  </w:pPr>
                  <w:r>
                    <w:rPr>
                      <w:b/>
                      <w:bCs/>
                      <w:sz w:val="21"/>
                      <w:szCs w:val="21"/>
                    </w:rPr>
                    <w:t>标准限值</w:t>
                  </w:r>
                </w:p>
              </w:tc>
              <w:tc>
                <w:tcPr>
                  <w:tcW w:w="1140" w:type="dxa"/>
                  <w:vAlign w:val="center"/>
                </w:tcPr>
                <w:p>
                  <w:pPr>
                    <w:jc w:val="center"/>
                    <w:rPr>
                      <w:b/>
                      <w:bCs/>
                      <w:sz w:val="21"/>
                      <w:szCs w:val="21"/>
                    </w:rPr>
                  </w:pPr>
                  <w:r>
                    <w:rPr>
                      <w:b/>
                      <w:bCs/>
                      <w:sz w:val="21"/>
                      <w:szCs w:val="21"/>
                    </w:rPr>
                    <w:t>单位</w:t>
                  </w:r>
                </w:p>
              </w:tc>
              <w:tc>
                <w:tcPr>
                  <w:tcW w:w="3819" w:type="dxa"/>
                  <w:vAlign w:val="center"/>
                </w:tcPr>
                <w:p>
                  <w:pPr>
                    <w:jc w:val="center"/>
                    <w:rPr>
                      <w:b/>
                      <w:bCs/>
                      <w:sz w:val="21"/>
                      <w:szCs w:val="21"/>
                    </w:rPr>
                  </w:pPr>
                  <w:r>
                    <w:rPr>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522" w:type="dxa"/>
                  <w:vAlign w:val="center"/>
                </w:tcPr>
                <w:p>
                  <w:pPr>
                    <w:jc w:val="center"/>
                    <w:rPr>
                      <w:sz w:val="21"/>
                      <w:szCs w:val="21"/>
                    </w:rPr>
                  </w:pPr>
                  <w:r>
                    <w:rPr>
                      <w:sz w:val="21"/>
                      <w:szCs w:val="21"/>
                    </w:rPr>
                    <w:t>昼间</w:t>
                  </w:r>
                </w:p>
              </w:tc>
              <w:tc>
                <w:tcPr>
                  <w:tcW w:w="1139" w:type="dxa"/>
                  <w:vAlign w:val="center"/>
                </w:tcPr>
                <w:p>
                  <w:pPr>
                    <w:jc w:val="center"/>
                    <w:rPr>
                      <w:sz w:val="21"/>
                      <w:szCs w:val="21"/>
                    </w:rPr>
                  </w:pPr>
                  <w:r>
                    <w:rPr>
                      <w:sz w:val="21"/>
                      <w:szCs w:val="21"/>
                    </w:rPr>
                    <w:t>70</w:t>
                  </w:r>
                </w:p>
              </w:tc>
              <w:tc>
                <w:tcPr>
                  <w:tcW w:w="1140" w:type="dxa"/>
                  <w:vMerge w:val="restart"/>
                  <w:vAlign w:val="center"/>
                </w:tcPr>
                <w:p>
                  <w:pPr>
                    <w:jc w:val="center"/>
                    <w:rPr>
                      <w:sz w:val="21"/>
                      <w:szCs w:val="21"/>
                    </w:rPr>
                  </w:pPr>
                  <w:r>
                    <w:rPr>
                      <w:sz w:val="21"/>
                      <w:szCs w:val="21"/>
                    </w:rPr>
                    <w:t>dB（A）</w:t>
                  </w:r>
                </w:p>
              </w:tc>
              <w:tc>
                <w:tcPr>
                  <w:tcW w:w="3819" w:type="dxa"/>
                  <w:vMerge w:val="restart"/>
                  <w:vAlign w:val="center"/>
                </w:tcPr>
                <w:p>
                  <w:pPr>
                    <w:jc w:val="center"/>
                    <w:rPr>
                      <w:sz w:val="21"/>
                      <w:szCs w:val="21"/>
                    </w:rPr>
                  </w:pPr>
                  <w:r>
                    <w:rPr>
                      <w:sz w:val="21"/>
                      <w:szCs w:val="21"/>
                    </w:rPr>
                    <w:t>《建筑施工场界环境噪声排放标准》（GB12523-2011）中相关标准限值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22" w:type="dxa"/>
                  <w:vAlign w:val="center"/>
                </w:tcPr>
                <w:p>
                  <w:pPr>
                    <w:jc w:val="center"/>
                    <w:rPr>
                      <w:sz w:val="21"/>
                      <w:szCs w:val="21"/>
                    </w:rPr>
                  </w:pPr>
                  <w:r>
                    <w:rPr>
                      <w:sz w:val="21"/>
                      <w:szCs w:val="21"/>
                    </w:rPr>
                    <w:t>夜间</w:t>
                  </w:r>
                </w:p>
              </w:tc>
              <w:tc>
                <w:tcPr>
                  <w:tcW w:w="1139" w:type="dxa"/>
                  <w:vAlign w:val="center"/>
                </w:tcPr>
                <w:p>
                  <w:pPr>
                    <w:jc w:val="center"/>
                    <w:rPr>
                      <w:sz w:val="21"/>
                      <w:szCs w:val="21"/>
                    </w:rPr>
                  </w:pPr>
                  <w:r>
                    <w:rPr>
                      <w:sz w:val="21"/>
                      <w:szCs w:val="21"/>
                    </w:rPr>
                    <w:t>55</w:t>
                  </w:r>
                </w:p>
              </w:tc>
              <w:tc>
                <w:tcPr>
                  <w:tcW w:w="1140" w:type="dxa"/>
                  <w:vMerge w:val="continue"/>
                  <w:vAlign w:val="center"/>
                </w:tcPr>
                <w:p>
                  <w:pPr>
                    <w:jc w:val="center"/>
                    <w:rPr>
                      <w:sz w:val="21"/>
                      <w:szCs w:val="21"/>
                    </w:rPr>
                  </w:pPr>
                </w:p>
              </w:tc>
              <w:tc>
                <w:tcPr>
                  <w:tcW w:w="3819"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22" w:type="dxa"/>
                  <w:vAlign w:val="center"/>
                </w:tcPr>
                <w:p>
                  <w:pPr>
                    <w:jc w:val="center"/>
                    <w:rPr>
                      <w:sz w:val="21"/>
                      <w:szCs w:val="21"/>
                    </w:rPr>
                  </w:pPr>
                  <w:r>
                    <w:rPr>
                      <w:sz w:val="21"/>
                      <w:szCs w:val="21"/>
                    </w:rPr>
                    <w:t>昼间</w:t>
                  </w:r>
                </w:p>
              </w:tc>
              <w:tc>
                <w:tcPr>
                  <w:tcW w:w="1139" w:type="dxa"/>
                  <w:vAlign w:val="center"/>
                </w:tcPr>
                <w:p>
                  <w:pPr>
                    <w:jc w:val="center"/>
                    <w:rPr>
                      <w:rFonts w:hint="default" w:eastAsia="宋体"/>
                      <w:sz w:val="21"/>
                      <w:szCs w:val="21"/>
                      <w:lang w:val="en-US" w:eastAsia="zh-CN"/>
                    </w:rPr>
                  </w:pPr>
                  <w:r>
                    <w:rPr>
                      <w:rFonts w:hint="eastAsia"/>
                      <w:sz w:val="21"/>
                      <w:szCs w:val="21"/>
                      <w:lang w:val="en-US" w:eastAsia="zh-CN"/>
                    </w:rPr>
                    <w:t>65</w:t>
                  </w:r>
                </w:p>
              </w:tc>
              <w:tc>
                <w:tcPr>
                  <w:tcW w:w="1140" w:type="dxa"/>
                  <w:vMerge w:val="continue"/>
                  <w:vAlign w:val="center"/>
                </w:tcPr>
                <w:p>
                  <w:pPr>
                    <w:jc w:val="center"/>
                    <w:rPr>
                      <w:sz w:val="21"/>
                      <w:szCs w:val="21"/>
                    </w:rPr>
                  </w:pPr>
                </w:p>
              </w:tc>
              <w:tc>
                <w:tcPr>
                  <w:tcW w:w="3819" w:type="dxa"/>
                  <w:vMerge w:val="restart"/>
                  <w:vAlign w:val="center"/>
                </w:tcPr>
                <w:p>
                  <w:pPr>
                    <w:jc w:val="center"/>
                    <w:rPr>
                      <w:sz w:val="21"/>
                      <w:szCs w:val="21"/>
                    </w:rPr>
                  </w:pPr>
                  <w:r>
                    <w:rPr>
                      <w:sz w:val="21"/>
                      <w:szCs w:val="21"/>
                    </w:rPr>
                    <w:t>《工业企业厂界环境噪声排放标准》（GB12348-2008）中</w:t>
                  </w:r>
                  <w:r>
                    <w:rPr>
                      <w:rFonts w:hint="eastAsia"/>
                      <w:sz w:val="21"/>
                      <w:szCs w:val="21"/>
                      <w:lang w:val="en-US" w:eastAsia="zh-CN"/>
                    </w:rPr>
                    <w:t>3</w:t>
                  </w:r>
                  <w:r>
                    <w:rPr>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522" w:type="dxa"/>
                  <w:vAlign w:val="center"/>
                </w:tcPr>
                <w:p>
                  <w:pPr>
                    <w:jc w:val="center"/>
                    <w:rPr>
                      <w:sz w:val="21"/>
                      <w:szCs w:val="21"/>
                    </w:rPr>
                  </w:pPr>
                  <w:r>
                    <w:rPr>
                      <w:sz w:val="21"/>
                      <w:szCs w:val="21"/>
                    </w:rPr>
                    <w:t>夜间</w:t>
                  </w:r>
                </w:p>
              </w:tc>
              <w:tc>
                <w:tcPr>
                  <w:tcW w:w="1139" w:type="dxa"/>
                  <w:vAlign w:val="center"/>
                </w:tcPr>
                <w:p>
                  <w:pPr>
                    <w:jc w:val="center"/>
                    <w:rPr>
                      <w:rFonts w:hint="default" w:eastAsia="宋体"/>
                      <w:sz w:val="21"/>
                      <w:szCs w:val="21"/>
                      <w:lang w:val="en-US" w:eastAsia="zh-CN"/>
                    </w:rPr>
                  </w:pPr>
                  <w:r>
                    <w:rPr>
                      <w:rFonts w:hint="eastAsia"/>
                      <w:sz w:val="21"/>
                      <w:szCs w:val="21"/>
                      <w:lang w:val="en-US" w:eastAsia="zh-CN"/>
                    </w:rPr>
                    <w:t>55</w:t>
                  </w:r>
                </w:p>
              </w:tc>
              <w:tc>
                <w:tcPr>
                  <w:tcW w:w="1140" w:type="dxa"/>
                  <w:vMerge w:val="continue"/>
                  <w:vAlign w:val="center"/>
                </w:tcPr>
                <w:p>
                  <w:pPr>
                    <w:jc w:val="center"/>
                    <w:rPr>
                      <w:sz w:val="21"/>
                      <w:szCs w:val="21"/>
                    </w:rPr>
                  </w:pPr>
                </w:p>
              </w:tc>
              <w:tc>
                <w:tcPr>
                  <w:tcW w:w="3819" w:type="dxa"/>
                  <w:vMerge w:val="continue"/>
                  <w:vAlign w:val="center"/>
                </w:tcPr>
                <w:p>
                  <w:pPr>
                    <w:jc w:val="center"/>
                    <w:rPr>
                      <w:sz w:val="21"/>
                      <w:szCs w:val="21"/>
                    </w:rPr>
                  </w:pPr>
                </w:p>
              </w:tc>
            </w:tr>
          </w:tbl>
          <w:p>
            <w:pPr>
              <w:pStyle w:val="40"/>
              <w:spacing w:before="0" w:beforeAutospacing="0" w:after="0" w:line="360" w:lineRule="auto"/>
              <w:ind w:firstLine="482" w:firstLineChars="200"/>
              <w:rPr>
                <w:rFonts w:ascii="Times New Roman" w:hAnsi="Times New Roman"/>
                <w:b/>
                <w:bCs/>
                <w:sz w:val="24"/>
                <w:szCs w:val="24"/>
              </w:rPr>
            </w:pPr>
            <w:r>
              <w:rPr>
                <w:rFonts w:ascii="宋体" w:hAnsi="宋体" w:cs="宋体"/>
                <w:b/>
                <w:bCs/>
                <w:sz w:val="24"/>
                <w:szCs w:val="24"/>
              </w:rPr>
              <w:t>四</w:t>
            </w:r>
            <w:r>
              <w:rPr>
                <w:rFonts w:ascii="Times New Roman" w:hAnsi="Times New Roman"/>
                <w:b/>
                <w:bCs/>
                <w:sz w:val="24"/>
                <w:szCs w:val="24"/>
              </w:rPr>
              <w:t>、固体废物</w:t>
            </w:r>
          </w:p>
          <w:p>
            <w:pPr>
              <w:adjustRightInd w:val="0"/>
              <w:snapToGrid w:val="0"/>
              <w:spacing w:line="360" w:lineRule="auto"/>
              <w:ind w:firstLine="480" w:firstLineChars="200"/>
              <w:jc w:val="left"/>
            </w:pPr>
            <w:r>
              <w:t>一般工业固体废物</w:t>
            </w:r>
            <w:r>
              <w:rPr>
                <w:color w:val="auto"/>
              </w:rPr>
              <w:t>执行《一般工业固体废物贮存和填埋污染控制标准》（GB18599-2020）中有关要求</w:t>
            </w:r>
            <w:r>
              <w:rPr>
                <w:color w:val="auto"/>
                <w:sz w:val="24"/>
              </w:rPr>
              <w:t>；危险废物执行《危险废物贮存污染控制标准》（GB18597-</w:t>
            </w:r>
            <w:r>
              <w:rPr>
                <w:rFonts w:hint="eastAsia"/>
                <w:color w:val="auto"/>
                <w:sz w:val="24"/>
              </w:rPr>
              <w:t>2023</w:t>
            </w:r>
            <w:r>
              <w:rPr>
                <w:color w:val="auto"/>
                <w:sz w:val="24"/>
              </w:rPr>
              <w:t>）</w:t>
            </w:r>
            <w:r>
              <w:rPr>
                <w:rFonts w:hint="eastAsia"/>
                <w:color w:val="auto"/>
                <w:sz w:val="24"/>
              </w:rPr>
              <w:t>中</w:t>
            </w:r>
            <w:r>
              <w:rPr>
                <w:color w:val="auto"/>
                <w:sz w:val="24"/>
              </w:rPr>
              <w:t>相关要求</w:t>
            </w: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790" w:type="dxa"/>
            <w:vAlign w:val="center"/>
          </w:tcPr>
          <w:p>
            <w:pPr>
              <w:adjustRightInd w:val="0"/>
              <w:snapToGrid w:val="0"/>
              <w:jc w:val="center"/>
              <w:rPr>
                <w:kern w:val="0"/>
              </w:rPr>
            </w:pPr>
            <w:r>
              <w:rPr>
                <w:kern w:val="0"/>
              </w:rPr>
              <w:t>总量</w:t>
            </w:r>
          </w:p>
          <w:p>
            <w:pPr>
              <w:adjustRightInd w:val="0"/>
              <w:snapToGrid w:val="0"/>
              <w:jc w:val="center"/>
              <w:rPr>
                <w:kern w:val="0"/>
              </w:rPr>
            </w:pPr>
            <w:r>
              <w:rPr>
                <w:kern w:val="0"/>
              </w:rPr>
              <w:t>控制</w:t>
            </w:r>
          </w:p>
          <w:p>
            <w:pPr>
              <w:adjustRightInd w:val="0"/>
              <w:snapToGrid w:val="0"/>
              <w:jc w:val="center"/>
              <w:rPr>
                <w:kern w:val="0"/>
              </w:rPr>
            </w:pPr>
            <w:r>
              <w:rPr>
                <w:kern w:val="0"/>
              </w:rPr>
              <w:t>指标</w:t>
            </w:r>
          </w:p>
        </w:tc>
        <w:tc>
          <w:tcPr>
            <w:tcW w:w="8200" w:type="dxa"/>
            <w:vAlign w:val="center"/>
          </w:tcPr>
          <w:p>
            <w:pPr>
              <w:spacing w:line="360" w:lineRule="auto"/>
              <w:ind w:firstLine="480" w:firstLineChars="200"/>
              <w:jc w:val="left"/>
            </w:pPr>
          </w:p>
          <w:p>
            <w:pPr>
              <w:spacing w:line="360" w:lineRule="auto"/>
              <w:ind w:firstLine="480" w:firstLineChars="200"/>
              <w:jc w:val="left"/>
            </w:pPr>
          </w:p>
          <w:p>
            <w:pPr>
              <w:spacing w:line="360" w:lineRule="auto"/>
              <w:ind w:firstLine="480" w:firstLineChars="200"/>
              <w:jc w:val="left"/>
            </w:pPr>
            <w:r>
              <w:t>根据安徽省主要污染物排放总量控制计划，总量控制因子为二氧化硫、氮氧化物、烟（粉）尘、挥发性有机物、COD和氨氮。本项目涉及的废气总量控制因子为烟（粉）尘。核算本项目污染总量控制指标，具体如下：</w:t>
            </w:r>
          </w:p>
          <w:p>
            <w:pPr>
              <w:spacing w:line="360" w:lineRule="auto"/>
              <w:ind w:firstLine="480" w:firstLineChars="200"/>
              <w:jc w:val="left"/>
              <w:rPr>
                <w:color w:val="auto"/>
              </w:rPr>
            </w:pPr>
            <w:r>
              <w:rPr>
                <w:color w:val="auto"/>
              </w:rPr>
              <w:t>（1）废水</w:t>
            </w:r>
          </w:p>
          <w:p>
            <w:pPr>
              <w:spacing w:line="360" w:lineRule="auto"/>
              <w:ind w:firstLine="480" w:firstLineChars="200"/>
              <w:jc w:val="left"/>
            </w:pPr>
            <w:r>
              <w:rPr>
                <w:rFonts w:hint="eastAsia"/>
                <w:lang w:val="en-US" w:eastAsia="zh-CN"/>
              </w:rPr>
              <w:t>项目无废水外排</w:t>
            </w:r>
            <w:r>
              <w:t>。</w:t>
            </w:r>
          </w:p>
          <w:p>
            <w:pPr>
              <w:spacing w:line="360" w:lineRule="auto"/>
              <w:ind w:firstLine="480" w:firstLineChars="200"/>
              <w:jc w:val="left"/>
            </w:pPr>
            <w:r>
              <w:t>（2）废气</w:t>
            </w:r>
          </w:p>
          <w:p>
            <w:pPr>
              <w:adjustRightInd w:val="0"/>
              <w:snapToGrid w:val="0"/>
              <w:spacing w:line="360" w:lineRule="auto"/>
              <w:ind w:firstLine="480" w:firstLineChars="200"/>
              <w:jc w:val="left"/>
            </w:pPr>
            <w:r>
              <w:t>项目运营期排放的废气污染物主要为烟（粉）尘，烟（粉）尘的</w:t>
            </w:r>
            <w:r>
              <w:rPr>
                <w:rFonts w:hint="eastAsia"/>
              </w:rPr>
              <w:t>总</w:t>
            </w:r>
            <w:r>
              <w:t>量为</w:t>
            </w:r>
            <w:r>
              <w:rPr>
                <w:rFonts w:hint="eastAsia"/>
                <w:lang w:val="en-US" w:eastAsia="zh-CN"/>
              </w:rPr>
              <w:t>0.315</w:t>
            </w:r>
            <w:r>
              <w:t>t/a。</w:t>
            </w:r>
          </w:p>
          <w:p>
            <w:pPr>
              <w:pStyle w:val="11"/>
            </w:pPr>
          </w:p>
          <w:p/>
        </w:tc>
      </w:tr>
    </w:tbl>
    <w:p>
      <w:pPr>
        <w:pStyle w:val="20"/>
        <w:jc w:val="center"/>
        <w:outlineLvl w:val="0"/>
        <w:rPr>
          <w:rFonts w:ascii="Times New Roman" w:hAnsi="Times New Roman" w:eastAsia="黑体"/>
          <w:snapToGrid w:val="0"/>
          <w:sz w:val="30"/>
          <w:szCs w:val="30"/>
        </w:rPr>
      </w:pPr>
      <w:r>
        <w:rPr>
          <w:rFonts w:ascii="Times New Roman" w:hAnsi="Times New Roman" w:eastAsia="黑体"/>
          <w:snapToGrid w:val="0"/>
          <w:sz w:val="36"/>
          <w:szCs w:val="36"/>
        </w:rPr>
        <w:br w:type="page"/>
      </w:r>
      <w:r>
        <w:rPr>
          <w:rFonts w:ascii="Times New Roman" w:hAnsi="Times New Roman"/>
          <w:snapToGrid w:val="0"/>
          <w:sz w:val="30"/>
          <w:szCs w:val="30"/>
        </w:rPr>
        <w:t>四、主要环境影响和保护措施</w:t>
      </w:r>
    </w:p>
    <w:tbl>
      <w:tblPr>
        <w:tblStyle w:val="24"/>
        <w:tblW w:w="898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92"/>
        <w:gridCol w:w="86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292" w:type="dxa"/>
            <w:tcMar>
              <w:left w:w="28" w:type="dxa"/>
              <w:right w:w="28" w:type="dxa"/>
            </w:tcMar>
            <w:vAlign w:val="center"/>
          </w:tcPr>
          <w:p>
            <w:pPr>
              <w:pStyle w:val="20"/>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施工</w:t>
            </w:r>
          </w:p>
          <w:p>
            <w:pPr>
              <w:pStyle w:val="20"/>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期环</w:t>
            </w:r>
          </w:p>
          <w:p>
            <w:pPr>
              <w:pStyle w:val="20"/>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境保</w:t>
            </w:r>
          </w:p>
          <w:p>
            <w:pPr>
              <w:pStyle w:val="20"/>
              <w:adjustRightInd w:val="0"/>
              <w:snapToGrid w:val="0"/>
              <w:spacing w:before="0" w:beforeAutospacing="0" w:after="0" w:afterAutospacing="0"/>
              <w:jc w:val="center"/>
              <w:rPr>
                <w:rFonts w:ascii="Times New Roman" w:hAnsi="Times New Roman"/>
                <w:kern w:val="2"/>
                <w:szCs w:val="24"/>
              </w:rPr>
            </w:pPr>
            <w:r>
              <w:rPr>
                <w:rFonts w:ascii="Times New Roman" w:hAnsi="Times New Roman"/>
                <w:kern w:val="2"/>
                <w:szCs w:val="24"/>
              </w:rPr>
              <w:t>护措</w:t>
            </w:r>
          </w:p>
          <w:p>
            <w:pPr>
              <w:pStyle w:val="20"/>
              <w:adjustRightInd w:val="0"/>
              <w:snapToGrid w:val="0"/>
              <w:spacing w:before="0" w:beforeAutospacing="0" w:after="0" w:afterAutospacing="0"/>
              <w:jc w:val="center"/>
              <w:rPr>
                <w:rFonts w:ascii="Times New Roman" w:hAnsi="Times New Roman"/>
                <w:bCs/>
                <w:kern w:val="2"/>
                <w:sz w:val="21"/>
                <w:szCs w:val="21"/>
              </w:rPr>
            </w:pPr>
            <w:r>
              <w:rPr>
                <w:rFonts w:ascii="Times New Roman" w:hAnsi="Times New Roman"/>
                <w:kern w:val="2"/>
                <w:szCs w:val="24"/>
              </w:rPr>
              <w:t>施</w:t>
            </w:r>
          </w:p>
        </w:tc>
        <w:tc>
          <w:tcPr>
            <w:tcW w:w="8689" w:type="dxa"/>
            <w:vAlign w:val="center"/>
          </w:tcPr>
          <w:p>
            <w:pPr>
              <w:spacing w:line="360" w:lineRule="auto"/>
              <w:rPr>
                <w:b/>
              </w:rPr>
            </w:pPr>
            <w:r>
              <w:rPr>
                <w:b/>
                <w:lang w:bidi="ar"/>
              </w:rPr>
              <w:t>一、大气环境保护措施</w:t>
            </w:r>
          </w:p>
          <w:p>
            <w:pPr>
              <w:pStyle w:val="11"/>
              <w:spacing w:before="0" w:after="0" w:line="360" w:lineRule="auto"/>
              <w:ind w:firstLine="480" w:firstLineChars="200"/>
              <w:rPr>
                <w:kern w:val="2"/>
                <w:sz w:val="24"/>
                <w:szCs w:val="24"/>
                <w:lang w:bidi="ar"/>
              </w:rPr>
            </w:pPr>
            <w:r>
              <w:rPr>
                <w:sz w:val="24"/>
                <w:szCs w:val="24"/>
              </w:rPr>
              <w:t>项目租赁</w:t>
            </w:r>
            <w:r>
              <w:rPr>
                <w:rFonts w:hint="eastAsia"/>
                <w:sz w:val="24"/>
                <w:szCs w:val="24"/>
              </w:rPr>
              <w:t>安徽省宿州市泗县草沟镇工业园区06号空置厂房</w:t>
            </w:r>
            <w:r>
              <w:rPr>
                <w:sz w:val="24"/>
                <w:szCs w:val="24"/>
              </w:rPr>
              <w:t>，仅进行机械设备的安装，</w:t>
            </w:r>
            <w:r>
              <w:rPr>
                <w:rFonts w:hint="eastAsia"/>
                <w:sz w:val="24"/>
                <w:szCs w:val="24"/>
              </w:rPr>
              <w:t>不</w:t>
            </w:r>
            <w:r>
              <w:rPr>
                <w:sz w:val="24"/>
                <w:szCs w:val="24"/>
              </w:rPr>
              <w:t>涉及厂房改造，不需大型施工机器施工，不会产生施工扬尘，因此不会对项目所在区域大气环境产生影响。</w:t>
            </w:r>
          </w:p>
          <w:p>
            <w:pPr>
              <w:spacing w:line="360" w:lineRule="auto"/>
              <w:rPr>
                <w:b/>
                <w:bCs/>
                <w:color w:val="auto"/>
                <w:lang w:bidi="ar"/>
              </w:rPr>
            </w:pPr>
            <w:r>
              <w:rPr>
                <w:b/>
                <w:bCs/>
              </w:rPr>
              <w:t>二、水环境保护措施</w:t>
            </w:r>
          </w:p>
          <w:p>
            <w:pPr>
              <w:pStyle w:val="11"/>
              <w:spacing w:before="0" w:after="0" w:line="360" w:lineRule="auto"/>
              <w:ind w:right="0" w:firstLine="480" w:firstLineChars="200"/>
              <w:rPr>
                <w:sz w:val="24"/>
                <w:szCs w:val="24"/>
              </w:rPr>
            </w:pPr>
            <w:r>
              <w:rPr>
                <w:color w:val="auto"/>
                <w:sz w:val="24"/>
                <w:szCs w:val="24"/>
              </w:rPr>
              <w:t>本项目施工人员产生的生活废水经</w:t>
            </w:r>
            <w:r>
              <w:rPr>
                <w:rFonts w:hint="eastAsia"/>
                <w:color w:val="auto"/>
                <w:sz w:val="24"/>
                <w:szCs w:val="24"/>
              </w:rPr>
              <w:t>污水处理系统</w:t>
            </w:r>
            <w:r>
              <w:rPr>
                <w:color w:val="auto"/>
                <w:sz w:val="24"/>
                <w:szCs w:val="24"/>
              </w:rPr>
              <w:t>处理</w:t>
            </w:r>
            <w:r>
              <w:rPr>
                <w:color w:val="auto"/>
                <w:sz w:val="24"/>
                <w:szCs w:val="24"/>
                <w:lang w:bidi="ar"/>
              </w:rPr>
              <w:t>水质简单</w:t>
            </w:r>
            <w:r>
              <w:rPr>
                <w:color w:val="auto"/>
                <w:sz w:val="24"/>
                <w:szCs w:val="24"/>
              </w:rPr>
              <w:t>，废水通过</w:t>
            </w:r>
            <w:r>
              <w:rPr>
                <w:rFonts w:hint="eastAsia"/>
                <w:color w:val="auto"/>
                <w:sz w:val="24"/>
                <w:szCs w:val="24"/>
                <w:lang w:val="en-US" w:eastAsia="zh-CN"/>
              </w:rPr>
              <w:t>化粪池处理后定期清掏不外排</w:t>
            </w:r>
            <w:r>
              <w:rPr>
                <w:color w:val="auto"/>
                <w:sz w:val="24"/>
                <w:szCs w:val="24"/>
              </w:rPr>
              <w:t>。通过采取上述废水治理措施后，项目施工期产生的废水可以得到妥善处理，不会对项目所在区域地表</w:t>
            </w:r>
            <w:r>
              <w:rPr>
                <w:sz w:val="24"/>
                <w:szCs w:val="24"/>
              </w:rPr>
              <w:t>水环境产生影响。</w:t>
            </w:r>
          </w:p>
          <w:p>
            <w:pPr>
              <w:pStyle w:val="11"/>
              <w:spacing w:line="240" w:lineRule="auto"/>
              <w:rPr>
                <w:b/>
                <w:bCs/>
                <w:sz w:val="24"/>
                <w:lang w:bidi="ar"/>
              </w:rPr>
            </w:pPr>
            <w:r>
              <w:rPr>
                <w:b/>
                <w:bCs/>
                <w:sz w:val="24"/>
                <w:szCs w:val="24"/>
              </w:rPr>
              <w:t>三、声环境保护措施</w:t>
            </w:r>
          </w:p>
          <w:p>
            <w:pPr>
              <w:pStyle w:val="11"/>
              <w:spacing w:after="60" w:line="360" w:lineRule="auto"/>
              <w:ind w:left="547" w:leftChars="228"/>
              <w:rPr>
                <w:sz w:val="24"/>
                <w:lang w:bidi="ar"/>
              </w:rPr>
            </w:pPr>
            <w:r>
              <w:rPr>
                <w:sz w:val="24"/>
                <w:szCs w:val="24"/>
              </w:rPr>
              <w:t>本项目施工方应在施工期采取有效的噪声控制措施：</w:t>
            </w:r>
          </w:p>
          <w:p>
            <w:pPr>
              <w:pStyle w:val="11"/>
              <w:spacing w:after="60" w:line="360" w:lineRule="auto"/>
              <w:ind w:firstLine="480" w:firstLineChars="200"/>
              <w:rPr>
                <w:sz w:val="24"/>
                <w:lang w:bidi="ar"/>
              </w:rPr>
            </w:pPr>
            <w:r>
              <w:rPr>
                <w:sz w:val="24"/>
                <w:szCs w:val="24"/>
              </w:rPr>
              <w:t>①合理安排施工时间，高噪声设备禁止在夜间(22:00-6:00)进行施工，尤其是要严格控制施工机械噪声值在大于85dB(A)的作业。</w:t>
            </w:r>
          </w:p>
          <w:p>
            <w:pPr>
              <w:spacing w:line="360" w:lineRule="auto"/>
              <w:ind w:firstLine="480" w:firstLineChars="200"/>
            </w:pPr>
            <w:r>
              <w:t>②加强管理，尽量减少人为噪声（如设备、原材料的装卸、搬运等）。</w:t>
            </w:r>
          </w:p>
          <w:p>
            <w:pPr>
              <w:spacing w:line="360" w:lineRule="auto"/>
              <w:ind w:firstLine="480" w:firstLineChars="200"/>
              <w:rPr>
                <w:lang w:bidi="ar"/>
              </w:rPr>
            </w:pPr>
            <w:r>
              <w:t>由于本项目施工工期较短，负面影响只是暂时性的，在采取隔声降噪措施和严格管理下，场界噪声能达到国家《建筑施工场界环境噪声排放标准》（GB12523－2011）的规定，因此在采取以上措施后，施工噪声对周围环境产生的影响较小。</w:t>
            </w:r>
          </w:p>
          <w:p>
            <w:pPr>
              <w:pStyle w:val="11"/>
              <w:rPr>
                <w:b/>
                <w:bCs/>
                <w:sz w:val="24"/>
                <w:lang w:bidi="ar"/>
              </w:rPr>
            </w:pPr>
            <w:r>
              <w:rPr>
                <w:b/>
                <w:bCs/>
                <w:sz w:val="24"/>
                <w:szCs w:val="24"/>
              </w:rPr>
              <w:t>四、固体废弃物保护措施</w:t>
            </w:r>
          </w:p>
          <w:p>
            <w:pPr>
              <w:spacing w:line="360" w:lineRule="auto"/>
              <w:ind w:firstLine="480" w:firstLineChars="200"/>
              <w:rPr>
                <w:rFonts w:hint="eastAsia"/>
                <w:lang w:eastAsia="zh-CN"/>
              </w:rPr>
            </w:pPr>
            <w:r>
              <w:t>项目施工人员产生的生活垃圾</w:t>
            </w:r>
            <w:r>
              <w:rPr>
                <w:rFonts w:hint="eastAsia" w:ascii="宋体" w:hAnsi="宋体" w:cs="宋体"/>
              </w:rPr>
              <w:t>及装修废物</w:t>
            </w:r>
            <w:r>
              <w:t>应全部及时交由环卫部门进行处置。施工期产生的环境影响相对营运期而言属于短期和暂时影响，环境影响随着施工期的结束而消失</w:t>
            </w:r>
            <w:r>
              <w:rPr>
                <w:rFonts w:hint="eastAsia"/>
                <w:lang w:eastAsia="zh-CN"/>
              </w:rPr>
              <w:t>。</w:t>
            </w:r>
          </w:p>
          <w:p>
            <w:pPr>
              <w:spacing w:line="360" w:lineRule="auto"/>
              <w:ind w:firstLine="480" w:firstLineChars="200"/>
              <w:rPr>
                <w:rFonts w:hint="eastAsia"/>
                <w:lang w:eastAsia="zh-CN"/>
              </w:rPr>
            </w:pPr>
          </w:p>
          <w:p>
            <w:pPr>
              <w:spacing w:line="360" w:lineRule="auto"/>
              <w:ind w:firstLine="480" w:firstLineChars="200"/>
              <w:rPr>
                <w:rFonts w:hint="eastAsia"/>
                <w:lang w:eastAsia="zh-CN"/>
              </w:rPr>
            </w:pPr>
          </w:p>
          <w:p>
            <w:pPr>
              <w:spacing w:line="360" w:lineRule="auto"/>
              <w:ind w:firstLine="480" w:firstLineChars="200"/>
            </w:pPr>
          </w:p>
          <w:p>
            <w:pPr>
              <w:spacing w:line="360" w:lineRule="auto"/>
              <w:ind w:firstLine="480" w:firstLineChars="200"/>
            </w:pPr>
          </w:p>
          <w:p>
            <w:pPr>
              <w:spacing w:line="360" w:lineRule="auto"/>
              <w:rPr>
                <w:szCs w:val="32"/>
                <w:lang w:bidi="ar"/>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92" w:type="dxa"/>
            <w:tcMar>
              <w:left w:w="28" w:type="dxa"/>
              <w:right w:w="28" w:type="dxa"/>
            </w:tcMar>
            <w:vAlign w:val="center"/>
          </w:tcPr>
          <w:p>
            <w:pPr>
              <w:adjustRightInd w:val="0"/>
              <w:snapToGrid w:val="0"/>
              <w:jc w:val="center"/>
              <w:rPr>
                <w:bCs/>
              </w:rPr>
            </w:pPr>
            <w:r>
              <w:rPr>
                <w:bCs/>
              </w:rPr>
              <w:t>运营期环境影响和保护措施</w:t>
            </w:r>
          </w:p>
        </w:tc>
        <w:tc>
          <w:tcPr>
            <w:tcW w:w="8689" w:type="dxa"/>
            <w:vAlign w:val="center"/>
          </w:tcPr>
          <w:p>
            <w:pPr>
              <w:adjustRightInd w:val="0"/>
              <w:snapToGrid w:val="0"/>
              <w:spacing w:line="360" w:lineRule="auto"/>
              <w:ind w:firstLine="482" w:firstLineChars="200"/>
              <w:jc w:val="left"/>
              <w:rPr>
                <w:b/>
                <w:bCs/>
              </w:rPr>
            </w:pPr>
            <w:r>
              <w:rPr>
                <w:b/>
                <w:bCs/>
              </w:rPr>
              <w:t>一、废气</w:t>
            </w:r>
          </w:p>
          <w:p>
            <w:pPr>
              <w:adjustRightInd w:val="0"/>
              <w:snapToGrid w:val="0"/>
              <w:spacing w:line="360" w:lineRule="auto"/>
              <w:ind w:firstLine="480" w:firstLineChars="200"/>
              <w:jc w:val="left"/>
            </w:pPr>
            <w:r>
              <w:t>本项目运营期产生的废气主要</w:t>
            </w:r>
            <w:r>
              <w:rPr>
                <w:rFonts w:hint="eastAsia"/>
              </w:rPr>
              <w:t>是水泥仓呼吸粉尘和物料混合搅拌粉尘</w:t>
            </w:r>
            <w:r>
              <w:t>等。</w:t>
            </w:r>
          </w:p>
          <w:p>
            <w:pPr>
              <w:spacing w:line="360" w:lineRule="auto"/>
              <w:ind w:firstLine="480" w:firstLineChars="200"/>
              <w:rPr>
                <w:color w:val="000000"/>
              </w:rPr>
            </w:pPr>
            <w:r>
              <w:rPr>
                <w:rFonts w:hint="eastAsia"/>
                <w:color w:val="000000"/>
              </w:rPr>
              <w:t>（1）</w:t>
            </w:r>
            <w:r>
              <w:rPr>
                <w:rFonts w:hint="eastAsia"/>
              </w:rPr>
              <w:t>水泥仓呼吸</w:t>
            </w:r>
            <w:r>
              <w:rPr>
                <w:rFonts w:hint="eastAsia"/>
                <w:bCs/>
              </w:rPr>
              <w:t>粉尘（无组织排放）</w:t>
            </w:r>
          </w:p>
          <w:p>
            <w:pPr>
              <w:spacing w:line="360" w:lineRule="auto"/>
              <w:ind w:firstLine="480" w:firstLineChars="200"/>
              <w:rPr>
                <w:bCs/>
              </w:rPr>
            </w:pPr>
            <w:r>
              <w:rPr>
                <w:rFonts w:hint="eastAsia"/>
                <w:bCs/>
              </w:rPr>
              <w:t>根据</w:t>
            </w:r>
            <w:r>
              <w:rPr>
                <w:rFonts w:hint="eastAsia"/>
              </w:rPr>
              <w:t>《排放源统计调查产排污核算方法和系数手册》中“3021、3022、3029水泥制品制造行业系数手册”中3021 水泥制品制造（含 3022 砼结构构件、3029 其他水泥类似制品制造）行业系数表</w:t>
            </w:r>
            <w:r>
              <w:rPr>
                <w:rFonts w:hint="eastAsia"/>
                <w:bCs/>
              </w:rPr>
              <w:t>，水泥仓呼吸粉尘产污系数为</w:t>
            </w:r>
            <w:r>
              <w:rPr>
                <w:rFonts w:hint="eastAsia"/>
              </w:rPr>
              <w:t>0.19</w:t>
            </w:r>
            <w:r>
              <w:rPr>
                <w:rFonts w:hint="eastAsia"/>
                <w:bCs/>
              </w:rPr>
              <w:t>千克/吨-产品，项目产品年产量为20万平方米轻质隔墙板，</w:t>
            </w:r>
            <w:r>
              <w:rPr>
                <w:rFonts w:hint="eastAsia"/>
                <w:bCs/>
                <w:lang w:val="en-US" w:eastAsia="zh-CN"/>
              </w:rPr>
              <w:t>约</w:t>
            </w:r>
            <w:r>
              <w:rPr>
                <w:rFonts w:hint="eastAsia"/>
                <w:bCs/>
              </w:rPr>
              <w:t>重22000吨，则粉尘产生量为4.18吨/年。</w:t>
            </w:r>
          </w:p>
          <w:p>
            <w:pPr>
              <w:spacing w:line="360" w:lineRule="auto"/>
              <w:ind w:firstLine="480" w:firstLineChars="200"/>
              <w:rPr>
                <w:bCs/>
              </w:rPr>
            </w:pPr>
            <w:r>
              <w:rPr>
                <w:rFonts w:hint="eastAsia"/>
                <w:bCs/>
              </w:rPr>
              <w:t>水泥仓呼吸</w:t>
            </w:r>
            <w:r>
              <w:rPr>
                <w:rFonts w:hint="eastAsia"/>
                <w:color w:val="000000"/>
              </w:rPr>
              <w:t>粉尘产生量为</w:t>
            </w:r>
            <w:r>
              <w:rPr>
                <w:rFonts w:hint="eastAsia"/>
                <w:bCs/>
              </w:rPr>
              <w:t>4.18吨/年，</w:t>
            </w:r>
            <w:r>
              <w:rPr>
                <w:rFonts w:hint="eastAsia"/>
                <w:color w:val="000000"/>
              </w:rPr>
              <w:t>通过设备自带布袋除尘器处理，收集效率为100%，处理效率为98%，粉尘处理后无组织排放量为0.084t/a，排放速率为0.016kg/h（年工作5120h）</w:t>
            </w:r>
            <w:r>
              <w:rPr>
                <w:bCs/>
              </w:rPr>
              <w:t>。</w:t>
            </w:r>
          </w:p>
          <w:p>
            <w:pPr>
              <w:spacing w:line="360" w:lineRule="auto"/>
              <w:ind w:firstLine="480" w:firstLineChars="200"/>
              <w:rPr>
                <w:color w:val="000000"/>
              </w:rPr>
            </w:pPr>
            <w:r>
              <w:rPr>
                <w:rFonts w:hint="eastAsia"/>
                <w:color w:val="000000"/>
              </w:rPr>
              <w:t>（2）</w:t>
            </w:r>
            <w:r>
              <w:rPr>
                <w:rFonts w:hint="eastAsia"/>
                <w:bCs/>
              </w:rPr>
              <w:t>物料混合搅拌粉尘（无组织排放）</w:t>
            </w:r>
          </w:p>
          <w:p>
            <w:pPr>
              <w:spacing w:line="360" w:lineRule="auto"/>
              <w:ind w:firstLine="480" w:firstLineChars="200"/>
              <w:rPr>
                <w:bCs/>
              </w:rPr>
            </w:pPr>
            <w:r>
              <w:rPr>
                <w:rFonts w:hint="eastAsia"/>
                <w:bCs/>
              </w:rPr>
              <w:t>根据</w:t>
            </w:r>
            <w:r>
              <w:rPr>
                <w:rFonts w:hint="eastAsia"/>
              </w:rPr>
              <w:t>《排放源统计调查产排污核算方法和系数手册》中“3021、3022、3029水泥制品制造行业系数手册”中3021 水泥制品制造（含 3022 砼结构构件、3029 其他水泥类似制品制造）行业系数表</w:t>
            </w:r>
            <w:r>
              <w:rPr>
                <w:rFonts w:hint="eastAsia"/>
                <w:bCs/>
              </w:rPr>
              <w:t>，物料混合搅拌粉尘产污系数为</w:t>
            </w:r>
            <w:r>
              <w:rPr>
                <w:rFonts w:hint="eastAsia"/>
              </w:rPr>
              <w:t>5.23*10</w:t>
            </w:r>
            <w:r>
              <w:rPr>
                <w:rFonts w:hint="eastAsia"/>
                <w:vertAlign w:val="superscript"/>
              </w:rPr>
              <w:t>-1</w:t>
            </w:r>
            <w:r>
              <w:rPr>
                <w:rFonts w:hint="eastAsia"/>
                <w:bCs/>
              </w:rPr>
              <w:t>千克/吨-产品，项目产品年产量为20万平方米轻质隔墙板，重22000吨，则粉尘产生量为11.506吨/年。</w:t>
            </w:r>
          </w:p>
          <w:p>
            <w:pPr>
              <w:spacing w:line="360" w:lineRule="auto"/>
              <w:ind w:firstLine="480" w:firstLineChars="200"/>
              <w:rPr>
                <w:color w:val="000000"/>
              </w:rPr>
            </w:pPr>
            <w:r>
              <w:rPr>
                <w:rFonts w:hint="eastAsia"/>
                <w:color w:val="000000"/>
              </w:rPr>
              <w:t>物料混合搅拌粉尘总量为</w:t>
            </w:r>
            <w:r>
              <w:rPr>
                <w:rFonts w:hint="eastAsia"/>
                <w:bCs/>
              </w:rPr>
              <w:t>11.506吨/年，</w:t>
            </w:r>
            <w:r>
              <w:rPr>
                <w:rFonts w:hint="eastAsia"/>
                <w:color w:val="000000"/>
              </w:rPr>
              <w:t>通过设备自带布袋除尘器处理，收集效率为100%，处理效率为98%，粉尘处理后无组织排放量为0.231t/a，排放速率为0.045kg/h（年工作5120h）。</w:t>
            </w:r>
          </w:p>
          <w:p>
            <w:pPr>
              <w:spacing w:line="360" w:lineRule="auto"/>
              <w:ind w:firstLine="480" w:firstLineChars="200"/>
              <w:rPr>
                <w:lang w:bidi="ar"/>
              </w:rPr>
            </w:pPr>
            <w:r>
              <w:rPr>
                <w:rFonts w:hint="eastAsia"/>
                <w:color w:val="000000"/>
              </w:rPr>
              <w:t>综上所述，该项目烟（粉）尘无组织排放量为0.315t/a。</w:t>
            </w:r>
          </w:p>
          <w:p>
            <w:pPr>
              <w:spacing w:line="360" w:lineRule="auto"/>
              <w:ind w:firstLine="480" w:firstLineChars="200"/>
            </w:pPr>
            <w:r>
              <w:rPr>
                <w:rFonts w:hint="eastAsia"/>
                <w:lang w:bidi="ar"/>
              </w:rPr>
              <w:t>废气处理措施可行性分析</w:t>
            </w:r>
            <w:r>
              <w:rPr>
                <w:lang w:bidi="ar"/>
              </w:rPr>
              <w:t>：</w:t>
            </w:r>
            <w:r>
              <w:rPr>
                <w:rFonts w:hint="eastAsia"/>
                <w:lang w:bidi="ar"/>
              </w:rPr>
              <w:t>项目采用设备自带布袋除尘器装置处理。</w:t>
            </w:r>
          </w:p>
          <w:p>
            <w:pPr>
              <w:spacing w:line="360" w:lineRule="auto"/>
              <w:ind w:firstLine="480" w:firstLineChars="200"/>
              <w:jc w:val="left"/>
              <w:rPr>
                <w:lang w:bidi="ar"/>
              </w:rPr>
            </w:pPr>
            <w:r>
              <w:rPr>
                <w:rFonts w:hint="eastAsia"/>
                <w:lang w:bidi="ar"/>
              </w:rPr>
              <w:t>布袋除尘器利用纤维织物的过滤作用对含尘气体进行过滤，当含尘气体进入布袋除尘器，颗粒大、比重大的粉尘，由于重力的作用沉降下来，落入灰斗，含有较细小粉尘的气体在通过滤料时，粉尘被阻留，使气体得到净化。一般新滤料的除尘效率是不够高的。滤料使用一段时间后，由于筛滤、碰撞、滞留、扩散、静电等效应，滤袋表面积聚了一层粉尘，这层粉尘称为初层，在此以后的运动过程中，初层成了滤料的主要过滤层，依靠初层的作用，网孔较大的滤料也能获得较高的过滤效率。随着粉尘在滤料表面的积聚，除尘器的效率和阻力都相应的增加，当滤料两侧的压力差很大时，会把有些已附着在滤料上的细小尘粒挤压过去，使除尘器效率下降。另外，除尘器的阻力过高会使除尘系统的风量显著下降。因此，除尘器的阻力达到一定数值后，要及时清灰。综上，</w:t>
            </w:r>
            <w:r>
              <w:rPr>
                <w:rFonts w:hint="eastAsia" w:ascii="宋体" w:hAnsi="宋体" w:cs="宋体"/>
                <w:bCs/>
              </w:rPr>
              <w:t>袋式除尘在技术上是可行的，布袋除尘器的使用、保养和维修措施是简单的、可操作的，且在经济上是可接受的</w:t>
            </w:r>
            <w:r>
              <w:rPr>
                <w:rFonts w:hint="eastAsia" w:ascii="宋体" w:hAnsi="宋体" w:cs="宋体"/>
                <w:bCs/>
                <w:spacing w:val="-10"/>
              </w:rPr>
              <w:t>。</w:t>
            </w:r>
          </w:p>
          <w:p>
            <w:pPr>
              <w:spacing w:line="360" w:lineRule="auto"/>
              <w:ind w:firstLine="480" w:firstLineChars="200"/>
              <w:jc w:val="left"/>
              <w:rPr>
                <w:b/>
                <w:bCs/>
              </w:rPr>
            </w:pPr>
            <w:r>
              <w:t>项目废气产生及排放情况见下表：</w:t>
            </w:r>
          </w:p>
          <w:p>
            <w:pPr>
              <w:tabs>
                <w:tab w:val="left" w:pos="1275"/>
              </w:tabs>
              <w:spacing w:line="360" w:lineRule="auto"/>
              <w:ind w:firstLine="482" w:firstLineChars="200"/>
              <w:jc w:val="center"/>
              <w:rPr>
                <w:b/>
                <w:bCs/>
              </w:rPr>
            </w:pPr>
            <w:r>
              <w:rPr>
                <w:b/>
                <w:bCs/>
              </w:rPr>
              <w:t>表</w:t>
            </w:r>
            <w:r>
              <w:rPr>
                <w:rFonts w:hint="eastAsia"/>
                <w:b/>
                <w:bCs/>
              </w:rPr>
              <w:t>4-1</w:t>
            </w:r>
            <w:r>
              <w:rPr>
                <w:b/>
                <w:bCs/>
              </w:rPr>
              <w:t xml:space="preserve">  项目无组织废气产生和排放情况一览表</w:t>
            </w:r>
          </w:p>
          <w:tbl>
            <w:tblPr>
              <w:tblStyle w:val="24"/>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1508"/>
              <w:gridCol w:w="1173"/>
              <w:gridCol w:w="1402"/>
              <w:gridCol w:w="911"/>
              <w:gridCol w:w="975"/>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4" w:hRule="atLeast"/>
                <w:jc w:val="center"/>
              </w:trPr>
              <w:tc>
                <w:tcPr>
                  <w:tcW w:w="1444" w:type="dxa"/>
                  <w:tcBorders>
                    <w:top w:val="single" w:color="auto" w:sz="4" w:space="0"/>
                    <w:bottom w:val="single" w:color="auto" w:sz="4" w:space="0"/>
                    <w:right w:val="single" w:color="auto" w:sz="4" w:space="0"/>
                  </w:tcBorders>
                  <w:vAlign w:val="center"/>
                </w:tcPr>
                <w:p>
                  <w:pPr>
                    <w:jc w:val="center"/>
                    <w:outlineLvl w:val="0"/>
                    <w:rPr>
                      <w:b/>
                      <w:sz w:val="21"/>
                      <w:szCs w:val="21"/>
                    </w:rPr>
                  </w:pPr>
                  <w:r>
                    <w:rPr>
                      <w:b/>
                      <w:sz w:val="21"/>
                      <w:szCs w:val="21"/>
                      <w:lang w:bidi="ar"/>
                    </w:rPr>
                    <w:t>污染物</w:t>
                  </w:r>
                </w:p>
              </w:tc>
              <w:tc>
                <w:tcPr>
                  <w:tcW w:w="1508" w:type="dxa"/>
                  <w:tcBorders>
                    <w:top w:val="single" w:color="auto" w:sz="4" w:space="0"/>
                    <w:left w:val="nil"/>
                    <w:bottom w:val="single" w:color="auto" w:sz="4" w:space="0"/>
                    <w:right w:val="single" w:color="auto" w:sz="4" w:space="0"/>
                  </w:tcBorders>
                  <w:vAlign w:val="center"/>
                </w:tcPr>
                <w:p>
                  <w:pPr>
                    <w:jc w:val="center"/>
                    <w:outlineLvl w:val="0"/>
                    <w:rPr>
                      <w:b/>
                      <w:sz w:val="21"/>
                      <w:szCs w:val="21"/>
                    </w:rPr>
                  </w:pPr>
                  <w:r>
                    <w:rPr>
                      <w:b/>
                      <w:sz w:val="21"/>
                      <w:szCs w:val="21"/>
                      <w:lang w:bidi="ar"/>
                    </w:rPr>
                    <w:t>污染源</w:t>
                  </w:r>
                </w:p>
                <w:p>
                  <w:pPr>
                    <w:jc w:val="center"/>
                    <w:outlineLvl w:val="0"/>
                    <w:rPr>
                      <w:b/>
                      <w:sz w:val="21"/>
                      <w:szCs w:val="21"/>
                    </w:rPr>
                  </w:pPr>
                  <w:r>
                    <w:rPr>
                      <w:b/>
                      <w:sz w:val="21"/>
                      <w:szCs w:val="21"/>
                      <w:lang w:bidi="ar"/>
                    </w:rPr>
                    <w:t>位置</w:t>
                  </w:r>
                </w:p>
              </w:tc>
              <w:tc>
                <w:tcPr>
                  <w:tcW w:w="1173" w:type="dxa"/>
                  <w:tcBorders>
                    <w:top w:val="single" w:color="auto" w:sz="4" w:space="0"/>
                    <w:left w:val="nil"/>
                    <w:bottom w:val="single" w:color="auto" w:sz="4" w:space="0"/>
                    <w:right w:val="single" w:color="auto" w:sz="4" w:space="0"/>
                  </w:tcBorders>
                  <w:vAlign w:val="center"/>
                </w:tcPr>
                <w:p>
                  <w:pPr>
                    <w:jc w:val="center"/>
                    <w:outlineLvl w:val="0"/>
                    <w:rPr>
                      <w:b/>
                      <w:sz w:val="21"/>
                      <w:szCs w:val="21"/>
                    </w:rPr>
                  </w:pPr>
                  <w:r>
                    <w:rPr>
                      <w:b/>
                      <w:sz w:val="21"/>
                      <w:szCs w:val="21"/>
                      <w:lang w:bidi="ar"/>
                    </w:rPr>
                    <w:t>污染物排放量（t/a）</w:t>
                  </w:r>
                </w:p>
              </w:tc>
              <w:tc>
                <w:tcPr>
                  <w:tcW w:w="1402" w:type="dxa"/>
                  <w:tcBorders>
                    <w:top w:val="single" w:color="auto" w:sz="4" w:space="0"/>
                    <w:left w:val="nil"/>
                    <w:bottom w:val="single" w:color="auto" w:sz="4" w:space="0"/>
                    <w:right w:val="single" w:color="auto" w:sz="4" w:space="0"/>
                  </w:tcBorders>
                  <w:vAlign w:val="center"/>
                </w:tcPr>
                <w:p>
                  <w:pPr>
                    <w:jc w:val="center"/>
                    <w:outlineLvl w:val="0"/>
                    <w:rPr>
                      <w:b/>
                      <w:sz w:val="21"/>
                      <w:szCs w:val="21"/>
                    </w:rPr>
                  </w:pPr>
                  <w:r>
                    <w:rPr>
                      <w:b/>
                      <w:sz w:val="21"/>
                      <w:szCs w:val="21"/>
                      <w:lang w:bidi="ar"/>
                    </w:rPr>
                    <w:t>污染物排放速率（kg/h）</w:t>
                  </w:r>
                </w:p>
              </w:tc>
              <w:tc>
                <w:tcPr>
                  <w:tcW w:w="911" w:type="dxa"/>
                  <w:tcBorders>
                    <w:top w:val="single" w:color="auto" w:sz="4" w:space="0"/>
                    <w:left w:val="nil"/>
                    <w:bottom w:val="single" w:color="auto" w:sz="4" w:space="0"/>
                    <w:right w:val="single" w:color="auto" w:sz="4" w:space="0"/>
                  </w:tcBorders>
                  <w:vAlign w:val="center"/>
                </w:tcPr>
                <w:p>
                  <w:pPr>
                    <w:jc w:val="center"/>
                    <w:outlineLvl w:val="0"/>
                    <w:rPr>
                      <w:b/>
                      <w:sz w:val="21"/>
                      <w:szCs w:val="21"/>
                    </w:rPr>
                  </w:pPr>
                  <w:r>
                    <w:rPr>
                      <w:b/>
                      <w:sz w:val="21"/>
                      <w:szCs w:val="21"/>
                      <w:lang w:bidi="ar"/>
                    </w:rPr>
                    <w:t>面源长度（m）</w:t>
                  </w:r>
                </w:p>
              </w:tc>
              <w:tc>
                <w:tcPr>
                  <w:tcW w:w="975" w:type="dxa"/>
                  <w:tcBorders>
                    <w:top w:val="single" w:color="auto" w:sz="4" w:space="0"/>
                    <w:left w:val="nil"/>
                    <w:bottom w:val="single" w:color="auto" w:sz="4" w:space="0"/>
                    <w:right w:val="single" w:color="auto" w:sz="4" w:space="0"/>
                  </w:tcBorders>
                  <w:vAlign w:val="center"/>
                </w:tcPr>
                <w:p>
                  <w:pPr>
                    <w:jc w:val="center"/>
                    <w:outlineLvl w:val="0"/>
                    <w:rPr>
                      <w:b/>
                      <w:sz w:val="21"/>
                      <w:szCs w:val="21"/>
                    </w:rPr>
                  </w:pPr>
                  <w:r>
                    <w:rPr>
                      <w:b/>
                      <w:sz w:val="21"/>
                      <w:szCs w:val="21"/>
                      <w:lang w:bidi="ar"/>
                    </w:rPr>
                    <w:t>面源宽度（m）</w:t>
                  </w:r>
                </w:p>
              </w:tc>
              <w:tc>
                <w:tcPr>
                  <w:tcW w:w="957" w:type="dxa"/>
                  <w:tcBorders>
                    <w:top w:val="single" w:color="auto" w:sz="4" w:space="0"/>
                    <w:left w:val="nil"/>
                    <w:bottom w:val="single" w:color="auto" w:sz="4" w:space="0"/>
                    <w:right w:val="single" w:color="auto" w:sz="4" w:space="0"/>
                  </w:tcBorders>
                  <w:vAlign w:val="center"/>
                </w:tcPr>
                <w:p>
                  <w:pPr>
                    <w:jc w:val="center"/>
                    <w:outlineLvl w:val="0"/>
                    <w:rPr>
                      <w:b/>
                      <w:sz w:val="21"/>
                      <w:szCs w:val="21"/>
                    </w:rPr>
                  </w:pPr>
                  <w:r>
                    <w:rPr>
                      <w:b/>
                      <w:sz w:val="21"/>
                      <w:szCs w:val="21"/>
                      <w:lang w:bidi="ar"/>
                    </w:rPr>
                    <w:t>面源高度（m）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444" w:type="dxa"/>
                  <w:tcBorders>
                    <w:top w:val="single" w:color="auto" w:sz="4" w:space="0"/>
                    <w:bottom w:val="single" w:color="auto" w:sz="4" w:space="0"/>
                    <w:right w:val="single" w:color="auto" w:sz="4" w:space="0"/>
                  </w:tcBorders>
                  <w:vAlign w:val="center"/>
                </w:tcPr>
                <w:p>
                  <w:pPr>
                    <w:jc w:val="center"/>
                    <w:textAlignment w:val="bottom"/>
                    <w:rPr>
                      <w:kern w:val="21"/>
                      <w:sz w:val="21"/>
                      <w:szCs w:val="21"/>
                      <w:lang w:bidi="ar"/>
                    </w:rPr>
                  </w:pPr>
                  <w:r>
                    <w:rPr>
                      <w:kern w:val="21"/>
                      <w:sz w:val="21"/>
                      <w:szCs w:val="21"/>
                      <w:lang w:bidi="ar"/>
                    </w:rPr>
                    <w:t>水泥仓呼吸粉尘</w:t>
                  </w:r>
                </w:p>
              </w:tc>
              <w:tc>
                <w:tcPr>
                  <w:tcW w:w="1508" w:type="dxa"/>
                  <w:tcBorders>
                    <w:top w:val="single" w:color="auto" w:sz="4" w:space="0"/>
                    <w:left w:val="nil"/>
                    <w:right w:val="single" w:color="auto" w:sz="4" w:space="0"/>
                  </w:tcBorders>
                  <w:vAlign w:val="center"/>
                </w:tcPr>
                <w:p>
                  <w:pPr>
                    <w:ind w:left="-19" w:leftChars="-63" w:right="-156" w:rightChars="-65" w:hanging="132" w:hangingChars="63"/>
                    <w:jc w:val="center"/>
                    <w:outlineLvl w:val="0"/>
                    <w:rPr>
                      <w:sz w:val="21"/>
                      <w:szCs w:val="21"/>
                    </w:rPr>
                  </w:pPr>
                  <w:r>
                    <w:rPr>
                      <w:sz w:val="21"/>
                      <w:szCs w:val="21"/>
                    </w:rPr>
                    <w:t>1#生产车间</w:t>
                  </w:r>
                </w:p>
              </w:tc>
              <w:tc>
                <w:tcPr>
                  <w:tcW w:w="1173" w:type="dxa"/>
                  <w:tcBorders>
                    <w:top w:val="single" w:color="auto" w:sz="4" w:space="0"/>
                    <w:left w:val="nil"/>
                    <w:right w:val="single" w:color="auto" w:sz="4" w:space="0"/>
                  </w:tcBorders>
                  <w:vAlign w:val="center"/>
                </w:tcPr>
                <w:p>
                  <w:pPr>
                    <w:jc w:val="center"/>
                    <w:rPr>
                      <w:color w:val="000000" w:themeColor="text1"/>
                      <w:sz w:val="21"/>
                      <w:szCs w:val="21"/>
                      <w14:textFill>
                        <w14:solidFill>
                          <w14:schemeClr w14:val="tx1"/>
                        </w14:solidFill>
                      </w14:textFill>
                    </w:rPr>
                  </w:pPr>
                  <w:r>
                    <w:rPr>
                      <w:color w:val="000000"/>
                      <w:sz w:val="21"/>
                      <w:szCs w:val="21"/>
                    </w:rPr>
                    <w:t>0.042</w:t>
                  </w:r>
                </w:p>
              </w:tc>
              <w:tc>
                <w:tcPr>
                  <w:tcW w:w="1402" w:type="dxa"/>
                  <w:tcBorders>
                    <w:top w:val="single" w:color="auto" w:sz="4" w:space="0"/>
                    <w:left w:val="nil"/>
                    <w:right w:val="single" w:color="auto" w:sz="4" w:space="0"/>
                  </w:tcBorders>
                  <w:vAlign w:val="center"/>
                </w:tcPr>
                <w:p>
                  <w:pPr>
                    <w:jc w:val="center"/>
                    <w:outlineLvl w:val="0"/>
                    <w:rPr>
                      <w:color w:val="000000" w:themeColor="text1"/>
                      <w:sz w:val="21"/>
                      <w:szCs w:val="21"/>
                      <w14:textFill>
                        <w14:solidFill>
                          <w14:schemeClr w14:val="tx1"/>
                        </w14:solidFill>
                      </w14:textFill>
                    </w:rPr>
                  </w:pPr>
                  <w:r>
                    <w:rPr>
                      <w:color w:val="000000"/>
                      <w:sz w:val="21"/>
                      <w:szCs w:val="21"/>
                    </w:rPr>
                    <w:t>0.008</w:t>
                  </w:r>
                </w:p>
              </w:tc>
              <w:tc>
                <w:tcPr>
                  <w:tcW w:w="911" w:type="dxa"/>
                  <w:tcBorders>
                    <w:top w:val="single" w:color="auto" w:sz="4" w:space="0"/>
                    <w:left w:val="nil"/>
                    <w:right w:val="single" w:color="auto" w:sz="4" w:space="0"/>
                  </w:tcBorders>
                  <w:vAlign w:val="center"/>
                </w:tcPr>
                <w:p>
                  <w:pPr>
                    <w:jc w:val="center"/>
                    <w:outlineLvl w:val="0"/>
                    <w:rPr>
                      <w:sz w:val="21"/>
                      <w:szCs w:val="21"/>
                    </w:rPr>
                  </w:pPr>
                  <w:r>
                    <w:rPr>
                      <w:sz w:val="21"/>
                      <w:szCs w:val="21"/>
                    </w:rPr>
                    <w:t>50</w:t>
                  </w:r>
                </w:p>
              </w:tc>
              <w:tc>
                <w:tcPr>
                  <w:tcW w:w="975" w:type="dxa"/>
                  <w:tcBorders>
                    <w:top w:val="single" w:color="auto" w:sz="4" w:space="0"/>
                    <w:left w:val="nil"/>
                    <w:right w:val="single" w:color="auto" w:sz="4" w:space="0"/>
                  </w:tcBorders>
                  <w:vAlign w:val="center"/>
                </w:tcPr>
                <w:p>
                  <w:pPr>
                    <w:jc w:val="center"/>
                    <w:outlineLvl w:val="0"/>
                    <w:rPr>
                      <w:sz w:val="21"/>
                      <w:szCs w:val="21"/>
                    </w:rPr>
                  </w:pPr>
                  <w:r>
                    <w:rPr>
                      <w:sz w:val="21"/>
                      <w:szCs w:val="21"/>
                    </w:rPr>
                    <w:t>20</w:t>
                  </w:r>
                </w:p>
              </w:tc>
              <w:tc>
                <w:tcPr>
                  <w:tcW w:w="957" w:type="dxa"/>
                  <w:tcBorders>
                    <w:top w:val="single" w:color="auto" w:sz="4" w:space="0"/>
                    <w:left w:val="nil"/>
                    <w:right w:val="single" w:color="auto" w:sz="4" w:space="0"/>
                  </w:tcBorders>
                  <w:vAlign w:val="center"/>
                </w:tcPr>
                <w:p>
                  <w:pPr>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444" w:type="dxa"/>
                  <w:tcBorders>
                    <w:top w:val="single" w:color="auto" w:sz="4" w:space="0"/>
                    <w:bottom w:val="single" w:color="auto" w:sz="4" w:space="0"/>
                    <w:right w:val="single" w:color="auto" w:sz="4" w:space="0"/>
                  </w:tcBorders>
                  <w:vAlign w:val="center"/>
                </w:tcPr>
                <w:p>
                  <w:pPr>
                    <w:jc w:val="center"/>
                    <w:textAlignment w:val="bottom"/>
                    <w:rPr>
                      <w:kern w:val="21"/>
                      <w:sz w:val="21"/>
                      <w:szCs w:val="21"/>
                      <w:lang w:bidi="ar"/>
                    </w:rPr>
                  </w:pPr>
                  <w:r>
                    <w:rPr>
                      <w:kern w:val="21"/>
                      <w:sz w:val="21"/>
                      <w:szCs w:val="21"/>
                      <w:lang w:bidi="ar"/>
                    </w:rPr>
                    <w:t>水泥仓呼吸粉尘</w:t>
                  </w:r>
                </w:p>
              </w:tc>
              <w:tc>
                <w:tcPr>
                  <w:tcW w:w="1508" w:type="dxa"/>
                  <w:tcBorders>
                    <w:top w:val="single" w:color="auto" w:sz="4" w:space="0"/>
                    <w:left w:val="nil"/>
                    <w:bottom w:val="single" w:color="auto" w:sz="4" w:space="0"/>
                    <w:right w:val="single" w:color="auto" w:sz="4" w:space="0"/>
                  </w:tcBorders>
                  <w:vAlign w:val="center"/>
                </w:tcPr>
                <w:p>
                  <w:pPr>
                    <w:ind w:left="-19" w:leftChars="-63" w:right="-156" w:rightChars="-65" w:hanging="132" w:hangingChars="63"/>
                    <w:jc w:val="center"/>
                    <w:outlineLvl w:val="0"/>
                    <w:rPr>
                      <w:sz w:val="21"/>
                      <w:szCs w:val="21"/>
                    </w:rPr>
                  </w:pPr>
                  <w:r>
                    <w:rPr>
                      <w:sz w:val="21"/>
                      <w:szCs w:val="21"/>
                    </w:rPr>
                    <w:t>2#生产车间</w:t>
                  </w:r>
                </w:p>
              </w:tc>
              <w:tc>
                <w:tcPr>
                  <w:tcW w:w="1173"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r>
                    <w:rPr>
                      <w:color w:val="000000"/>
                      <w:sz w:val="21"/>
                      <w:szCs w:val="21"/>
                    </w:rPr>
                    <w:t>0.042</w:t>
                  </w:r>
                </w:p>
              </w:tc>
              <w:tc>
                <w:tcPr>
                  <w:tcW w:w="1402" w:type="dxa"/>
                  <w:tcBorders>
                    <w:top w:val="single" w:color="auto" w:sz="4" w:space="0"/>
                    <w:left w:val="nil"/>
                    <w:bottom w:val="single" w:color="auto" w:sz="4" w:space="0"/>
                    <w:right w:val="single" w:color="auto" w:sz="4" w:space="0"/>
                  </w:tcBorders>
                  <w:vAlign w:val="center"/>
                </w:tcPr>
                <w:p>
                  <w:pPr>
                    <w:jc w:val="center"/>
                    <w:outlineLvl w:val="0"/>
                    <w:rPr>
                      <w:color w:val="000000" w:themeColor="text1"/>
                      <w:sz w:val="21"/>
                      <w:szCs w:val="21"/>
                      <w14:textFill>
                        <w14:solidFill>
                          <w14:schemeClr w14:val="tx1"/>
                        </w14:solidFill>
                      </w14:textFill>
                    </w:rPr>
                  </w:pPr>
                  <w:r>
                    <w:rPr>
                      <w:color w:val="000000"/>
                      <w:sz w:val="21"/>
                      <w:szCs w:val="21"/>
                    </w:rPr>
                    <w:t>0.008</w:t>
                  </w:r>
                </w:p>
              </w:tc>
              <w:tc>
                <w:tcPr>
                  <w:tcW w:w="911" w:type="dxa"/>
                  <w:tcBorders>
                    <w:top w:val="single" w:color="auto" w:sz="4" w:space="0"/>
                    <w:left w:val="nil"/>
                    <w:bottom w:val="single" w:color="auto" w:sz="4" w:space="0"/>
                    <w:right w:val="single" w:color="auto" w:sz="4" w:space="0"/>
                  </w:tcBorders>
                  <w:vAlign w:val="center"/>
                </w:tcPr>
                <w:p>
                  <w:pPr>
                    <w:jc w:val="center"/>
                    <w:outlineLvl w:val="0"/>
                    <w:rPr>
                      <w:sz w:val="21"/>
                      <w:szCs w:val="21"/>
                    </w:rPr>
                  </w:pPr>
                  <w:r>
                    <w:rPr>
                      <w:sz w:val="21"/>
                      <w:szCs w:val="21"/>
                    </w:rPr>
                    <w:t>50</w:t>
                  </w:r>
                </w:p>
              </w:tc>
              <w:tc>
                <w:tcPr>
                  <w:tcW w:w="975" w:type="dxa"/>
                  <w:tcBorders>
                    <w:top w:val="single" w:color="auto" w:sz="4" w:space="0"/>
                    <w:left w:val="nil"/>
                    <w:bottom w:val="single" w:color="auto" w:sz="4" w:space="0"/>
                    <w:right w:val="single" w:color="auto" w:sz="4" w:space="0"/>
                  </w:tcBorders>
                  <w:vAlign w:val="center"/>
                </w:tcPr>
                <w:p>
                  <w:pPr>
                    <w:jc w:val="center"/>
                    <w:outlineLvl w:val="0"/>
                    <w:rPr>
                      <w:sz w:val="21"/>
                      <w:szCs w:val="21"/>
                    </w:rPr>
                  </w:pPr>
                  <w:r>
                    <w:rPr>
                      <w:sz w:val="21"/>
                      <w:szCs w:val="21"/>
                    </w:rPr>
                    <w:t>20</w:t>
                  </w:r>
                </w:p>
              </w:tc>
              <w:tc>
                <w:tcPr>
                  <w:tcW w:w="957" w:type="dxa"/>
                  <w:tcBorders>
                    <w:top w:val="single" w:color="auto" w:sz="4" w:space="0"/>
                    <w:left w:val="nil"/>
                    <w:bottom w:val="single" w:color="auto" w:sz="4" w:space="0"/>
                    <w:right w:val="single" w:color="auto" w:sz="4" w:space="0"/>
                  </w:tcBorders>
                  <w:vAlign w:val="center"/>
                </w:tcPr>
                <w:p>
                  <w:pPr>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444" w:type="dxa"/>
                  <w:tcBorders>
                    <w:top w:val="single" w:color="auto" w:sz="4" w:space="0"/>
                    <w:bottom w:val="single" w:color="auto" w:sz="4" w:space="0"/>
                    <w:right w:val="single" w:color="auto" w:sz="4" w:space="0"/>
                  </w:tcBorders>
                  <w:vAlign w:val="center"/>
                </w:tcPr>
                <w:p>
                  <w:pPr>
                    <w:jc w:val="center"/>
                    <w:textAlignment w:val="bottom"/>
                    <w:rPr>
                      <w:kern w:val="21"/>
                      <w:sz w:val="21"/>
                      <w:szCs w:val="21"/>
                      <w:lang w:bidi="ar"/>
                    </w:rPr>
                  </w:pPr>
                  <w:r>
                    <w:rPr>
                      <w:bCs/>
                      <w:sz w:val="21"/>
                      <w:szCs w:val="21"/>
                    </w:rPr>
                    <w:t>物料混合搅拌粉尘</w:t>
                  </w:r>
                </w:p>
              </w:tc>
              <w:tc>
                <w:tcPr>
                  <w:tcW w:w="1508" w:type="dxa"/>
                  <w:tcBorders>
                    <w:top w:val="single" w:color="auto" w:sz="4" w:space="0"/>
                    <w:left w:val="nil"/>
                    <w:bottom w:val="single" w:color="auto" w:sz="4" w:space="0"/>
                    <w:right w:val="single" w:color="auto" w:sz="4" w:space="0"/>
                  </w:tcBorders>
                  <w:vAlign w:val="center"/>
                </w:tcPr>
                <w:p>
                  <w:pPr>
                    <w:ind w:left="-19" w:leftChars="-63" w:right="-156" w:rightChars="-65" w:hanging="132" w:hangingChars="63"/>
                    <w:jc w:val="center"/>
                    <w:outlineLvl w:val="0"/>
                    <w:rPr>
                      <w:sz w:val="21"/>
                      <w:szCs w:val="21"/>
                    </w:rPr>
                  </w:pPr>
                  <w:r>
                    <w:rPr>
                      <w:sz w:val="21"/>
                      <w:szCs w:val="21"/>
                    </w:rPr>
                    <w:t>1#生产车间</w:t>
                  </w:r>
                </w:p>
              </w:tc>
              <w:tc>
                <w:tcPr>
                  <w:tcW w:w="1173" w:type="dxa"/>
                  <w:tcBorders>
                    <w:top w:val="single" w:color="auto" w:sz="4" w:space="0"/>
                    <w:left w:val="nil"/>
                    <w:bottom w:val="single" w:color="auto" w:sz="4" w:space="0"/>
                    <w:right w:val="single" w:color="auto" w:sz="4" w:space="0"/>
                  </w:tcBorders>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0.1155</w:t>
                  </w:r>
                </w:p>
              </w:tc>
              <w:tc>
                <w:tcPr>
                  <w:tcW w:w="1402" w:type="dxa"/>
                  <w:tcBorders>
                    <w:top w:val="single" w:color="auto" w:sz="4" w:space="0"/>
                    <w:left w:val="nil"/>
                    <w:bottom w:val="single" w:color="auto" w:sz="4" w:space="0"/>
                    <w:right w:val="single" w:color="auto" w:sz="4" w:space="0"/>
                  </w:tcBorders>
                  <w:vAlign w:val="center"/>
                </w:tcPr>
                <w:p>
                  <w:pPr>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0.0225</w:t>
                  </w:r>
                </w:p>
              </w:tc>
              <w:tc>
                <w:tcPr>
                  <w:tcW w:w="911" w:type="dxa"/>
                  <w:tcBorders>
                    <w:top w:val="single" w:color="auto" w:sz="4" w:space="0"/>
                    <w:left w:val="nil"/>
                    <w:bottom w:val="single" w:color="auto" w:sz="4" w:space="0"/>
                    <w:right w:val="single" w:color="auto" w:sz="4" w:space="0"/>
                  </w:tcBorders>
                  <w:vAlign w:val="center"/>
                </w:tcPr>
                <w:p>
                  <w:pPr>
                    <w:jc w:val="center"/>
                    <w:outlineLvl w:val="0"/>
                    <w:rPr>
                      <w:sz w:val="21"/>
                      <w:szCs w:val="21"/>
                    </w:rPr>
                  </w:pPr>
                  <w:r>
                    <w:rPr>
                      <w:sz w:val="21"/>
                      <w:szCs w:val="21"/>
                    </w:rPr>
                    <w:t>50</w:t>
                  </w:r>
                </w:p>
              </w:tc>
              <w:tc>
                <w:tcPr>
                  <w:tcW w:w="975" w:type="dxa"/>
                  <w:tcBorders>
                    <w:top w:val="single" w:color="auto" w:sz="4" w:space="0"/>
                    <w:left w:val="nil"/>
                    <w:bottom w:val="single" w:color="auto" w:sz="4" w:space="0"/>
                    <w:right w:val="single" w:color="auto" w:sz="4" w:space="0"/>
                  </w:tcBorders>
                  <w:vAlign w:val="center"/>
                </w:tcPr>
                <w:p>
                  <w:pPr>
                    <w:jc w:val="center"/>
                    <w:outlineLvl w:val="0"/>
                    <w:rPr>
                      <w:sz w:val="21"/>
                      <w:szCs w:val="21"/>
                    </w:rPr>
                  </w:pPr>
                  <w:r>
                    <w:rPr>
                      <w:sz w:val="21"/>
                      <w:szCs w:val="21"/>
                    </w:rPr>
                    <w:t>20</w:t>
                  </w:r>
                </w:p>
              </w:tc>
              <w:tc>
                <w:tcPr>
                  <w:tcW w:w="957" w:type="dxa"/>
                  <w:tcBorders>
                    <w:top w:val="single" w:color="auto" w:sz="4" w:space="0"/>
                    <w:left w:val="nil"/>
                    <w:bottom w:val="single" w:color="auto" w:sz="4" w:space="0"/>
                    <w:right w:val="single" w:color="auto" w:sz="4" w:space="0"/>
                  </w:tcBorders>
                  <w:vAlign w:val="center"/>
                </w:tcPr>
                <w:p>
                  <w:pPr>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444" w:type="dxa"/>
                  <w:tcBorders>
                    <w:top w:val="single" w:color="auto" w:sz="4" w:space="0"/>
                    <w:bottom w:val="single" w:color="auto" w:sz="4" w:space="0"/>
                    <w:right w:val="single" w:color="auto" w:sz="4" w:space="0"/>
                  </w:tcBorders>
                  <w:vAlign w:val="center"/>
                </w:tcPr>
                <w:p>
                  <w:pPr>
                    <w:jc w:val="center"/>
                    <w:textAlignment w:val="bottom"/>
                    <w:rPr>
                      <w:bCs/>
                      <w:sz w:val="21"/>
                      <w:szCs w:val="21"/>
                    </w:rPr>
                  </w:pPr>
                  <w:r>
                    <w:rPr>
                      <w:bCs/>
                      <w:sz w:val="21"/>
                      <w:szCs w:val="21"/>
                    </w:rPr>
                    <w:t>物料混合搅拌粉尘</w:t>
                  </w:r>
                </w:p>
              </w:tc>
              <w:tc>
                <w:tcPr>
                  <w:tcW w:w="1508" w:type="dxa"/>
                  <w:tcBorders>
                    <w:top w:val="single" w:color="auto" w:sz="4" w:space="0"/>
                    <w:left w:val="nil"/>
                    <w:right w:val="single" w:color="auto" w:sz="4" w:space="0"/>
                  </w:tcBorders>
                  <w:vAlign w:val="center"/>
                </w:tcPr>
                <w:p>
                  <w:pPr>
                    <w:ind w:left="-19" w:leftChars="-63" w:right="-156" w:rightChars="-65" w:hanging="132" w:hangingChars="63"/>
                    <w:jc w:val="center"/>
                    <w:outlineLvl w:val="0"/>
                    <w:rPr>
                      <w:sz w:val="21"/>
                      <w:szCs w:val="21"/>
                    </w:rPr>
                  </w:pPr>
                  <w:r>
                    <w:rPr>
                      <w:sz w:val="21"/>
                      <w:szCs w:val="21"/>
                    </w:rPr>
                    <w:t>2#生产车间</w:t>
                  </w:r>
                </w:p>
              </w:tc>
              <w:tc>
                <w:tcPr>
                  <w:tcW w:w="1173" w:type="dxa"/>
                  <w:tcBorders>
                    <w:top w:val="single" w:color="auto" w:sz="4" w:space="0"/>
                    <w:left w:val="nil"/>
                    <w:right w:val="single" w:color="auto" w:sz="4" w:space="0"/>
                  </w:tcBorders>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0.1155</w:t>
                  </w:r>
                </w:p>
              </w:tc>
              <w:tc>
                <w:tcPr>
                  <w:tcW w:w="1402" w:type="dxa"/>
                  <w:tcBorders>
                    <w:top w:val="single" w:color="auto" w:sz="4" w:space="0"/>
                    <w:left w:val="nil"/>
                    <w:right w:val="single" w:color="auto" w:sz="4" w:space="0"/>
                  </w:tcBorders>
                  <w:vAlign w:val="center"/>
                </w:tcPr>
                <w:p>
                  <w:pPr>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0.0225</w:t>
                  </w:r>
                </w:p>
              </w:tc>
              <w:tc>
                <w:tcPr>
                  <w:tcW w:w="911" w:type="dxa"/>
                  <w:tcBorders>
                    <w:top w:val="single" w:color="auto" w:sz="4" w:space="0"/>
                    <w:left w:val="nil"/>
                    <w:right w:val="single" w:color="auto" w:sz="4" w:space="0"/>
                  </w:tcBorders>
                  <w:vAlign w:val="center"/>
                </w:tcPr>
                <w:p>
                  <w:pPr>
                    <w:jc w:val="center"/>
                    <w:outlineLvl w:val="0"/>
                    <w:rPr>
                      <w:sz w:val="21"/>
                      <w:szCs w:val="21"/>
                    </w:rPr>
                  </w:pPr>
                  <w:r>
                    <w:rPr>
                      <w:sz w:val="21"/>
                      <w:szCs w:val="21"/>
                    </w:rPr>
                    <w:t>50</w:t>
                  </w:r>
                </w:p>
              </w:tc>
              <w:tc>
                <w:tcPr>
                  <w:tcW w:w="975" w:type="dxa"/>
                  <w:tcBorders>
                    <w:top w:val="single" w:color="auto" w:sz="4" w:space="0"/>
                    <w:left w:val="nil"/>
                    <w:right w:val="single" w:color="auto" w:sz="4" w:space="0"/>
                  </w:tcBorders>
                  <w:vAlign w:val="center"/>
                </w:tcPr>
                <w:p>
                  <w:pPr>
                    <w:jc w:val="center"/>
                    <w:outlineLvl w:val="0"/>
                    <w:rPr>
                      <w:sz w:val="21"/>
                      <w:szCs w:val="21"/>
                    </w:rPr>
                  </w:pPr>
                  <w:r>
                    <w:rPr>
                      <w:sz w:val="21"/>
                      <w:szCs w:val="21"/>
                    </w:rPr>
                    <w:t>20</w:t>
                  </w:r>
                </w:p>
              </w:tc>
              <w:tc>
                <w:tcPr>
                  <w:tcW w:w="957" w:type="dxa"/>
                  <w:tcBorders>
                    <w:top w:val="single" w:color="auto" w:sz="4" w:space="0"/>
                    <w:left w:val="nil"/>
                    <w:right w:val="single" w:color="auto" w:sz="4" w:space="0"/>
                  </w:tcBorders>
                  <w:vAlign w:val="center"/>
                </w:tcPr>
                <w:p>
                  <w:pPr>
                    <w:jc w:val="center"/>
                    <w:outlineLvl w:val="0"/>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8</w:t>
                  </w:r>
                </w:p>
              </w:tc>
            </w:tr>
          </w:tbl>
          <w:p>
            <w:pPr>
              <w:spacing w:line="360" w:lineRule="auto"/>
              <w:jc w:val="center"/>
            </w:pPr>
            <w:r>
              <w:rPr>
                <w:b/>
                <w:bCs/>
              </w:rPr>
              <w:t>表4-</w:t>
            </w:r>
            <w:r>
              <w:rPr>
                <w:rFonts w:hint="eastAsia"/>
                <w:b/>
                <w:bCs/>
                <w:lang w:val="en-US" w:eastAsia="zh-CN"/>
              </w:rPr>
              <w:t>2</w:t>
            </w:r>
            <w:r>
              <w:rPr>
                <w:rFonts w:hint="eastAsia"/>
                <w:b/>
                <w:bCs/>
              </w:rPr>
              <w:t xml:space="preserve">  产排污环节、废气污染物对应排放口类型一览表</w:t>
            </w:r>
          </w:p>
          <w:tbl>
            <w:tblPr>
              <w:tblStyle w:val="24"/>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985"/>
              <w:gridCol w:w="770"/>
              <w:gridCol w:w="1672"/>
              <w:gridCol w:w="836"/>
              <w:gridCol w:w="812"/>
              <w:gridCol w:w="840"/>
              <w:gridCol w:w="91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743" w:type="dxa"/>
                  <w:vMerge w:val="restart"/>
                  <w:vAlign w:val="center"/>
                </w:tcPr>
                <w:p>
                  <w:pPr>
                    <w:jc w:val="center"/>
                    <w:rPr>
                      <w:b/>
                      <w:bCs/>
                      <w:sz w:val="21"/>
                      <w:szCs w:val="21"/>
                    </w:rPr>
                  </w:pPr>
                  <w:r>
                    <w:rPr>
                      <w:b/>
                      <w:bCs/>
                      <w:sz w:val="21"/>
                      <w:szCs w:val="21"/>
                    </w:rPr>
                    <w:t>产污环节</w:t>
                  </w:r>
                </w:p>
              </w:tc>
              <w:tc>
                <w:tcPr>
                  <w:tcW w:w="985" w:type="dxa"/>
                  <w:vMerge w:val="restart"/>
                  <w:vAlign w:val="center"/>
                </w:tcPr>
                <w:p>
                  <w:pPr>
                    <w:jc w:val="center"/>
                    <w:rPr>
                      <w:b/>
                      <w:bCs/>
                      <w:sz w:val="21"/>
                      <w:szCs w:val="21"/>
                    </w:rPr>
                  </w:pPr>
                  <w:r>
                    <w:rPr>
                      <w:b/>
                      <w:bCs/>
                      <w:sz w:val="21"/>
                      <w:szCs w:val="21"/>
                    </w:rPr>
                    <w:t>污染物种类</w:t>
                  </w:r>
                </w:p>
              </w:tc>
              <w:tc>
                <w:tcPr>
                  <w:tcW w:w="770" w:type="dxa"/>
                  <w:vMerge w:val="restart"/>
                  <w:vAlign w:val="center"/>
                </w:tcPr>
                <w:p>
                  <w:pPr>
                    <w:jc w:val="center"/>
                    <w:rPr>
                      <w:b/>
                      <w:bCs/>
                      <w:sz w:val="21"/>
                      <w:szCs w:val="21"/>
                    </w:rPr>
                  </w:pPr>
                  <w:r>
                    <w:rPr>
                      <w:b/>
                      <w:bCs/>
                      <w:sz w:val="21"/>
                      <w:szCs w:val="21"/>
                    </w:rPr>
                    <w:t>排放形式</w:t>
                  </w:r>
                </w:p>
              </w:tc>
              <w:tc>
                <w:tcPr>
                  <w:tcW w:w="4160" w:type="dxa"/>
                  <w:gridSpan w:val="4"/>
                  <w:vAlign w:val="center"/>
                </w:tcPr>
                <w:p>
                  <w:pPr>
                    <w:jc w:val="center"/>
                    <w:rPr>
                      <w:b/>
                      <w:bCs/>
                      <w:sz w:val="21"/>
                      <w:szCs w:val="21"/>
                    </w:rPr>
                  </w:pPr>
                  <w:r>
                    <w:rPr>
                      <w:b/>
                      <w:bCs/>
                      <w:sz w:val="21"/>
                      <w:szCs w:val="21"/>
                    </w:rPr>
                    <w:t>治理设施</w:t>
                  </w:r>
                </w:p>
              </w:tc>
              <w:tc>
                <w:tcPr>
                  <w:tcW w:w="916" w:type="dxa"/>
                  <w:vMerge w:val="restart"/>
                  <w:vAlign w:val="center"/>
                </w:tcPr>
                <w:p>
                  <w:pPr>
                    <w:jc w:val="center"/>
                    <w:rPr>
                      <w:b/>
                      <w:bCs/>
                      <w:sz w:val="21"/>
                      <w:szCs w:val="21"/>
                    </w:rPr>
                  </w:pPr>
                  <w:r>
                    <w:rPr>
                      <w:b/>
                      <w:bCs/>
                      <w:sz w:val="21"/>
                      <w:szCs w:val="21"/>
                    </w:rPr>
                    <w:t>排放口编号</w:t>
                  </w:r>
                </w:p>
              </w:tc>
              <w:tc>
                <w:tcPr>
                  <w:tcW w:w="886" w:type="dxa"/>
                  <w:vMerge w:val="restart"/>
                  <w:vAlign w:val="center"/>
                </w:tcPr>
                <w:p>
                  <w:pPr>
                    <w:jc w:val="center"/>
                    <w:rPr>
                      <w:b/>
                      <w:bCs/>
                      <w:sz w:val="21"/>
                      <w:szCs w:val="21"/>
                    </w:rPr>
                  </w:pPr>
                  <w:r>
                    <w:rPr>
                      <w:b/>
                      <w:bCs/>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43" w:type="dxa"/>
                  <w:vMerge w:val="continue"/>
                  <w:vAlign w:val="center"/>
                </w:tcPr>
                <w:p>
                  <w:pPr>
                    <w:jc w:val="center"/>
                    <w:rPr>
                      <w:sz w:val="21"/>
                      <w:szCs w:val="21"/>
                    </w:rPr>
                  </w:pPr>
                </w:p>
              </w:tc>
              <w:tc>
                <w:tcPr>
                  <w:tcW w:w="985" w:type="dxa"/>
                  <w:vMerge w:val="continue"/>
                  <w:vAlign w:val="center"/>
                </w:tcPr>
                <w:p>
                  <w:pPr>
                    <w:jc w:val="center"/>
                    <w:rPr>
                      <w:sz w:val="21"/>
                      <w:szCs w:val="21"/>
                    </w:rPr>
                  </w:pPr>
                </w:p>
              </w:tc>
              <w:tc>
                <w:tcPr>
                  <w:tcW w:w="770" w:type="dxa"/>
                  <w:vMerge w:val="continue"/>
                  <w:vAlign w:val="center"/>
                </w:tcPr>
                <w:p>
                  <w:pPr>
                    <w:jc w:val="center"/>
                    <w:rPr>
                      <w:sz w:val="21"/>
                      <w:szCs w:val="21"/>
                    </w:rPr>
                  </w:pPr>
                </w:p>
              </w:tc>
              <w:tc>
                <w:tcPr>
                  <w:tcW w:w="1672" w:type="dxa"/>
                  <w:vAlign w:val="center"/>
                </w:tcPr>
                <w:p>
                  <w:pPr>
                    <w:jc w:val="center"/>
                    <w:rPr>
                      <w:b/>
                      <w:bCs/>
                      <w:sz w:val="21"/>
                      <w:szCs w:val="21"/>
                    </w:rPr>
                  </w:pPr>
                  <w:r>
                    <w:rPr>
                      <w:b/>
                      <w:bCs/>
                      <w:sz w:val="21"/>
                      <w:szCs w:val="21"/>
                    </w:rPr>
                    <w:t>治理工艺</w:t>
                  </w:r>
                </w:p>
              </w:tc>
              <w:tc>
                <w:tcPr>
                  <w:tcW w:w="836" w:type="dxa"/>
                  <w:vAlign w:val="center"/>
                </w:tcPr>
                <w:p>
                  <w:pPr>
                    <w:jc w:val="center"/>
                    <w:rPr>
                      <w:b/>
                      <w:bCs/>
                      <w:sz w:val="21"/>
                      <w:szCs w:val="21"/>
                    </w:rPr>
                  </w:pPr>
                  <w:r>
                    <w:rPr>
                      <w:b/>
                      <w:bCs/>
                      <w:sz w:val="21"/>
                      <w:szCs w:val="21"/>
                    </w:rPr>
                    <w:t>收集效率</w:t>
                  </w:r>
                </w:p>
              </w:tc>
              <w:tc>
                <w:tcPr>
                  <w:tcW w:w="812" w:type="dxa"/>
                  <w:vAlign w:val="center"/>
                </w:tcPr>
                <w:p>
                  <w:pPr>
                    <w:jc w:val="center"/>
                    <w:rPr>
                      <w:b/>
                      <w:bCs/>
                      <w:sz w:val="21"/>
                      <w:szCs w:val="21"/>
                    </w:rPr>
                  </w:pPr>
                  <w:r>
                    <w:rPr>
                      <w:b/>
                      <w:bCs/>
                      <w:sz w:val="21"/>
                      <w:szCs w:val="21"/>
                    </w:rPr>
                    <w:t>处理效率</w:t>
                  </w:r>
                </w:p>
              </w:tc>
              <w:tc>
                <w:tcPr>
                  <w:tcW w:w="840" w:type="dxa"/>
                  <w:vAlign w:val="center"/>
                </w:tcPr>
                <w:p>
                  <w:pPr>
                    <w:jc w:val="center"/>
                    <w:rPr>
                      <w:b/>
                      <w:bCs/>
                      <w:sz w:val="21"/>
                      <w:szCs w:val="21"/>
                    </w:rPr>
                  </w:pPr>
                  <w:r>
                    <w:rPr>
                      <w:b/>
                      <w:bCs/>
                      <w:sz w:val="21"/>
                      <w:szCs w:val="21"/>
                    </w:rPr>
                    <w:t>是否可行</w:t>
                  </w:r>
                </w:p>
              </w:tc>
              <w:tc>
                <w:tcPr>
                  <w:tcW w:w="916" w:type="dxa"/>
                  <w:vMerge w:val="continue"/>
                  <w:vAlign w:val="center"/>
                </w:tcPr>
                <w:p>
                  <w:pPr>
                    <w:jc w:val="center"/>
                    <w:rPr>
                      <w:sz w:val="21"/>
                      <w:szCs w:val="21"/>
                    </w:rPr>
                  </w:pPr>
                </w:p>
              </w:tc>
              <w:tc>
                <w:tcPr>
                  <w:tcW w:w="886"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3" w:type="dxa"/>
                  <w:vAlign w:val="center"/>
                </w:tcPr>
                <w:p>
                  <w:pPr>
                    <w:jc w:val="center"/>
                    <w:rPr>
                      <w:sz w:val="21"/>
                      <w:szCs w:val="21"/>
                      <w:lang w:bidi="ar"/>
                    </w:rPr>
                  </w:pPr>
                  <w:r>
                    <w:rPr>
                      <w:kern w:val="21"/>
                      <w:sz w:val="21"/>
                      <w:szCs w:val="21"/>
                      <w:lang w:bidi="ar"/>
                    </w:rPr>
                    <w:t>水泥仓呼吸</w:t>
                  </w:r>
                </w:p>
              </w:tc>
              <w:tc>
                <w:tcPr>
                  <w:tcW w:w="985" w:type="dxa"/>
                  <w:vAlign w:val="center"/>
                </w:tcPr>
                <w:p>
                  <w:pPr>
                    <w:jc w:val="center"/>
                    <w:rPr>
                      <w:sz w:val="21"/>
                      <w:szCs w:val="21"/>
                      <w:lang w:bidi="ar"/>
                    </w:rPr>
                  </w:pPr>
                  <w:r>
                    <w:rPr>
                      <w:rFonts w:hint="eastAsia"/>
                      <w:sz w:val="21"/>
                      <w:szCs w:val="21"/>
                      <w:lang w:bidi="ar"/>
                    </w:rPr>
                    <w:t>颗粒物</w:t>
                  </w:r>
                </w:p>
              </w:tc>
              <w:tc>
                <w:tcPr>
                  <w:tcW w:w="770" w:type="dxa"/>
                  <w:vAlign w:val="center"/>
                </w:tcPr>
                <w:p>
                  <w:pPr>
                    <w:jc w:val="center"/>
                    <w:rPr>
                      <w:sz w:val="21"/>
                      <w:szCs w:val="21"/>
                    </w:rPr>
                  </w:pPr>
                  <w:r>
                    <w:rPr>
                      <w:rFonts w:hint="eastAsia"/>
                      <w:sz w:val="21"/>
                      <w:szCs w:val="21"/>
                    </w:rPr>
                    <w:t>无组织</w:t>
                  </w:r>
                </w:p>
              </w:tc>
              <w:tc>
                <w:tcPr>
                  <w:tcW w:w="1672" w:type="dxa"/>
                  <w:vAlign w:val="center"/>
                </w:tcPr>
                <w:p>
                  <w:pPr>
                    <w:jc w:val="center"/>
                    <w:rPr>
                      <w:sz w:val="21"/>
                      <w:szCs w:val="21"/>
                    </w:rPr>
                  </w:pPr>
                  <w:r>
                    <w:rPr>
                      <w:rFonts w:hint="eastAsia"/>
                      <w:sz w:val="21"/>
                      <w:szCs w:val="21"/>
                    </w:rPr>
                    <w:t>袋式除尘</w:t>
                  </w:r>
                </w:p>
              </w:tc>
              <w:tc>
                <w:tcPr>
                  <w:tcW w:w="836" w:type="dxa"/>
                  <w:vAlign w:val="center"/>
                </w:tcPr>
                <w:p>
                  <w:pPr>
                    <w:jc w:val="center"/>
                    <w:rPr>
                      <w:sz w:val="21"/>
                      <w:szCs w:val="21"/>
                    </w:rPr>
                  </w:pPr>
                  <w:r>
                    <w:rPr>
                      <w:rFonts w:hint="eastAsia"/>
                      <w:sz w:val="21"/>
                      <w:szCs w:val="21"/>
                    </w:rPr>
                    <w:t>100%</w:t>
                  </w:r>
                </w:p>
              </w:tc>
              <w:tc>
                <w:tcPr>
                  <w:tcW w:w="812" w:type="dxa"/>
                  <w:vAlign w:val="center"/>
                </w:tcPr>
                <w:p>
                  <w:pPr>
                    <w:jc w:val="center"/>
                    <w:rPr>
                      <w:sz w:val="21"/>
                      <w:szCs w:val="21"/>
                    </w:rPr>
                  </w:pPr>
                  <w:r>
                    <w:rPr>
                      <w:rFonts w:hint="eastAsia"/>
                      <w:sz w:val="21"/>
                      <w:szCs w:val="21"/>
                    </w:rPr>
                    <w:t>98%</w:t>
                  </w:r>
                </w:p>
              </w:tc>
              <w:tc>
                <w:tcPr>
                  <w:tcW w:w="840" w:type="dxa"/>
                  <w:vAlign w:val="center"/>
                </w:tcPr>
                <w:p>
                  <w:pPr>
                    <w:jc w:val="center"/>
                    <w:rPr>
                      <w:sz w:val="21"/>
                      <w:szCs w:val="21"/>
                    </w:rPr>
                  </w:pPr>
                  <w:r>
                    <w:rPr>
                      <w:rFonts w:hint="eastAsia"/>
                      <w:sz w:val="21"/>
                      <w:szCs w:val="21"/>
                    </w:rPr>
                    <w:t>是</w:t>
                  </w:r>
                </w:p>
              </w:tc>
              <w:tc>
                <w:tcPr>
                  <w:tcW w:w="916" w:type="dxa"/>
                  <w:vAlign w:val="center"/>
                </w:tcPr>
                <w:p>
                  <w:pPr>
                    <w:jc w:val="center"/>
                    <w:rPr>
                      <w:sz w:val="21"/>
                      <w:szCs w:val="21"/>
                    </w:rPr>
                  </w:pPr>
                  <w:r>
                    <w:rPr>
                      <w:rFonts w:hint="eastAsia"/>
                      <w:sz w:val="21"/>
                      <w:szCs w:val="21"/>
                    </w:rPr>
                    <w:t>/</w:t>
                  </w:r>
                </w:p>
              </w:tc>
              <w:tc>
                <w:tcPr>
                  <w:tcW w:w="886"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atLeast"/>
              </w:trPr>
              <w:tc>
                <w:tcPr>
                  <w:tcW w:w="743" w:type="dxa"/>
                  <w:vAlign w:val="center"/>
                </w:tcPr>
                <w:p>
                  <w:pPr>
                    <w:jc w:val="center"/>
                    <w:rPr>
                      <w:sz w:val="21"/>
                      <w:szCs w:val="21"/>
                      <w:lang w:bidi="ar"/>
                    </w:rPr>
                  </w:pPr>
                  <w:r>
                    <w:rPr>
                      <w:rFonts w:hint="eastAsia"/>
                      <w:sz w:val="21"/>
                      <w:szCs w:val="21"/>
                      <w:lang w:bidi="ar"/>
                    </w:rPr>
                    <w:t>物料混合搅拌</w:t>
                  </w:r>
                </w:p>
              </w:tc>
              <w:tc>
                <w:tcPr>
                  <w:tcW w:w="985" w:type="dxa"/>
                  <w:vAlign w:val="center"/>
                </w:tcPr>
                <w:p>
                  <w:pPr>
                    <w:jc w:val="center"/>
                    <w:rPr>
                      <w:sz w:val="21"/>
                      <w:szCs w:val="21"/>
                      <w:lang w:bidi="ar"/>
                    </w:rPr>
                  </w:pPr>
                  <w:r>
                    <w:rPr>
                      <w:rFonts w:hint="eastAsia"/>
                      <w:sz w:val="21"/>
                      <w:szCs w:val="21"/>
                      <w:lang w:bidi="ar"/>
                    </w:rPr>
                    <w:t>颗粒物</w:t>
                  </w:r>
                </w:p>
              </w:tc>
              <w:tc>
                <w:tcPr>
                  <w:tcW w:w="770" w:type="dxa"/>
                  <w:vAlign w:val="center"/>
                </w:tcPr>
                <w:p>
                  <w:pPr>
                    <w:jc w:val="center"/>
                    <w:rPr>
                      <w:sz w:val="21"/>
                      <w:szCs w:val="21"/>
                    </w:rPr>
                  </w:pPr>
                  <w:r>
                    <w:rPr>
                      <w:rFonts w:hint="eastAsia"/>
                      <w:sz w:val="21"/>
                      <w:szCs w:val="21"/>
                    </w:rPr>
                    <w:t>无组织</w:t>
                  </w:r>
                </w:p>
              </w:tc>
              <w:tc>
                <w:tcPr>
                  <w:tcW w:w="1672" w:type="dxa"/>
                  <w:vAlign w:val="center"/>
                </w:tcPr>
                <w:p>
                  <w:pPr>
                    <w:jc w:val="center"/>
                    <w:rPr>
                      <w:sz w:val="21"/>
                      <w:szCs w:val="21"/>
                    </w:rPr>
                  </w:pPr>
                  <w:r>
                    <w:rPr>
                      <w:rFonts w:hint="eastAsia"/>
                      <w:sz w:val="21"/>
                      <w:szCs w:val="21"/>
                    </w:rPr>
                    <w:t>袋式除尘</w:t>
                  </w:r>
                </w:p>
              </w:tc>
              <w:tc>
                <w:tcPr>
                  <w:tcW w:w="836" w:type="dxa"/>
                  <w:vAlign w:val="center"/>
                </w:tcPr>
                <w:p>
                  <w:pPr>
                    <w:jc w:val="center"/>
                    <w:rPr>
                      <w:sz w:val="21"/>
                      <w:szCs w:val="21"/>
                    </w:rPr>
                  </w:pPr>
                  <w:r>
                    <w:rPr>
                      <w:rFonts w:hint="eastAsia"/>
                      <w:sz w:val="21"/>
                      <w:szCs w:val="21"/>
                    </w:rPr>
                    <w:t>100%</w:t>
                  </w:r>
                </w:p>
              </w:tc>
              <w:tc>
                <w:tcPr>
                  <w:tcW w:w="812" w:type="dxa"/>
                  <w:vAlign w:val="center"/>
                </w:tcPr>
                <w:p>
                  <w:pPr>
                    <w:jc w:val="center"/>
                    <w:rPr>
                      <w:sz w:val="21"/>
                      <w:szCs w:val="21"/>
                    </w:rPr>
                  </w:pPr>
                  <w:r>
                    <w:rPr>
                      <w:rFonts w:hint="eastAsia"/>
                      <w:sz w:val="21"/>
                      <w:szCs w:val="21"/>
                    </w:rPr>
                    <w:t>98%</w:t>
                  </w:r>
                </w:p>
              </w:tc>
              <w:tc>
                <w:tcPr>
                  <w:tcW w:w="840" w:type="dxa"/>
                  <w:vAlign w:val="center"/>
                </w:tcPr>
                <w:p>
                  <w:pPr>
                    <w:jc w:val="center"/>
                    <w:rPr>
                      <w:sz w:val="21"/>
                      <w:szCs w:val="21"/>
                    </w:rPr>
                  </w:pPr>
                  <w:r>
                    <w:rPr>
                      <w:rFonts w:hint="eastAsia"/>
                      <w:sz w:val="21"/>
                      <w:szCs w:val="21"/>
                    </w:rPr>
                    <w:t>是</w:t>
                  </w:r>
                </w:p>
              </w:tc>
              <w:tc>
                <w:tcPr>
                  <w:tcW w:w="916" w:type="dxa"/>
                  <w:vAlign w:val="center"/>
                </w:tcPr>
                <w:p>
                  <w:pPr>
                    <w:jc w:val="center"/>
                    <w:rPr>
                      <w:sz w:val="21"/>
                      <w:szCs w:val="21"/>
                    </w:rPr>
                  </w:pPr>
                  <w:r>
                    <w:rPr>
                      <w:rFonts w:hint="eastAsia"/>
                      <w:sz w:val="21"/>
                      <w:szCs w:val="21"/>
                    </w:rPr>
                    <w:t>/</w:t>
                  </w:r>
                </w:p>
              </w:tc>
              <w:tc>
                <w:tcPr>
                  <w:tcW w:w="886" w:type="dxa"/>
                  <w:vAlign w:val="center"/>
                </w:tcPr>
                <w:p>
                  <w:pPr>
                    <w:jc w:val="center"/>
                    <w:rPr>
                      <w:sz w:val="21"/>
                      <w:szCs w:val="21"/>
                    </w:rPr>
                  </w:pPr>
                  <w:r>
                    <w:rPr>
                      <w:rFonts w:hint="eastAsia"/>
                      <w:sz w:val="21"/>
                      <w:szCs w:val="21"/>
                    </w:rPr>
                    <w:t>/</w:t>
                  </w:r>
                </w:p>
              </w:tc>
            </w:tr>
          </w:tbl>
          <w:p>
            <w:pPr>
              <w:spacing w:line="360" w:lineRule="auto"/>
              <w:ind w:firstLine="480" w:firstLineChars="200"/>
              <w:jc w:val="left"/>
              <w:rPr>
                <w:b/>
                <w:bCs/>
                <w:color w:val="000000" w:themeColor="text1"/>
                <w14:textFill>
                  <w14:solidFill>
                    <w14:schemeClr w14:val="tx1"/>
                  </w14:solidFill>
                </w14:textFill>
              </w:rPr>
            </w:pPr>
            <w:r>
              <w:t>项目废气监测计划参照《排污单位自行监测技术指南 总则》（HJ 819-2017）中废气自行监测计划实施，项目废气监测计划参照下表：</w:t>
            </w:r>
          </w:p>
          <w:p>
            <w:pPr>
              <w:widowControl/>
              <w:snapToGrid w:val="0"/>
              <w:spacing w:before="60" w:after="160" w:line="259" w:lineRule="auto"/>
              <w:ind w:right="113"/>
              <w:jc w:val="center"/>
              <w:rPr>
                <w:kern w:val="0"/>
              </w:rPr>
            </w:pPr>
            <w:r>
              <w:rPr>
                <w:b/>
                <w:bCs/>
                <w:kern w:val="0"/>
              </w:rPr>
              <w:t>表4-</w:t>
            </w:r>
            <w:r>
              <w:rPr>
                <w:rFonts w:hint="eastAsia"/>
                <w:b/>
                <w:bCs/>
                <w:kern w:val="0"/>
                <w:lang w:val="en-US" w:eastAsia="zh-CN"/>
              </w:rPr>
              <w:t>3</w:t>
            </w:r>
            <w:r>
              <w:rPr>
                <w:b/>
                <w:bCs/>
                <w:kern w:val="0"/>
              </w:rPr>
              <w:t xml:space="preserve">  </w:t>
            </w:r>
            <w:r>
              <w:rPr>
                <w:rFonts w:hint="eastAsia"/>
                <w:b/>
                <w:bCs/>
                <w:kern w:val="0"/>
              </w:rPr>
              <w:t>无组织</w:t>
            </w:r>
            <w:r>
              <w:rPr>
                <w:b/>
                <w:bCs/>
                <w:kern w:val="0"/>
              </w:rPr>
              <w:t>废气监测一览表</w:t>
            </w:r>
          </w:p>
          <w:tbl>
            <w:tblPr>
              <w:tblStyle w:val="25"/>
              <w:tblW w:w="7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867"/>
              <w:gridCol w:w="1288"/>
              <w:gridCol w:w="1385"/>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217" w:type="dxa"/>
                  <w:vAlign w:val="center"/>
                </w:tcPr>
                <w:p>
                  <w:pPr>
                    <w:pStyle w:val="49"/>
                    <w:rPr>
                      <w:b/>
                      <w:bCs/>
                      <w:sz w:val="21"/>
                    </w:rPr>
                  </w:pPr>
                  <w:r>
                    <w:rPr>
                      <w:rFonts w:hint="eastAsia"/>
                      <w:b/>
                      <w:bCs/>
                      <w:sz w:val="21"/>
                    </w:rPr>
                    <w:t>排污单位类型</w:t>
                  </w:r>
                </w:p>
              </w:tc>
              <w:tc>
                <w:tcPr>
                  <w:tcW w:w="1867" w:type="dxa"/>
                  <w:vAlign w:val="center"/>
                </w:tcPr>
                <w:p>
                  <w:pPr>
                    <w:pStyle w:val="49"/>
                    <w:rPr>
                      <w:b/>
                      <w:bCs/>
                      <w:sz w:val="21"/>
                    </w:rPr>
                  </w:pPr>
                  <w:r>
                    <w:rPr>
                      <w:b/>
                      <w:bCs/>
                      <w:sz w:val="21"/>
                    </w:rPr>
                    <w:t>监测点位置</w:t>
                  </w:r>
                </w:p>
              </w:tc>
              <w:tc>
                <w:tcPr>
                  <w:tcW w:w="1288" w:type="dxa"/>
                  <w:vAlign w:val="center"/>
                </w:tcPr>
                <w:p>
                  <w:pPr>
                    <w:pStyle w:val="49"/>
                    <w:rPr>
                      <w:b/>
                      <w:bCs/>
                      <w:sz w:val="21"/>
                    </w:rPr>
                  </w:pPr>
                  <w:r>
                    <w:rPr>
                      <w:b/>
                      <w:bCs/>
                      <w:sz w:val="21"/>
                    </w:rPr>
                    <w:t>监测指标</w:t>
                  </w:r>
                </w:p>
              </w:tc>
              <w:tc>
                <w:tcPr>
                  <w:tcW w:w="1385" w:type="dxa"/>
                  <w:vAlign w:val="center"/>
                </w:tcPr>
                <w:p>
                  <w:pPr>
                    <w:pStyle w:val="49"/>
                    <w:rPr>
                      <w:b/>
                      <w:bCs/>
                      <w:sz w:val="21"/>
                    </w:rPr>
                  </w:pPr>
                  <w:r>
                    <w:rPr>
                      <w:b/>
                      <w:bCs/>
                      <w:sz w:val="21"/>
                    </w:rPr>
                    <w:t>监测频次</w:t>
                  </w:r>
                </w:p>
              </w:tc>
              <w:tc>
                <w:tcPr>
                  <w:tcW w:w="1880" w:type="dxa"/>
                  <w:vAlign w:val="center"/>
                </w:tcPr>
                <w:p>
                  <w:pPr>
                    <w:pStyle w:val="49"/>
                    <w:rPr>
                      <w:b/>
                      <w:bCs/>
                      <w:sz w:val="21"/>
                    </w:rPr>
                  </w:pPr>
                  <w:r>
                    <w:rPr>
                      <w:b/>
                      <w:bCs/>
                      <w:sz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217" w:type="dxa"/>
                  <w:vAlign w:val="center"/>
                </w:tcPr>
                <w:p>
                  <w:pPr>
                    <w:widowControl/>
                    <w:snapToGrid w:val="0"/>
                    <w:spacing w:before="60" w:after="160"/>
                    <w:ind w:right="113"/>
                    <w:jc w:val="center"/>
                    <w:rPr>
                      <w:kern w:val="0"/>
                      <w:sz w:val="21"/>
                      <w:szCs w:val="21"/>
                    </w:rPr>
                  </w:pPr>
                  <w:r>
                    <w:rPr>
                      <w:rFonts w:hint="eastAsia"/>
                      <w:sz w:val="21"/>
                    </w:rPr>
                    <w:t>无组织</w:t>
                  </w:r>
                </w:p>
              </w:tc>
              <w:tc>
                <w:tcPr>
                  <w:tcW w:w="1867" w:type="dxa"/>
                  <w:vAlign w:val="center"/>
                </w:tcPr>
                <w:p>
                  <w:pPr>
                    <w:pStyle w:val="49"/>
                    <w:rPr>
                      <w:sz w:val="21"/>
                    </w:rPr>
                  </w:pPr>
                  <w:r>
                    <w:rPr>
                      <w:sz w:val="21"/>
                    </w:rPr>
                    <w:t>主要风向下风向外5-10米处布设1个监测点</w:t>
                  </w:r>
                </w:p>
              </w:tc>
              <w:tc>
                <w:tcPr>
                  <w:tcW w:w="1288" w:type="dxa"/>
                  <w:vAlign w:val="center"/>
                </w:tcPr>
                <w:p>
                  <w:pPr>
                    <w:pStyle w:val="49"/>
                    <w:rPr>
                      <w:sz w:val="21"/>
                    </w:rPr>
                  </w:pPr>
                  <w:r>
                    <w:rPr>
                      <w:sz w:val="21"/>
                    </w:rPr>
                    <w:t>颗粒物</w:t>
                  </w:r>
                </w:p>
              </w:tc>
              <w:tc>
                <w:tcPr>
                  <w:tcW w:w="1385" w:type="dxa"/>
                  <w:vAlign w:val="center"/>
                </w:tcPr>
                <w:p>
                  <w:pPr>
                    <w:pStyle w:val="49"/>
                    <w:rPr>
                      <w:color w:val="auto"/>
                      <w:sz w:val="21"/>
                    </w:rPr>
                  </w:pPr>
                  <w:r>
                    <w:rPr>
                      <w:rFonts w:hint="eastAsia"/>
                      <w:color w:val="auto"/>
                      <w:sz w:val="21"/>
                    </w:rPr>
                    <w:t>每年</w:t>
                  </w:r>
                  <w:r>
                    <w:rPr>
                      <w:color w:val="auto"/>
                      <w:sz w:val="21"/>
                    </w:rPr>
                    <w:t>一次</w:t>
                  </w:r>
                </w:p>
              </w:tc>
              <w:tc>
                <w:tcPr>
                  <w:tcW w:w="1880" w:type="dxa"/>
                  <w:vAlign w:val="center"/>
                </w:tcPr>
                <w:p>
                  <w:pPr>
                    <w:pStyle w:val="49"/>
                    <w:rPr>
                      <w:color w:val="auto"/>
                      <w:sz w:val="21"/>
                      <w:lang w:bidi="ar"/>
                    </w:rPr>
                  </w:pPr>
                  <w:r>
                    <w:rPr>
                      <w:rStyle w:val="29"/>
                      <w:rFonts w:hint="eastAsia"/>
                      <w:color w:val="auto"/>
                      <w:szCs w:val="20"/>
                    </w:rPr>
                    <w:t>《水泥工业大气污染物排放标准》（DB34/3576-2020）</w:t>
                  </w:r>
                </w:p>
              </w:tc>
            </w:tr>
          </w:tbl>
          <w:p>
            <w:pPr>
              <w:adjustRightInd w:val="0"/>
              <w:snapToGrid w:val="0"/>
              <w:spacing w:before="120" w:beforeLines="50" w:line="360" w:lineRule="auto"/>
              <w:ind w:firstLine="48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非正常工况</w:t>
            </w:r>
          </w:p>
          <w:p>
            <w:pPr>
              <w:spacing w:line="360" w:lineRule="auto"/>
              <w:ind w:firstLine="480" w:firstLineChars="200"/>
              <w:jc w:val="left"/>
              <w:rPr>
                <w:color w:val="000000" w:themeColor="text1"/>
                <w:sz w:val="21"/>
                <w14:textFill>
                  <w14:solidFill>
                    <w14:schemeClr w14:val="tx1"/>
                  </w14:solidFill>
                </w14:textFill>
              </w:rPr>
            </w:pPr>
            <w:r>
              <w:rPr>
                <w:color w:val="000000" w:themeColor="text1"/>
                <w14:textFill>
                  <w14:solidFill>
                    <w14:schemeClr w14:val="tx1"/>
                  </w14:solidFill>
                </w14:textFill>
              </w:rPr>
              <w:t>非正常排放是指生产过程中开停车（工、炉）、设备检修、工艺设备运转异常等非正常工况下的污染物排放，以及污染物排放控制措施达不到应有效率等情况下的排放。项目废气非正常工况排放主要为</w:t>
            </w:r>
            <w:r>
              <w:rPr>
                <w:rFonts w:hint="eastAsia"/>
                <w:color w:val="000000" w:themeColor="text1"/>
                <w14:textFill>
                  <w14:solidFill>
                    <w14:schemeClr w14:val="tx1"/>
                  </w14:solidFill>
                </w14:textFill>
              </w:rPr>
              <w:t>布袋除尘器</w:t>
            </w:r>
            <w:r>
              <w:rPr>
                <w:color w:val="000000" w:themeColor="text1"/>
                <w14:textFill>
                  <w14:solidFill>
                    <w14:schemeClr w14:val="tx1"/>
                  </w14:solidFill>
                </w14:textFill>
              </w:rPr>
              <w:t>发生故障时，废气处理效率仅为0%的状态进行估算，废气处理设施出现故障不能正常运行时，应立即停产进行维修，避免对周围环境造成污染。废气非正常工况源强情况见下表。</w:t>
            </w:r>
          </w:p>
          <w:p>
            <w:pPr>
              <w:spacing w:line="360" w:lineRule="auto"/>
              <w:jc w:val="center"/>
              <w:rPr>
                <w:b/>
                <w:bCs/>
                <w:color w:val="000000" w:themeColor="text1"/>
                <w:sz w:val="21"/>
                <w14:textFill>
                  <w14:solidFill>
                    <w14:schemeClr w14:val="tx1"/>
                  </w14:solidFill>
                </w14:textFill>
              </w:rPr>
            </w:pPr>
            <w:r>
              <w:rPr>
                <w:b/>
                <w:bCs/>
                <w:color w:val="000000" w:themeColor="text1"/>
                <w:szCs w:val="32"/>
                <w14:textFill>
                  <w14:solidFill>
                    <w14:schemeClr w14:val="tx1"/>
                  </w14:solidFill>
                </w14:textFill>
              </w:rPr>
              <w:t>表4</w:t>
            </w:r>
            <w:r>
              <w:rPr>
                <w:rFonts w:hint="eastAsia"/>
                <w:b/>
                <w:bCs/>
                <w:color w:val="000000" w:themeColor="text1"/>
                <w:szCs w:val="32"/>
                <w14:textFill>
                  <w14:solidFill>
                    <w14:schemeClr w14:val="tx1"/>
                  </w14:solidFill>
                </w14:textFill>
              </w:rPr>
              <w:t>-</w:t>
            </w:r>
            <w:r>
              <w:rPr>
                <w:rFonts w:hint="eastAsia"/>
                <w:b/>
                <w:bCs/>
                <w:color w:val="000000" w:themeColor="text1"/>
                <w:szCs w:val="32"/>
                <w:lang w:val="en-US" w:eastAsia="zh-CN"/>
                <w14:textFill>
                  <w14:solidFill>
                    <w14:schemeClr w14:val="tx1"/>
                  </w14:solidFill>
                </w14:textFill>
              </w:rPr>
              <w:t>4</w:t>
            </w:r>
            <w:r>
              <w:rPr>
                <w:b/>
                <w:bCs/>
                <w:color w:val="000000" w:themeColor="text1"/>
                <w:szCs w:val="32"/>
                <w14:textFill>
                  <w14:solidFill>
                    <w14:schemeClr w14:val="tx1"/>
                  </w14:solidFill>
                </w14:textFill>
              </w:rPr>
              <w:t xml:space="preserve">  废气非正常工况排放量核算表</w:t>
            </w:r>
          </w:p>
          <w:tbl>
            <w:tblPr>
              <w:tblStyle w:val="24"/>
              <w:tblW w:w="7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90"/>
              <w:gridCol w:w="1210"/>
              <w:gridCol w:w="1287"/>
              <w:gridCol w:w="1092"/>
              <w:gridCol w:w="784"/>
              <w:gridCol w:w="752"/>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1"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污染源</w:t>
                  </w:r>
                </w:p>
              </w:tc>
              <w:tc>
                <w:tcPr>
                  <w:tcW w:w="890"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非正常排放原因</w:t>
                  </w:r>
                </w:p>
              </w:tc>
              <w:tc>
                <w:tcPr>
                  <w:tcW w:w="1210"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污染物</w:t>
                  </w:r>
                </w:p>
              </w:tc>
              <w:tc>
                <w:tcPr>
                  <w:tcW w:w="1287"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非正常排放</w:t>
                  </w:r>
                  <w:r>
                    <w:rPr>
                      <w:rFonts w:hint="eastAsia"/>
                      <w:b/>
                      <w:bCs/>
                      <w:color w:val="000000" w:themeColor="text1"/>
                      <w:sz w:val="21"/>
                      <w:szCs w:val="21"/>
                      <w14:textFill>
                        <w14:solidFill>
                          <w14:schemeClr w14:val="tx1"/>
                        </w14:solidFill>
                      </w14:textFill>
                    </w:rPr>
                    <w:t>量</w:t>
                  </w:r>
                  <w:r>
                    <w:rPr>
                      <w:b/>
                      <w:bCs/>
                      <w:color w:val="000000" w:themeColor="text1"/>
                      <w:sz w:val="21"/>
                      <w:szCs w:val="21"/>
                      <w14:textFill>
                        <w14:solidFill>
                          <w14:schemeClr w14:val="tx1"/>
                        </w14:solidFill>
                      </w14:textFill>
                    </w:rPr>
                    <w:t>/（kg）</w:t>
                  </w:r>
                </w:p>
              </w:tc>
              <w:tc>
                <w:tcPr>
                  <w:tcW w:w="1092"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非正常排放速率/（kg/h）</w:t>
                  </w:r>
                </w:p>
              </w:tc>
              <w:tc>
                <w:tcPr>
                  <w:tcW w:w="784"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单次持续时间/h</w:t>
                  </w:r>
                </w:p>
              </w:tc>
              <w:tc>
                <w:tcPr>
                  <w:tcW w:w="752"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单次发生频次/次</w:t>
                  </w:r>
                </w:p>
              </w:tc>
              <w:tc>
                <w:tcPr>
                  <w:tcW w:w="1231" w:type="dxa"/>
                  <w:vAlign w:val="center"/>
                </w:tcPr>
                <w:p>
                  <w:pPr>
                    <w:jc w:val="center"/>
                    <w:rPr>
                      <w:b/>
                      <w:bCs/>
                      <w:color w:val="000000" w:themeColor="text1"/>
                      <w:sz w:val="21"/>
                      <w:szCs w:val="21"/>
                      <w14:textFill>
                        <w14:solidFill>
                          <w14:schemeClr w14:val="tx1"/>
                        </w14:solidFill>
                      </w14:textFill>
                    </w:rPr>
                  </w:pPr>
                  <w:r>
                    <w:rPr>
                      <w:b/>
                      <w:bCs/>
                      <w:color w:val="000000" w:themeColor="text1"/>
                      <w:sz w:val="21"/>
                      <w:szCs w:val="21"/>
                      <w14:textFill>
                        <w14:solidFill>
                          <w14:schemeClr w14:val="tx1"/>
                        </w14:solidFill>
                      </w14:textFill>
                    </w:rPr>
                    <w:t>应对措施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vAlign w:val="center"/>
                </w:tcPr>
                <w:p>
                  <w:pPr>
                    <w:jc w:val="center"/>
                    <w:rPr>
                      <w:color w:val="000000" w:themeColor="text1"/>
                      <w:kern w:val="21"/>
                      <w:sz w:val="21"/>
                      <w:szCs w:val="21"/>
                      <w:lang w:bidi="ar"/>
                      <w14:textFill>
                        <w14:solidFill>
                          <w14:schemeClr w14:val="tx1"/>
                        </w14:solidFill>
                      </w14:textFill>
                    </w:rPr>
                  </w:pPr>
                  <w:r>
                    <w:rPr>
                      <w:rFonts w:hint="eastAsia"/>
                      <w:color w:val="000000" w:themeColor="text1"/>
                      <w:kern w:val="21"/>
                      <w:sz w:val="21"/>
                      <w:szCs w:val="21"/>
                      <w:lang w:bidi="ar"/>
                      <w14:textFill>
                        <w14:solidFill>
                          <w14:schemeClr w14:val="tx1"/>
                        </w14:solidFill>
                      </w14:textFill>
                    </w:rPr>
                    <w:t>水泥仓</w:t>
                  </w:r>
                </w:p>
              </w:tc>
              <w:tc>
                <w:tcPr>
                  <w:tcW w:w="890" w:type="dxa"/>
                  <w:vMerge w:val="restart"/>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废气处理设施故障，处理效率为0%</w:t>
                  </w:r>
                </w:p>
              </w:tc>
              <w:tc>
                <w:tcPr>
                  <w:tcW w:w="1210"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287" w:type="dxa"/>
                  <w:vAlign w:val="center"/>
                </w:tcPr>
                <w:p>
                  <w:pPr>
                    <w:jc w:val="center"/>
                    <w:textAlignment w:val="bottom"/>
                    <w:rPr>
                      <w:color w:val="000000" w:themeColor="text1"/>
                      <w:kern w:val="21"/>
                      <w:sz w:val="21"/>
                      <w:szCs w:val="21"/>
                      <w14:textFill>
                        <w14:solidFill>
                          <w14:schemeClr w14:val="tx1"/>
                        </w14:solidFill>
                      </w14:textFill>
                    </w:rPr>
                  </w:pPr>
                  <w:r>
                    <w:rPr>
                      <w:rFonts w:hint="eastAsia"/>
                      <w:color w:val="000000" w:themeColor="text1"/>
                      <w:kern w:val="21"/>
                      <w:sz w:val="21"/>
                      <w:szCs w:val="21"/>
                      <w14:textFill>
                        <w14:solidFill>
                          <w14:schemeClr w14:val="tx1"/>
                        </w14:solidFill>
                      </w14:textFill>
                    </w:rPr>
                    <w:t>0.408</w:t>
                  </w:r>
                </w:p>
              </w:tc>
              <w:tc>
                <w:tcPr>
                  <w:tcW w:w="1092" w:type="dxa"/>
                  <w:vAlign w:val="center"/>
                </w:tcPr>
                <w:p>
                  <w:pPr>
                    <w:jc w:val="center"/>
                    <w:textAlignment w:val="bottom"/>
                    <w:rPr>
                      <w:sz w:val="21"/>
                      <w:szCs w:val="21"/>
                    </w:rPr>
                  </w:pPr>
                  <w:r>
                    <w:rPr>
                      <w:rFonts w:hint="eastAsia"/>
                      <w:sz w:val="21"/>
                      <w:szCs w:val="21"/>
                    </w:rPr>
                    <w:t>0.816</w:t>
                  </w:r>
                </w:p>
              </w:tc>
              <w:tc>
                <w:tcPr>
                  <w:tcW w:w="784"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w:t>
                  </w:r>
                </w:p>
              </w:tc>
              <w:tc>
                <w:tcPr>
                  <w:tcW w:w="752"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231" w:type="dxa"/>
                  <w:vMerge w:val="restart"/>
                  <w:vAlign w:val="center"/>
                </w:tcPr>
                <w:p>
                  <w:pPr>
                    <w:jc w:val="center"/>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立即停止生产，关闭排放阀，及时维修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1" w:type="dxa"/>
                  <w:vAlign w:val="center"/>
                </w:tcPr>
                <w:p>
                  <w:pPr>
                    <w:jc w:val="center"/>
                    <w:rPr>
                      <w:color w:val="000000" w:themeColor="text1"/>
                      <w:kern w:val="21"/>
                      <w:sz w:val="21"/>
                      <w:szCs w:val="21"/>
                      <w:lang w:bidi="ar"/>
                      <w14:textFill>
                        <w14:solidFill>
                          <w14:schemeClr w14:val="tx1"/>
                        </w14:solidFill>
                      </w14:textFill>
                    </w:rPr>
                  </w:pPr>
                  <w:r>
                    <w:rPr>
                      <w:rFonts w:hint="eastAsia"/>
                      <w:color w:val="000000" w:themeColor="text1"/>
                      <w:kern w:val="21"/>
                      <w:sz w:val="21"/>
                      <w:szCs w:val="21"/>
                      <w:lang w:bidi="ar"/>
                      <w14:textFill>
                        <w14:solidFill>
                          <w14:schemeClr w14:val="tx1"/>
                        </w14:solidFill>
                      </w14:textFill>
                    </w:rPr>
                    <w:t>物料混合搅拌</w:t>
                  </w:r>
                </w:p>
              </w:tc>
              <w:tc>
                <w:tcPr>
                  <w:tcW w:w="890" w:type="dxa"/>
                  <w:vMerge w:val="continue"/>
                  <w:vAlign w:val="center"/>
                </w:tcPr>
                <w:p>
                  <w:pPr>
                    <w:jc w:val="center"/>
                    <w:rPr>
                      <w:color w:val="000000" w:themeColor="text1"/>
                      <w:sz w:val="21"/>
                      <w:szCs w:val="21"/>
                      <w14:textFill>
                        <w14:solidFill>
                          <w14:schemeClr w14:val="tx1"/>
                        </w14:solidFill>
                      </w14:textFill>
                    </w:rPr>
                  </w:pPr>
                </w:p>
              </w:tc>
              <w:tc>
                <w:tcPr>
                  <w:tcW w:w="1210" w:type="dxa"/>
                  <w:vAlign w:val="center"/>
                </w:tcPr>
                <w:p>
                  <w:pPr>
                    <w:adjustRightInd w:val="0"/>
                    <w:snapToGrid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287" w:type="dxa"/>
                  <w:vAlign w:val="center"/>
                </w:tcPr>
                <w:p>
                  <w:pPr>
                    <w:jc w:val="center"/>
                    <w:textAlignment w:val="bottom"/>
                    <w:rPr>
                      <w:color w:val="000000" w:themeColor="text1"/>
                      <w:kern w:val="21"/>
                      <w:sz w:val="21"/>
                      <w:szCs w:val="21"/>
                      <w14:textFill>
                        <w14:solidFill>
                          <w14:schemeClr w14:val="tx1"/>
                        </w14:solidFill>
                      </w14:textFill>
                    </w:rPr>
                  </w:pPr>
                  <w:r>
                    <w:rPr>
                      <w:rFonts w:hint="eastAsia"/>
                      <w:color w:val="000000" w:themeColor="text1"/>
                      <w:kern w:val="21"/>
                      <w:sz w:val="21"/>
                      <w:szCs w:val="21"/>
                      <w14:textFill>
                        <w14:solidFill>
                          <w14:schemeClr w14:val="tx1"/>
                        </w14:solidFill>
                      </w14:textFill>
                    </w:rPr>
                    <w:t>1.1235</w:t>
                  </w:r>
                </w:p>
              </w:tc>
              <w:tc>
                <w:tcPr>
                  <w:tcW w:w="1092" w:type="dxa"/>
                  <w:vAlign w:val="center"/>
                </w:tcPr>
                <w:p>
                  <w:pPr>
                    <w:jc w:val="center"/>
                    <w:textAlignment w:val="bottom"/>
                    <w:rPr>
                      <w:sz w:val="21"/>
                      <w:szCs w:val="21"/>
                    </w:rPr>
                  </w:pPr>
                  <w:r>
                    <w:rPr>
                      <w:rFonts w:hint="eastAsia"/>
                      <w:sz w:val="21"/>
                      <w:szCs w:val="21"/>
                    </w:rPr>
                    <w:t>2.247</w:t>
                  </w:r>
                </w:p>
              </w:tc>
              <w:tc>
                <w:tcPr>
                  <w:tcW w:w="784"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0.5</w:t>
                  </w:r>
                </w:p>
              </w:tc>
              <w:tc>
                <w:tcPr>
                  <w:tcW w:w="752"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c>
                <w:tcPr>
                  <w:tcW w:w="1231" w:type="dxa"/>
                  <w:vMerge w:val="continue"/>
                  <w:vAlign w:val="center"/>
                </w:tcPr>
                <w:p>
                  <w:pPr>
                    <w:jc w:val="center"/>
                    <w:rPr>
                      <w:color w:val="000000" w:themeColor="text1"/>
                      <w:sz w:val="21"/>
                      <w:szCs w:val="21"/>
                      <w14:textFill>
                        <w14:solidFill>
                          <w14:schemeClr w14:val="tx1"/>
                        </w14:solidFill>
                      </w14:textFill>
                    </w:rPr>
                  </w:pPr>
                </w:p>
              </w:tc>
            </w:tr>
          </w:tbl>
          <w:p>
            <w:pPr>
              <w:pStyle w:val="13"/>
              <w:spacing w:after="0" w:line="360" w:lineRule="auto"/>
              <w:ind w:left="480"/>
              <w:rPr>
                <w:b/>
                <w:bCs/>
                <w:color w:val="000000"/>
              </w:rPr>
            </w:pPr>
            <w:r>
              <w:rPr>
                <w:rFonts w:hint="eastAsia"/>
                <w:b/>
                <w:bCs/>
                <w:color w:val="000000"/>
              </w:rPr>
              <w:t>二、</w:t>
            </w:r>
            <w:r>
              <w:rPr>
                <w:b/>
                <w:bCs/>
                <w:color w:val="000000"/>
              </w:rPr>
              <w:t>废水</w:t>
            </w:r>
          </w:p>
          <w:p>
            <w:pPr>
              <w:pStyle w:val="13"/>
              <w:spacing w:after="0" w:line="360" w:lineRule="auto"/>
              <w:ind w:left="0" w:leftChars="0" w:firstLine="482" w:firstLineChars="200"/>
              <w:rPr>
                <w:color w:val="000000"/>
              </w:rPr>
            </w:pPr>
            <w:r>
              <w:rPr>
                <w:b/>
                <w:bCs/>
                <w:color w:val="000000"/>
              </w:rPr>
              <w:t>1、项目用水及废水产生情况</w:t>
            </w:r>
          </w:p>
          <w:p>
            <w:pPr>
              <w:spacing w:line="360" w:lineRule="auto"/>
              <w:ind w:firstLine="480" w:firstLineChars="200"/>
            </w:pPr>
            <w:r>
              <w:rPr>
                <w:rFonts w:hint="eastAsia"/>
                <w:bCs/>
              </w:rPr>
              <w:t>废水主要包括员工生活污水，设备及地面清洗产生的废水。</w:t>
            </w:r>
          </w:p>
          <w:p>
            <w:pPr>
              <w:spacing w:line="360" w:lineRule="auto"/>
              <w:ind w:firstLine="480" w:firstLineChars="200"/>
              <w:rPr>
                <w:lang w:val="zh-CN"/>
              </w:rPr>
            </w:pPr>
            <w:r>
              <w:rPr>
                <w:lang w:val="zh-CN"/>
              </w:rPr>
              <w:t>（</w:t>
            </w:r>
            <w:r>
              <w:rPr>
                <w:rFonts w:hint="eastAsia"/>
              </w:rPr>
              <w:t>1</w:t>
            </w:r>
            <w:r>
              <w:rPr>
                <w:lang w:val="zh-CN"/>
              </w:rPr>
              <w:t>）生</w:t>
            </w:r>
            <w:r>
              <w:t>活</w:t>
            </w:r>
            <w:r>
              <w:rPr>
                <w:lang w:val="zh-CN"/>
              </w:rPr>
              <w:t>用水</w:t>
            </w:r>
          </w:p>
          <w:p>
            <w:pPr>
              <w:spacing w:line="360" w:lineRule="auto"/>
              <w:ind w:firstLine="480" w:firstLineChars="200"/>
              <w:jc w:val="left"/>
            </w:pPr>
            <w:r>
              <w:t>生活</w:t>
            </w:r>
            <w:r>
              <w:rPr>
                <w:rFonts w:hint="eastAsia"/>
              </w:rPr>
              <w:t>污水：</w:t>
            </w:r>
            <w:r>
              <w:t>本项目</w:t>
            </w:r>
            <w:r>
              <w:rPr>
                <w:rFonts w:hint="eastAsia"/>
              </w:rPr>
              <w:t>劳动定员6人，年工作320天，厂区内不</w:t>
            </w:r>
            <w:r>
              <w:t>设置</w:t>
            </w:r>
            <w:r>
              <w:rPr>
                <w:rFonts w:hint="eastAsia"/>
              </w:rPr>
              <w:t>食</w:t>
            </w:r>
            <w:r>
              <w:t>宿</w:t>
            </w:r>
            <w:r>
              <w:rPr>
                <w:rFonts w:hint="eastAsia"/>
              </w:rPr>
              <w:t>。根据《安徽省行业用水定额》（DB34T679-2019），员工用水定额按</w:t>
            </w:r>
            <w:r>
              <w:rPr>
                <w:rFonts w:hint="eastAsia" w:ascii="Times New Roman" w:eastAsia="宋体"/>
                <w:lang w:val="en-US" w:eastAsia="zh-CN"/>
              </w:rPr>
              <w:t>6</w:t>
            </w:r>
            <w:r>
              <w:t>0L/人·d计算，</w:t>
            </w:r>
            <w:r>
              <w:rPr>
                <w:rFonts w:hint="eastAsia"/>
              </w:rPr>
              <w:t>生活用水量为0.</w:t>
            </w:r>
            <w:r>
              <w:rPr>
                <w:rFonts w:hint="eastAsia" w:ascii="Times New Roman" w:eastAsia="宋体"/>
                <w:lang w:val="en-US" w:eastAsia="zh-CN"/>
              </w:rPr>
              <w:t>36</w:t>
            </w:r>
            <w:r>
              <w:rPr>
                <w:rFonts w:hint="eastAsia"/>
              </w:rPr>
              <w:t>t/d（</w:t>
            </w:r>
            <w:r>
              <w:rPr>
                <w:rFonts w:hint="eastAsia" w:ascii="Times New Roman" w:eastAsia="宋体"/>
                <w:lang w:val="en-US" w:eastAsia="zh-CN"/>
              </w:rPr>
              <w:t>115.2</w:t>
            </w:r>
            <w:r>
              <w:t>t/a</w:t>
            </w:r>
            <w:r>
              <w:rPr>
                <w:rFonts w:hint="eastAsia"/>
              </w:rPr>
              <w:t>），</w:t>
            </w:r>
            <w:r>
              <w:t>污水产生量按照用水量</w:t>
            </w:r>
            <w:r>
              <w:rPr>
                <w:rFonts w:hint="eastAsia"/>
              </w:rPr>
              <w:t>8</w:t>
            </w:r>
            <w:r>
              <w:t>0%计算，则生活污水产生量为</w:t>
            </w:r>
            <w:r>
              <w:rPr>
                <w:rFonts w:hint="eastAsia" w:ascii="Times New Roman" w:eastAsia="宋体"/>
                <w:lang w:val="en-US" w:eastAsia="zh-CN"/>
              </w:rPr>
              <w:t>0.288</w:t>
            </w:r>
            <w:r>
              <w:rPr>
                <w:rFonts w:hint="eastAsia"/>
              </w:rPr>
              <w:t>t/d（</w:t>
            </w:r>
            <w:r>
              <w:rPr>
                <w:rFonts w:hint="eastAsia" w:ascii="Times New Roman" w:eastAsia="宋体"/>
                <w:lang w:val="en-US" w:eastAsia="zh-CN"/>
              </w:rPr>
              <w:t>92.16</w:t>
            </w:r>
            <w:r>
              <w:t>t/a</w:t>
            </w:r>
            <w:r>
              <w:rPr>
                <w:rFonts w:hint="eastAsia"/>
              </w:rPr>
              <w:t>），生活污水经隔油池+化粪池处理后定期清掏不外排。</w:t>
            </w:r>
          </w:p>
          <w:p>
            <w:pPr>
              <w:spacing w:line="360" w:lineRule="auto"/>
              <w:ind w:firstLine="480" w:firstLineChars="200"/>
            </w:pPr>
            <w:r>
              <w:rPr>
                <w:rFonts w:hint="eastAsia"/>
              </w:rPr>
              <w:t>（2）搅拌用水</w:t>
            </w:r>
          </w:p>
          <w:p>
            <w:pPr>
              <w:spacing w:line="360" w:lineRule="auto"/>
              <w:ind w:firstLine="480" w:firstLineChars="200"/>
            </w:pPr>
            <w:r>
              <w:rPr>
                <w:rFonts w:hint="eastAsia"/>
              </w:rPr>
              <w:t>项目物料混合搅拌需要添加水，根据企业提供资料，搅拌用水用量为4200</w:t>
            </w:r>
            <w:r>
              <w:t>t/a</w:t>
            </w:r>
            <w:r>
              <w:rPr>
                <w:rFonts w:hint="eastAsia"/>
              </w:rPr>
              <w:t>。</w:t>
            </w:r>
          </w:p>
          <w:p>
            <w:pPr>
              <w:spacing w:line="360" w:lineRule="auto"/>
              <w:ind w:firstLine="480" w:firstLineChars="200"/>
            </w:pPr>
            <w:r>
              <w:rPr>
                <w:rFonts w:hint="eastAsia"/>
              </w:rPr>
              <w:t>（3）</w:t>
            </w:r>
            <w:r>
              <w:rPr>
                <w:rFonts w:hint="eastAsia"/>
                <w:bCs/>
              </w:rPr>
              <w:t>设备及地面清洗用水</w:t>
            </w:r>
          </w:p>
          <w:p>
            <w:pPr>
              <w:spacing w:line="360" w:lineRule="auto"/>
              <w:ind w:firstLine="480" w:firstLineChars="200"/>
            </w:pPr>
            <w:r>
              <w:rPr>
                <w:rFonts w:hint="eastAsia"/>
              </w:rPr>
              <w:t>项目设备及地面每5天清洗一次，每次需用水2.5吨，年用水量为160吨，有10%损耗，产生的清洗废水量为144吨/年，经沉淀池处理后回用于生产。</w:t>
            </w:r>
          </w:p>
          <w:p>
            <w:pPr>
              <w:pStyle w:val="11"/>
              <w:spacing w:before="0" w:after="0" w:line="360" w:lineRule="auto"/>
              <w:ind w:firstLine="480" w:firstLineChars="200"/>
            </w:pPr>
            <w:r>
              <w:rPr>
                <w:rFonts w:hint="eastAsia"/>
                <w:bCs/>
                <w:sz w:val="24"/>
              </w:rPr>
              <w:t>项目用水及废水产生</w:t>
            </w:r>
            <w:r>
              <w:rPr>
                <w:bCs/>
                <w:sz w:val="24"/>
              </w:rPr>
              <w:t>情况详见下表：</w:t>
            </w:r>
          </w:p>
          <w:p>
            <w:pPr>
              <w:spacing w:line="360" w:lineRule="auto"/>
              <w:ind w:firstLine="482" w:firstLineChars="200"/>
              <w:jc w:val="center"/>
              <w:rPr>
                <w:b/>
                <w:color w:val="000000"/>
              </w:rPr>
            </w:pPr>
            <w:r>
              <w:rPr>
                <w:b/>
                <w:color w:val="000000"/>
              </w:rPr>
              <w:t>表4-</w:t>
            </w:r>
            <w:r>
              <w:rPr>
                <w:rFonts w:hint="eastAsia"/>
                <w:b/>
                <w:color w:val="000000"/>
                <w:lang w:val="en-US" w:eastAsia="zh-CN"/>
              </w:rPr>
              <w:t>5</w:t>
            </w:r>
            <w:r>
              <w:rPr>
                <w:rFonts w:hint="eastAsia"/>
                <w:b/>
                <w:color w:val="000000"/>
              </w:rPr>
              <w:t xml:space="preserve">  </w:t>
            </w:r>
            <w:r>
              <w:rPr>
                <w:b/>
                <w:color w:val="000000"/>
              </w:rPr>
              <w:t>项目用水及</w:t>
            </w:r>
            <w:r>
              <w:rPr>
                <w:rFonts w:hint="eastAsia"/>
                <w:b/>
                <w:color w:val="000000"/>
              </w:rPr>
              <w:t>废水产生情况</w:t>
            </w:r>
            <w:r>
              <w:rPr>
                <w:b/>
                <w:color w:val="000000"/>
              </w:rPr>
              <w:t>一览表  单位：t/a</w:t>
            </w:r>
          </w:p>
          <w:tbl>
            <w:tblPr>
              <w:tblStyle w:val="24"/>
              <w:tblW w:w="7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2"/>
              <w:gridCol w:w="1125"/>
              <w:gridCol w:w="959"/>
              <w:gridCol w:w="933"/>
              <w:gridCol w:w="99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2352" w:type="dxa"/>
                  <w:vAlign w:val="center"/>
                </w:tcPr>
                <w:p>
                  <w:pPr>
                    <w:spacing w:line="240" w:lineRule="atLeast"/>
                    <w:jc w:val="center"/>
                    <w:rPr>
                      <w:b/>
                      <w:sz w:val="21"/>
                      <w:szCs w:val="21"/>
                    </w:rPr>
                  </w:pPr>
                  <w:r>
                    <w:rPr>
                      <w:b/>
                      <w:sz w:val="21"/>
                      <w:szCs w:val="21"/>
                    </w:rPr>
                    <w:t>用排水环节</w:t>
                  </w:r>
                </w:p>
              </w:tc>
              <w:tc>
                <w:tcPr>
                  <w:tcW w:w="1125" w:type="dxa"/>
                  <w:vAlign w:val="center"/>
                </w:tcPr>
                <w:p>
                  <w:pPr>
                    <w:spacing w:line="240" w:lineRule="atLeast"/>
                    <w:jc w:val="center"/>
                    <w:rPr>
                      <w:b/>
                      <w:sz w:val="21"/>
                      <w:szCs w:val="21"/>
                    </w:rPr>
                  </w:pPr>
                  <w:r>
                    <w:rPr>
                      <w:b/>
                      <w:sz w:val="21"/>
                      <w:szCs w:val="21"/>
                    </w:rPr>
                    <w:t>用水指标</w:t>
                  </w:r>
                </w:p>
              </w:tc>
              <w:tc>
                <w:tcPr>
                  <w:tcW w:w="959" w:type="dxa"/>
                  <w:vAlign w:val="center"/>
                </w:tcPr>
                <w:p>
                  <w:pPr>
                    <w:spacing w:line="240" w:lineRule="atLeast"/>
                    <w:jc w:val="center"/>
                    <w:rPr>
                      <w:b/>
                      <w:sz w:val="21"/>
                      <w:szCs w:val="21"/>
                    </w:rPr>
                  </w:pPr>
                  <w:r>
                    <w:rPr>
                      <w:b/>
                      <w:sz w:val="21"/>
                      <w:szCs w:val="21"/>
                    </w:rPr>
                    <w:t>数量</w:t>
                  </w:r>
                </w:p>
              </w:tc>
              <w:tc>
                <w:tcPr>
                  <w:tcW w:w="933" w:type="dxa"/>
                  <w:vAlign w:val="center"/>
                </w:tcPr>
                <w:p>
                  <w:pPr>
                    <w:spacing w:line="240" w:lineRule="atLeast"/>
                    <w:jc w:val="center"/>
                    <w:rPr>
                      <w:b/>
                      <w:sz w:val="21"/>
                      <w:szCs w:val="21"/>
                    </w:rPr>
                  </w:pPr>
                  <w:r>
                    <w:rPr>
                      <w:b/>
                      <w:sz w:val="21"/>
                      <w:szCs w:val="21"/>
                    </w:rPr>
                    <w:t>用水量</w:t>
                  </w:r>
                </w:p>
              </w:tc>
              <w:tc>
                <w:tcPr>
                  <w:tcW w:w="992" w:type="dxa"/>
                  <w:vAlign w:val="center"/>
                </w:tcPr>
                <w:p>
                  <w:pPr>
                    <w:spacing w:line="240" w:lineRule="atLeast"/>
                    <w:jc w:val="center"/>
                    <w:rPr>
                      <w:b/>
                      <w:sz w:val="21"/>
                      <w:szCs w:val="21"/>
                    </w:rPr>
                  </w:pPr>
                  <w:r>
                    <w:rPr>
                      <w:b/>
                      <w:sz w:val="21"/>
                      <w:szCs w:val="21"/>
                    </w:rPr>
                    <w:t>废水产生系数</w:t>
                  </w:r>
                </w:p>
              </w:tc>
              <w:tc>
                <w:tcPr>
                  <w:tcW w:w="1341" w:type="dxa"/>
                  <w:vAlign w:val="center"/>
                </w:tcPr>
                <w:p>
                  <w:pPr>
                    <w:spacing w:line="240" w:lineRule="atLeast"/>
                    <w:jc w:val="center"/>
                    <w:rPr>
                      <w:b/>
                      <w:sz w:val="21"/>
                      <w:szCs w:val="21"/>
                    </w:rPr>
                  </w:pPr>
                  <w:r>
                    <w:rPr>
                      <w:b/>
                      <w:sz w:val="21"/>
                      <w:szCs w:val="21"/>
                    </w:rPr>
                    <w:t>废水产生量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2352" w:type="dxa"/>
                  <w:vAlign w:val="center"/>
                </w:tcPr>
                <w:p>
                  <w:pPr>
                    <w:spacing w:line="240" w:lineRule="atLeast"/>
                    <w:jc w:val="center"/>
                    <w:rPr>
                      <w:bCs/>
                      <w:sz w:val="21"/>
                      <w:szCs w:val="21"/>
                    </w:rPr>
                  </w:pPr>
                  <w:r>
                    <w:rPr>
                      <w:bCs/>
                      <w:sz w:val="21"/>
                      <w:szCs w:val="21"/>
                    </w:rPr>
                    <w:t>生活用水</w:t>
                  </w:r>
                </w:p>
              </w:tc>
              <w:tc>
                <w:tcPr>
                  <w:tcW w:w="1125" w:type="dxa"/>
                  <w:vAlign w:val="center"/>
                </w:tcPr>
                <w:p>
                  <w:pPr>
                    <w:spacing w:line="240" w:lineRule="atLeast"/>
                    <w:jc w:val="center"/>
                    <w:rPr>
                      <w:bCs/>
                      <w:sz w:val="21"/>
                      <w:szCs w:val="21"/>
                    </w:rPr>
                  </w:pPr>
                  <w:r>
                    <w:rPr>
                      <w:rFonts w:hint="eastAsia"/>
                      <w:bCs/>
                      <w:sz w:val="21"/>
                      <w:szCs w:val="21"/>
                      <w:lang w:val="en-US" w:eastAsia="zh-CN"/>
                    </w:rPr>
                    <w:t>6</w:t>
                  </w:r>
                  <w:r>
                    <w:rPr>
                      <w:rFonts w:hint="eastAsia"/>
                      <w:bCs/>
                      <w:sz w:val="21"/>
                      <w:szCs w:val="21"/>
                    </w:rPr>
                    <w:t>0</w:t>
                  </w:r>
                  <w:r>
                    <w:rPr>
                      <w:bCs/>
                      <w:sz w:val="21"/>
                      <w:szCs w:val="21"/>
                    </w:rPr>
                    <w:t>L/人</w:t>
                  </w:r>
                </w:p>
              </w:tc>
              <w:tc>
                <w:tcPr>
                  <w:tcW w:w="959" w:type="dxa"/>
                  <w:vAlign w:val="center"/>
                </w:tcPr>
                <w:p>
                  <w:pPr>
                    <w:spacing w:line="240" w:lineRule="atLeast"/>
                    <w:jc w:val="center"/>
                    <w:rPr>
                      <w:bCs/>
                      <w:sz w:val="21"/>
                      <w:szCs w:val="21"/>
                    </w:rPr>
                  </w:pPr>
                  <w:r>
                    <w:rPr>
                      <w:rFonts w:hint="eastAsia"/>
                      <w:bCs/>
                      <w:sz w:val="21"/>
                      <w:szCs w:val="21"/>
                    </w:rPr>
                    <w:t>6</w:t>
                  </w:r>
                  <w:r>
                    <w:rPr>
                      <w:bCs/>
                      <w:sz w:val="21"/>
                      <w:szCs w:val="21"/>
                    </w:rPr>
                    <w:t>人</w:t>
                  </w:r>
                </w:p>
              </w:tc>
              <w:tc>
                <w:tcPr>
                  <w:tcW w:w="933" w:type="dxa"/>
                  <w:vAlign w:val="center"/>
                </w:tcPr>
                <w:p>
                  <w:pPr>
                    <w:spacing w:line="240" w:lineRule="atLeast"/>
                    <w:jc w:val="center"/>
                    <w:rPr>
                      <w:rFonts w:hint="default" w:eastAsia="宋体"/>
                      <w:bCs/>
                      <w:sz w:val="21"/>
                      <w:szCs w:val="21"/>
                      <w:lang w:val="en-US" w:eastAsia="zh-CN"/>
                    </w:rPr>
                  </w:pPr>
                  <w:r>
                    <w:rPr>
                      <w:rFonts w:hint="eastAsia"/>
                      <w:bCs/>
                      <w:sz w:val="21"/>
                      <w:szCs w:val="21"/>
                      <w:lang w:val="en-US" w:eastAsia="zh-CN"/>
                    </w:rPr>
                    <w:t>115.2</w:t>
                  </w:r>
                </w:p>
              </w:tc>
              <w:tc>
                <w:tcPr>
                  <w:tcW w:w="992" w:type="dxa"/>
                  <w:vAlign w:val="center"/>
                </w:tcPr>
                <w:p>
                  <w:pPr>
                    <w:spacing w:line="240" w:lineRule="atLeast"/>
                    <w:jc w:val="center"/>
                    <w:rPr>
                      <w:bCs/>
                      <w:sz w:val="21"/>
                      <w:szCs w:val="21"/>
                    </w:rPr>
                  </w:pPr>
                  <w:r>
                    <w:rPr>
                      <w:bCs/>
                      <w:sz w:val="21"/>
                      <w:szCs w:val="21"/>
                    </w:rPr>
                    <w:t>0.8</w:t>
                  </w:r>
                </w:p>
              </w:tc>
              <w:tc>
                <w:tcPr>
                  <w:tcW w:w="1341" w:type="dxa"/>
                  <w:vAlign w:val="center"/>
                </w:tcPr>
                <w:p>
                  <w:pPr>
                    <w:spacing w:line="240" w:lineRule="atLeast"/>
                    <w:jc w:val="center"/>
                    <w:rPr>
                      <w:rFonts w:hint="default" w:eastAsia="宋体"/>
                      <w:bCs/>
                      <w:sz w:val="21"/>
                      <w:szCs w:val="21"/>
                      <w:lang w:val="en-US" w:eastAsia="zh-CN"/>
                    </w:rPr>
                  </w:pPr>
                  <w:r>
                    <w:rPr>
                      <w:rFonts w:hint="eastAsia"/>
                      <w:bCs/>
                      <w:sz w:val="21"/>
                      <w:szCs w:val="21"/>
                      <w:lang w:val="en-US" w:eastAsia="zh-CN"/>
                    </w:rPr>
                    <w:t>92.16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2352" w:type="dxa"/>
                  <w:vAlign w:val="center"/>
                </w:tcPr>
                <w:p>
                  <w:pPr>
                    <w:spacing w:line="240" w:lineRule="atLeast"/>
                    <w:jc w:val="center"/>
                    <w:rPr>
                      <w:bCs/>
                      <w:sz w:val="21"/>
                      <w:szCs w:val="21"/>
                    </w:rPr>
                  </w:pPr>
                  <w:r>
                    <w:rPr>
                      <w:rFonts w:hint="eastAsia"/>
                      <w:bCs/>
                      <w:sz w:val="21"/>
                      <w:szCs w:val="21"/>
                    </w:rPr>
                    <w:t>搅拌用水</w:t>
                  </w:r>
                </w:p>
              </w:tc>
              <w:tc>
                <w:tcPr>
                  <w:tcW w:w="1125" w:type="dxa"/>
                  <w:vAlign w:val="center"/>
                </w:tcPr>
                <w:p>
                  <w:pPr>
                    <w:spacing w:line="240" w:lineRule="atLeast"/>
                    <w:jc w:val="center"/>
                    <w:rPr>
                      <w:bCs/>
                      <w:sz w:val="21"/>
                      <w:szCs w:val="21"/>
                    </w:rPr>
                  </w:pPr>
                  <w:r>
                    <w:rPr>
                      <w:bCs/>
                      <w:sz w:val="21"/>
                      <w:szCs w:val="21"/>
                    </w:rPr>
                    <w:t>/</w:t>
                  </w:r>
                </w:p>
              </w:tc>
              <w:tc>
                <w:tcPr>
                  <w:tcW w:w="959" w:type="dxa"/>
                  <w:vAlign w:val="center"/>
                </w:tcPr>
                <w:p>
                  <w:pPr>
                    <w:spacing w:line="240" w:lineRule="atLeast"/>
                    <w:jc w:val="center"/>
                    <w:rPr>
                      <w:bCs/>
                      <w:sz w:val="21"/>
                      <w:szCs w:val="21"/>
                    </w:rPr>
                  </w:pPr>
                  <w:r>
                    <w:rPr>
                      <w:bCs/>
                      <w:sz w:val="21"/>
                      <w:szCs w:val="21"/>
                    </w:rPr>
                    <w:t>/</w:t>
                  </w:r>
                </w:p>
              </w:tc>
              <w:tc>
                <w:tcPr>
                  <w:tcW w:w="933" w:type="dxa"/>
                  <w:vAlign w:val="center"/>
                </w:tcPr>
                <w:p>
                  <w:pPr>
                    <w:spacing w:line="240" w:lineRule="atLeast"/>
                    <w:jc w:val="center"/>
                    <w:rPr>
                      <w:sz w:val="21"/>
                      <w:szCs w:val="21"/>
                    </w:rPr>
                  </w:pPr>
                  <w:r>
                    <w:rPr>
                      <w:rFonts w:hint="eastAsia"/>
                      <w:sz w:val="21"/>
                      <w:szCs w:val="21"/>
                    </w:rPr>
                    <w:t>4200</w:t>
                  </w:r>
                </w:p>
              </w:tc>
              <w:tc>
                <w:tcPr>
                  <w:tcW w:w="992" w:type="dxa"/>
                  <w:vAlign w:val="center"/>
                </w:tcPr>
                <w:p>
                  <w:pPr>
                    <w:spacing w:line="240" w:lineRule="atLeast"/>
                    <w:jc w:val="center"/>
                    <w:rPr>
                      <w:bCs/>
                      <w:sz w:val="21"/>
                      <w:szCs w:val="21"/>
                    </w:rPr>
                  </w:pPr>
                  <w:r>
                    <w:rPr>
                      <w:bCs/>
                      <w:sz w:val="21"/>
                      <w:szCs w:val="21"/>
                    </w:rPr>
                    <w:t>/</w:t>
                  </w:r>
                </w:p>
              </w:tc>
              <w:tc>
                <w:tcPr>
                  <w:tcW w:w="1341" w:type="dxa"/>
                  <w:vAlign w:val="center"/>
                </w:tcPr>
                <w:p>
                  <w:pPr>
                    <w:spacing w:line="240" w:lineRule="atLeast"/>
                    <w:jc w:val="center"/>
                    <w:rPr>
                      <w:rFonts w:hint="eastAsia" w:eastAsia="宋体"/>
                      <w:sz w:val="21"/>
                      <w:szCs w:val="21"/>
                      <w:lang w:eastAsia="zh-CN"/>
                    </w:rPr>
                  </w:pPr>
                  <w:r>
                    <w:rPr>
                      <w:rFonts w:hint="eastAsia"/>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blHeader/>
                <w:jc w:val="center"/>
              </w:trPr>
              <w:tc>
                <w:tcPr>
                  <w:tcW w:w="2352" w:type="dxa"/>
                  <w:vAlign w:val="center"/>
                </w:tcPr>
                <w:p>
                  <w:pPr>
                    <w:spacing w:line="240" w:lineRule="atLeast"/>
                    <w:jc w:val="center"/>
                    <w:rPr>
                      <w:bCs/>
                      <w:sz w:val="21"/>
                      <w:szCs w:val="21"/>
                    </w:rPr>
                  </w:pPr>
                  <w:r>
                    <w:rPr>
                      <w:rFonts w:hint="eastAsia"/>
                      <w:bCs/>
                      <w:sz w:val="21"/>
                      <w:szCs w:val="21"/>
                    </w:rPr>
                    <w:t>设备及地面清洗用水</w:t>
                  </w:r>
                </w:p>
              </w:tc>
              <w:tc>
                <w:tcPr>
                  <w:tcW w:w="1125" w:type="dxa"/>
                  <w:vAlign w:val="center"/>
                </w:tcPr>
                <w:p>
                  <w:pPr>
                    <w:spacing w:line="240" w:lineRule="atLeast"/>
                    <w:jc w:val="center"/>
                    <w:rPr>
                      <w:bCs/>
                      <w:sz w:val="21"/>
                      <w:szCs w:val="21"/>
                    </w:rPr>
                  </w:pPr>
                  <w:r>
                    <w:rPr>
                      <w:rFonts w:hint="eastAsia"/>
                      <w:bCs/>
                      <w:sz w:val="21"/>
                      <w:szCs w:val="21"/>
                    </w:rPr>
                    <w:t>/</w:t>
                  </w:r>
                </w:p>
              </w:tc>
              <w:tc>
                <w:tcPr>
                  <w:tcW w:w="959" w:type="dxa"/>
                  <w:vAlign w:val="center"/>
                </w:tcPr>
                <w:p>
                  <w:pPr>
                    <w:spacing w:line="240" w:lineRule="atLeast"/>
                    <w:jc w:val="center"/>
                    <w:rPr>
                      <w:bCs/>
                      <w:sz w:val="21"/>
                      <w:szCs w:val="21"/>
                    </w:rPr>
                  </w:pPr>
                  <w:r>
                    <w:rPr>
                      <w:rFonts w:hint="eastAsia"/>
                      <w:bCs/>
                      <w:sz w:val="21"/>
                      <w:szCs w:val="21"/>
                    </w:rPr>
                    <w:t>/</w:t>
                  </w:r>
                </w:p>
              </w:tc>
              <w:tc>
                <w:tcPr>
                  <w:tcW w:w="933" w:type="dxa"/>
                  <w:vAlign w:val="center"/>
                </w:tcPr>
                <w:p>
                  <w:pPr>
                    <w:spacing w:line="240" w:lineRule="atLeast"/>
                    <w:jc w:val="center"/>
                    <w:rPr>
                      <w:sz w:val="21"/>
                      <w:szCs w:val="21"/>
                    </w:rPr>
                  </w:pPr>
                  <w:r>
                    <w:rPr>
                      <w:rFonts w:hint="eastAsia"/>
                      <w:sz w:val="21"/>
                      <w:szCs w:val="21"/>
                    </w:rPr>
                    <w:t>160</w:t>
                  </w:r>
                </w:p>
              </w:tc>
              <w:tc>
                <w:tcPr>
                  <w:tcW w:w="992" w:type="dxa"/>
                  <w:vAlign w:val="center"/>
                </w:tcPr>
                <w:p>
                  <w:pPr>
                    <w:spacing w:line="240" w:lineRule="atLeast"/>
                    <w:jc w:val="center"/>
                    <w:rPr>
                      <w:bCs/>
                      <w:sz w:val="21"/>
                      <w:szCs w:val="21"/>
                    </w:rPr>
                  </w:pPr>
                  <w:r>
                    <w:rPr>
                      <w:rFonts w:hint="eastAsia"/>
                      <w:bCs/>
                      <w:sz w:val="21"/>
                      <w:szCs w:val="21"/>
                    </w:rPr>
                    <w:t>0.9</w:t>
                  </w:r>
                </w:p>
              </w:tc>
              <w:tc>
                <w:tcPr>
                  <w:tcW w:w="1341" w:type="dxa"/>
                  <w:vAlign w:val="center"/>
                </w:tcPr>
                <w:p>
                  <w:pPr>
                    <w:spacing w:line="240" w:lineRule="atLeast"/>
                    <w:jc w:val="center"/>
                    <w:rPr>
                      <w:sz w:val="21"/>
                      <w:szCs w:val="21"/>
                    </w:rPr>
                  </w:pPr>
                  <w:r>
                    <w:rPr>
                      <w:rFonts w:hint="eastAsia"/>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tblHeader/>
                <w:jc w:val="center"/>
              </w:trPr>
              <w:tc>
                <w:tcPr>
                  <w:tcW w:w="4436" w:type="dxa"/>
                  <w:gridSpan w:val="3"/>
                  <w:vAlign w:val="center"/>
                </w:tcPr>
                <w:p>
                  <w:pPr>
                    <w:spacing w:line="240" w:lineRule="atLeast"/>
                    <w:jc w:val="center"/>
                    <w:rPr>
                      <w:bCs/>
                      <w:sz w:val="21"/>
                      <w:szCs w:val="21"/>
                    </w:rPr>
                  </w:pPr>
                  <w:r>
                    <w:rPr>
                      <w:bCs/>
                      <w:sz w:val="21"/>
                      <w:szCs w:val="21"/>
                    </w:rPr>
                    <w:t>合计</w:t>
                  </w:r>
                </w:p>
              </w:tc>
              <w:tc>
                <w:tcPr>
                  <w:tcW w:w="933" w:type="dxa"/>
                  <w:vAlign w:val="center"/>
                </w:tcPr>
                <w:p>
                  <w:pPr>
                    <w:spacing w:line="240" w:lineRule="atLeast"/>
                    <w:jc w:val="center"/>
                    <w:rPr>
                      <w:bCs/>
                      <w:sz w:val="21"/>
                      <w:szCs w:val="21"/>
                    </w:rPr>
                  </w:pPr>
                </w:p>
              </w:tc>
              <w:tc>
                <w:tcPr>
                  <w:tcW w:w="992" w:type="dxa"/>
                  <w:vAlign w:val="center"/>
                </w:tcPr>
                <w:p>
                  <w:pPr>
                    <w:spacing w:line="240" w:lineRule="atLeast"/>
                    <w:jc w:val="center"/>
                    <w:rPr>
                      <w:bCs/>
                      <w:sz w:val="21"/>
                      <w:szCs w:val="21"/>
                    </w:rPr>
                  </w:pPr>
                  <w:r>
                    <w:rPr>
                      <w:bCs/>
                      <w:sz w:val="21"/>
                      <w:szCs w:val="21"/>
                    </w:rPr>
                    <w:t>/</w:t>
                  </w:r>
                </w:p>
              </w:tc>
              <w:tc>
                <w:tcPr>
                  <w:tcW w:w="1341" w:type="dxa"/>
                  <w:vAlign w:val="center"/>
                </w:tcPr>
                <w:p>
                  <w:pPr>
                    <w:spacing w:line="240" w:lineRule="atLeast"/>
                    <w:jc w:val="center"/>
                    <w:rPr>
                      <w:rFonts w:hint="default" w:eastAsia="宋体"/>
                      <w:bCs/>
                      <w:sz w:val="21"/>
                      <w:szCs w:val="21"/>
                      <w:lang w:val="en-US" w:eastAsia="zh-CN"/>
                    </w:rPr>
                  </w:pPr>
                  <w:r>
                    <w:rPr>
                      <w:rFonts w:hint="eastAsia"/>
                      <w:bCs/>
                      <w:sz w:val="21"/>
                      <w:szCs w:val="21"/>
                      <w:lang w:val="en-US" w:eastAsia="zh-CN"/>
                    </w:rPr>
                    <w:t>236.16</w:t>
                  </w:r>
                </w:p>
              </w:tc>
            </w:tr>
          </w:tbl>
          <w:p>
            <w:pPr>
              <w:adjustRightInd w:val="0"/>
              <w:snapToGrid w:val="0"/>
              <w:spacing w:line="360" w:lineRule="auto"/>
              <w:jc w:val="center"/>
              <w:rPr>
                <w:b/>
                <w:bCs/>
              </w:rPr>
            </w:pPr>
            <w:r>
              <w:rPr>
                <w:b/>
                <w:bCs/>
              </w:rPr>
              <w:t>表4-</w:t>
            </w:r>
            <w:r>
              <w:rPr>
                <w:rFonts w:hint="eastAsia"/>
                <w:b/>
                <w:bCs/>
                <w:lang w:val="en-US" w:eastAsia="zh-CN"/>
              </w:rPr>
              <w:t>6</w:t>
            </w:r>
            <w:r>
              <w:rPr>
                <w:b/>
                <w:bCs/>
              </w:rPr>
              <w:t xml:space="preserve"> 废水类别、污染物种类、排放方式及污染治理设施一览表</w:t>
            </w:r>
          </w:p>
          <w:tbl>
            <w:tblPr>
              <w:tblStyle w:val="24"/>
              <w:tblW w:w="7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98"/>
              <w:gridCol w:w="1037"/>
              <w:gridCol w:w="806"/>
              <w:gridCol w:w="1127"/>
              <w:gridCol w:w="788"/>
              <w:gridCol w:w="1006"/>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5" w:type="dxa"/>
                  <w:vMerge w:val="restart"/>
                  <w:vAlign w:val="center"/>
                </w:tcPr>
                <w:p>
                  <w:pPr>
                    <w:jc w:val="center"/>
                    <w:rPr>
                      <w:b/>
                      <w:bCs/>
                      <w:sz w:val="21"/>
                      <w:szCs w:val="21"/>
                    </w:rPr>
                  </w:pPr>
                  <w:r>
                    <w:rPr>
                      <w:b/>
                      <w:bCs/>
                      <w:sz w:val="21"/>
                      <w:szCs w:val="21"/>
                    </w:rPr>
                    <w:t>废水类别</w:t>
                  </w:r>
                </w:p>
              </w:tc>
              <w:tc>
                <w:tcPr>
                  <w:tcW w:w="1498" w:type="dxa"/>
                  <w:vMerge w:val="restart"/>
                  <w:vAlign w:val="center"/>
                </w:tcPr>
                <w:p>
                  <w:pPr>
                    <w:jc w:val="center"/>
                    <w:rPr>
                      <w:b/>
                      <w:bCs/>
                      <w:sz w:val="21"/>
                      <w:szCs w:val="21"/>
                    </w:rPr>
                  </w:pPr>
                  <w:r>
                    <w:rPr>
                      <w:b/>
                      <w:bCs/>
                      <w:sz w:val="21"/>
                      <w:szCs w:val="21"/>
                    </w:rPr>
                    <w:t>污染物种类</w:t>
                  </w:r>
                </w:p>
              </w:tc>
              <w:tc>
                <w:tcPr>
                  <w:tcW w:w="1843" w:type="dxa"/>
                  <w:gridSpan w:val="2"/>
                  <w:vAlign w:val="center"/>
                </w:tcPr>
                <w:p>
                  <w:pPr>
                    <w:jc w:val="center"/>
                    <w:rPr>
                      <w:b/>
                      <w:bCs/>
                      <w:sz w:val="21"/>
                      <w:szCs w:val="21"/>
                    </w:rPr>
                  </w:pPr>
                  <w:r>
                    <w:rPr>
                      <w:b/>
                      <w:bCs/>
                      <w:sz w:val="21"/>
                      <w:szCs w:val="21"/>
                    </w:rPr>
                    <w:t>污染治理设施</w:t>
                  </w:r>
                </w:p>
              </w:tc>
              <w:tc>
                <w:tcPr>
                  <w:tcW w:w="1127" w:type="dxa"/>
                  <w:vMerge w:val="restart"/>
                  <w:vAlign w:val="center"/>
                </w:tcPr>
                <w:p>
                  <w:pPr>
                    <w:jc w:val="center"/>
                    <w:rPr>
                      <w:b/>
                      <w:bCs/>
                      <w:sz w:val="21"/>
                      <w:szCs w:val="21"/>
                    </w:rPr>
                  </w:pPr>
                  <w:r>
                    <w:rPr>
                      <w:b/>
                      <w:bCs/>
                      <w:sz w:val="21"/>
                      <w:szCs w:val="21"/>
                    </w:rPr>
                    <w:t>排放去向</w:t>
                  </w:r>
                </w:p>
              </w:tc>
              <w:tc>
                <w:tcPr>
                  <w:tcW w:w="788" w:type="dxa"/>
                  <w:vMerge w:val="restart"/>
                  <w:vAlign w:val="center"/>
                </w:tcPr>
                <w:p>
                  <w:pPr>
                    <w:jc w:val="center"/>
                    <w:rPr>
                      <w:b/>
                      <w:bCs/>
                      <w:sz w:val="21"/>
                      <w:szCs w:val="21"/>
                    </w:rPr>
                  </w:pPr>
                  <w:r>
                    <w:rPr>
                      <w:b/>
                      <w:bCs/>
                      <w:sz w:val="21"/>
                      <w:szCs w:val="21"/>
                    </w:rPr>
                    <w:t>排放方式</w:t>
                  </w:r>
                </w:p>
              </w:tc>
              <w:tc>
                <w:tcPr>
                  <w:tcW w:w="1006" w:type="dxa"/>
                  <w:vMerge w:val="restart"/>
                  <w:vAlign w:val="center"/>
                </w:tcPr>
                <w:p>
                  <w:pPr>
                    <w:jc w:val="center"/>
                    <w:rPr>
                      <w:b/>
                      <w:bCs/>
                      <w:sz w:val="21"/>
                      <w:szCs w:val="21"/>
                    </w:rPr>
                  </w:pPr>
                  <w:r>
                    <w:rPr>
                      <w:b/>
                      <w:bCs/>
                      <w:sz w:val="21"/>
                      <w:szCs w:val="21"/>
                    </w:rPr>
                    <w:t>排放口编号</w:t>
                  </w:r>
                </w:p>
              </w:tc>
              <w:tc>
                <w:tcPr>
                  <w:tcW w:w="994" w:type="dxa"/>
                  <w:vMerge w:val="restart"/>
                  <w:vAlign w:val="center"/>
                </w:tcPr>
                <w:p>
                  <w:pPr>
                    <w:jc w:val="center"/>
                    <w:rPr>
                      <w:b/>
                      <w:bCs/>
                      <w:sz w:val="21"/>
                      <w:szCs w:val="21"/>
                    </w:rPr>
                  </w:pPr>
                  <w:r>
                    <w:rPr>
                      <w:b/>
                      <w:bCs/>
                      <w:sz w:val="21"/>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645" w:type="dxa"/>
                  <w:vMerge w:val="continue"/>
                  <w:vAlign w:val="center"/>
                </w:tcPr>
                <w:p>
                  <w:pPr>
                    <w:jc w:val="center"/>
                    <w:rPr>
                      <w:sz w:val="21"/>
                      <w:szCs w:val="21"/>
                    </w:rPr>
                  </w:pPr>
                </w:p>
              </w:tc>
              <w:tc>
                <w:tcPr>
                  <w:tcW w:w="1498" w:type="dxa"/>
                  <w:vMerge w:val="continue"/>
                  <w:vAlign w:val="center"/>
                </w:tcPr>
                <w:p>
                  <w:pPr>
                    <w:jc w:val="center"/>
                    <w:rPr>
                      <w:sz w:val="21"/>
                      <w:szCs w:val="21"/>
                    </w:rPr>
                  </w:pPr>
                </w:p>
              </w:tc>
              <w:tc>
                <w:tcPr>
                  <w:tcW w:w="1037" w:type="dxa"/>
                  <w:vAlign w:val="center"/>
                </w:tcPr>
                <w:p>
                  <w:pPr>
                    <w:jc w:val="center"/>
                    <w:rPr>
                      <w:b/>
                      <w:bCs/>
                      <w:sz w:val="21"/>
                      <w:szCs w:val="21"/>
                    </w:rPr>
                  </w:pPr>
                  <w:r>
                    <w:rPr>
                      <w:b/>
                      <w:bCs/>
                      <w:sz w:val="21"/>
                      <w:szCs w:val="21"/>
                    </w:rPr>
                    <w:t>治理工艺</w:t>
                  </w:r>
                </w:p>
              </w:tc>
              <w:tc>
                <w:tcPr>
                  <w:tcW w:w="806" w:type="dxa"/>
                  <w:vAlign w:val="center"/>
                </w:tcPr>
                <w:p>
                  <w:pPr>
                    <w:jc w:val="center"/>
                    <w:rPr>
                      <w:b/>
                      <w:bCs/>
                      <w:sz w:val="21"/>
                      <w:szCs w:val="21"/>
                    </w:rPr>
                  </w:pPr>
                  <w:r>
                    <w:rPr>
                      <w:b/>
                      <w:bCs/>
                      <w:sz w:val="21"/>
                      <w:szCs w:val="21"/>
                    </w:rPr>
                    <w:t>是否可行</w:t>
                  </w:r>
                </w:p>
              </w:tc>
              <w:tc>
                <w:tcPr>
                  <w:tcW w:w="1127" w:type="dxa"/>
                  <w:vMerge w:val="continue"/>
                  <w:vAlign w:val="center"/>
                </w:tcPr>
                <w:p>
                  <w:pPr>
                    <w:jc w:val="center"/>
                    <w:rPr>
                      <w:sz w:val="21"/>
                      <w:szCs w:val="21"/>
                    </w:rPr>
                  </w:pPr>
                </w:p>
              </w:tc>
              <w:tc>
                <w:tcPr>
                  <w:tcW w:w="788" w:type="dxa"/>
                  <w:vMerge w:val="continue"/>
                  <w:vAlign w:val="center"/>
                </w:tcPr>
                <w:p>
                  <w:pPr>
                    <w:jc w:val="center"/>
                    <w:rPr>
                      <w:sz w:val="21"/>
                      <w:szCs w:val="21"/>
                    </w:rPr>
                  </w:pPr>
                </w:p>
              </w:tc>
              <w:tc>
                <w:tcPr>
                  <w:tcW w:w="1006" w:type="dxa"/>
                  <w:vMerge w:val="continue"/>
                  <w:vAlign w:val="center"/>
                </w:tcPr>
                <w:p>
                  <w:pPr>
                    <w:jc w:val="center"/>
                    <w:rPr>
                      <w:sz w:val="21"/>
                      <w:szCs w:val="21"/>
                    </w:rPr>
                  </w:pPr>
                </w:p>
              </w:tc>
              <w:tc>
                <w:tcPr>
                  <w:tcW w:w="994" w:type="dxa"/>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Align w:val="center"/>
                </w:tcPr>
                <w:p>
                  <w:pPr>
                    <w:jc w:val="center"/>
                    <w:rPr>
                      <w:sz w:val="21"/>
                      <w:szCs w:val="21"/>
                    </w:rPr>
                  </w:pPr>
                  <w:r>
                    <w:rPr>
                      <w:sz w:val="21"/>
                      <w:szCs w:val="21"/>
                    </w:rPr>
                    <w:t>生活污水</w:t>
                  </w:r>
                </w:p>
              </w:tc>
              <w:tc>
                <w:tcPr>
                  <w:tcW w:w="1498" w:type="dxa"/>
                  <w:vAlign w:val="center"/>
                </w:tcPr>
                <w:p>
                  <w:pPr>
                    <w:jc w:val="center"/>
                    <w:rPr>
                      <w:sz w:val="21"/>
                      <w:szCs w:val="21"/>
                    </w:rPr>
                  </w:pPr>
                  <w:r>
                    <w:rPr>
                      <w:sz w:val="21"/>
                      <w:szCs w:val="21"/>
                    </w:rPr>
                    <w:t>pH、COD、BOD</w:t>
                  </w:r>
                  <w:r>
                    <w:rPr>
                      <w:sz w:val="21"/>
                      <w:szCs w:val="21"/>
                      <w:vertAlign w:val="subscript"/>
                    </w:rPr>
                    <w:t>5</w:t>
                  </w:r>
                  <w:r>
                    <w:rPr>
                      <w:sz w:val="21"/>
                      <w:szCs w:val="21"/>
                    </w:rPr>
                    <w:t>、SS、</w:t>
                  </w:r>
                  <w:r>
                    <w:rPr>
                      <w:bCs/>
                      <w:snapToGrid w:val="0"/>
                      <w:kern w:val="0"/>
                      <w:sz w:val="21"/>
                      <w:szCs w:val="21"/>
                    </w:rPr>
                    <w:t>NH</w:t>
                  </w:r>
                  <w:r>
                    <w:rPr>
                      <w:bCs/>
                      <w:snapToGrid w:val="0"/>
                      <w:kern w:val="0"/>
                      <w:sz w:val="21"/>
                      <w:szCs w:val="21"/>
                      <w:vertAlign w:val="subscript"/>
                    </w:rPr>
                    <w:t>3</w:t>
                  </w:r>
                  <w:r>
                    <w:rPr>
                      <w:bCs/>
                      <w:snapToGrid w:val="0"/>
                      <w:kern w:val="0"/>
                      <w:sz w:val="21"/>
                      <w:szCs w:val="21"/>
                    </w:rPr>
                    <w:t>-N</w:t>
                  </w:r>
                  <w:r>
                    <w:rPr>
                      <w:rFonts w:hint="eastAsia"/>
                      <w:bCs/>
                      <w:snapToGrid w:val="0"/>
                      <w:kern w:val="0"/>
                      <w:sz w:val="21"/>
                      <w:szCs w:val="21"/>
                    </w:rPr>
                    <w:t>、动植物油</w:t>
                  </w:r>
                </w:p>
              </w:tc>
              <w:tc>
                <w:tcPr>
                  <w:tcW w:w="1037" w:type="dxa"/>
                  <w:vAlign w:val="center"/>
                </w:tcPr>
                <w:p>
                  <w:pPr>
                    <w:jc w:val="center"/>
                    <w:rPr>
                      <w:sz w:val="21"/>
                      <w:szCs w:val="21"/>
                    </w:rPr>
                  </w:pPr>
                  <w:r>
                    <w:rPr>
                      <w:rFonts w:hint="eastAsia"/>
                      <w:sz w:val="21"/>
                      <w:szCs w:val="21"/>
                    </w:rPr>
                    <w:t>隔油池+化粪池</w:t>
                  </w:r>
                </w:p>
              </w:tc>
              <w:tc>
                <w:tcPr>
                  <w:tcW w:w="806" w:type="dxa"/>
                  <w:vAlign w:val="center"/>
                </w:tcPr>
                <w:p>
                  <w:pPr>
                    <w:jc w:val="center"/>
                    <w:rPr>
                      <w:sz w:val="21"/>
                      <w:szCs w:val="21"/>
                    </w:rPr>
                  </w:pPr>
                  <w:r>
                    <w:rPr>
                      <w:sz w:val="21"/>
                      <w:szCs w:val="21"/>
                    </w:rPr>
                    <w:t>是</w:t>
                  </w:r>
                </w:p>
              </w:tc>
              <w:tc>
                <w:tcPr>
                  <w:tcW w:w="1127" w:type="dxa"/>
                  <w:vAlign w:val="center"/>
                </w:tcPr>
                <w:p>
                  <w:pPr>
                    <w:jc w:val="center"/>
                    <w:rPr>
                      <w:sz w:val="21"/>
                      <w:szCs w:val="21"/>
                    </w:rPr>
                  </w:pPr>
                  <w:r>
                    <w:rPr>
                      <w:rFonts w:hint="eastAsia"/>
                      <w:sz w:val="21"/>
                      <w:szCs w:val="21"/>
                    </w:rPr>
                    <w:t>定期清掏不外排</w:t>
                  </w:r>
                </w:p>
              </w:tc>
              <w:tc>
                <w:tcPr>
                  <w:tcW w:w="788" w:type="dxa"/>
                  <w:vAlign w:val="center"/>
                </w:tcPr>
                <w:p>
                  <w:pPr>
                    <w:jc w:val="center"/>
                    <w:rPr>
                      <w:sz w:val="21"/>
                      <w:szCs w:val="21"/>
                    </w:rPr>
                  </w:pPr>
                  <w:r>
                    <w:rPr>
                      <w:rFonts w:hint="eastAsia"/>
                      <w:sz w:val="21"/>
                      <w:szCs w:val="21"/>
                    </w:rPr>
                    <w:t>不外排</w:t>
                  </w:r>
                </w:p>
              </w:tc>
              <w:tc>
                <w:tcPr>
                  <w:tcW w:w="1006" w:type="dxa"/>
                  <w:vAlign w:val="center"/>
                </w:tcPr>
                <w:p>
                  <w:pPr>
                    <w:jc w:val="center"/>
                    <w:rPr>
                      <w:sz w:val="21"/>
                      <w:szCs w:val="21"/>
                    </w:rPr>
                  </w:pPr>
                  <w:r>
                    <w:rPr>
                      <w:rFonts w:hint="eastAsia"/>
                      <w:sz w:val="21"/>
                      <w:szCs w:val="21"/>
                    </w:rPr>
                    <w:t>/</w:t>
                  </w:r>
                </w:p>
              </w:tc>
              <w:tc>
                <w:tcPr>
                  <w:tcW w:w="994" w:type="dxa"/>
                  <w:vAlign w:val="center"/>
                </w:tcPr>
                <w:p>
                  <w:pPr>
                    <w:jc w:val="center"/>
                    <w:rPr>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45" w:type="dxa"/>
                  <w:vAlign w:val="center"/>
                </w:tcPr>
                <w:p>
                  <w:pPr>
                    <w:jc w:val="center"/>
                    <w:rPr>
                      <w:bCs/>
                      <w:sz w:val="21"/>
                      <w:szCs w:val="21"/>
                    </w:rPr>
                  </w:pPr>
                  <w:r>
                    <w:rPr>
                      <w:rFonts w:hint="eastAsia"/>
                      <w:bCs/>
                      <w:sz w:val="21"/>
                      <w:szCs w:val="21"/>
                    </w:rPr>
                    <w:t>设备及地面清洗用水</w:t>
                  </w:r>
                </w:p>
              </w:tc>
              <w:tc>
                <w:tcPr>
                  <w:tcW w:w="1498" w:type="dxa"/>
                  <w:vAlign w:val="center"/>
                </w:tcPr>
                <w:p>
                  <w:pPr>
                    <w:jc w:val="center"/>
                    <w:rPr>
                      <w:color w:val="000000" w:themeColor="text1"/>
                      <w:sz w:val="21"/>
                      <w:szCs w:val="21"/>
                      <w14:textFill>
                        <w14:solidFill>
                          <w14:schemeClr w14:val="tx1"/>
                        </w14:solidFill>
                      </w14:textFill>
                    </w:rPr>
                  </w:pPr>
                  <w:r>
                    <w:rPr>
                      <w:sz w:val="21"/>
                      <w:szCs w:val="21"/>
                    </w:rPr>
                    <w:t>pH、COD、BOD</w:t>
                  </w:r>
                  <w:r>
                    <w:rPr>
                      <w:sz w:val="21"/>
                      <w:szCs w:val="21"/>
                      <w:vertAlign w:val="subscript"/>
                    </w:rPr>
                    <w:t>5</w:t>
                  </w:r>
                  <w:r>
                    <w:rPr>
                      <w:sz w:val="21"/>
                      <w:szCs w:val="21"/>
                    </w:rPr>
                    <w:t>、SS、</w:t>
                  </w:r>
                  <w:r>
                    <w:rPr>
                      <w:bCs/>
                      <w:snapToGrid w:val="0"/>
                      <w:kern w:val="0"/>
                      <w:sz w:val="21"/>
                      <w:szCs w:val="21"/>
                    </w:rPr>
                    <w:t>NH</w:t>
                  </w:r>
                  <w:r>
                    <w:rPr>
                      <w:bCs/>
                      <w:snapToGrid w:val="0"/>
                      <w:kern w:val="0"/>
                      <w:sz w:val="21"/>
                      <w:szCs w:val="21"/>
                      <w:vertAlign w:val="subscript"/>
                    </w:rPr>
                    <w:t>3</w:t>
                  </w:r>
                  <w:r>
                    <w:rPr>
                      <w:bCs/>
                      <w:snapToGrid w:val="0"/>
                      <w:kern w:val="0"/>
                      <w:sz w:val="21"/>
                      <w:szCs w:val="21"/>
                    </w:rPr>
                    <w:t>-N</w:t>
                  </w:r>
                </w:p>
              </w:tc>
              <w:tc>
                <w:tcPr>
                  <w:tcW w:w="1037" w:type="dxa"/>
                  <w:vAlign w:val="center"/>
                </w:tcPr>
                <w:p>
                  <w:pPr>
                    <w:jc w:val="center"/>
                    <w:rPr>
                      <w:sz w:val="21"/>
                      <w:szCs w:val="21"/>
                    </w:rPr>
                  </w:pPr>
                  <w:r>
                    <w:rPr>
                      <w:rFonts w:hint="eastAsia"/>
                      <w:sz w:val="21"/>
                      <w:szCs w:val="21"/>
                    </w:rPr>
                    <w:t>沉淀池</w:t>
                  </w:r>
                </w:p>
              </w:tc>
              <w:tc>
                <w:tcPr>
                  <w:tcW w:w="806" w:type="dxa"/>
                  <w:vAlign w:val="center"/>
                </w:tcPr>
                <w:p>
                  <w:pPr>
                    <w:jc w:val="center"/>
                    <w:rPr>
                      <w:sz w:val="21"/>
                      <w:szCs w:val="21"/>
                    </w:rPr>
                  </w:pPr>
                  <w:r>
                    <w:rPr>
                      <w:sz w:val="21"/>
                      <w:szCs w:val="21"/>
                    </w:rPr>
                    <w:t>是</w:t>
                  </w:r>
                </w:p>
              </w:tc>
              <w:tc>
                <w:tcPr>
                  <w:tcW w:w="1127" w:type="dxa"/>
                  <w:vAlign w:val="center"/>
                </w:tcPr>
                <w:p>
                  <w:pPr>
                    <w:jc w:val="center"/>
                    <w:rPr>
                      <w:sz w:val="21"/>
                      <w:szCs w:val="21"/>
                    </w:rPr>
                  </w:pPr>
                  <w:r>
                    <w:rPr>
                      <w:rFonts w:hint="eastAsia"/>
                      <w:sz w:val="21"/>
                      <w:szCs w:val="21"/>
                    </w:rPr>
                    <w:t>设备及地面清洗</w:t>
                  </w:r>
                  <w:r>
                    <w:rPr>
                      <w:rFonts w:hint="eastAsia"/>
                      <w:sz w:val="21"/>
                      <w:szCs w:val="21"/>
                      <w:lang w:val="en-US" w:eastAsia="zh-CN"/>
                    </w:rPr>
                    <w:t>时</w:t>
                  </w:r>
                  <w:r>
                    <w:rPr>
                      <w:rFonts w:hint="eastAsia"/>
                      <w:sz w:val="21"/>
                      <w:szCs w:val="21"/>
                    </w:rPr>
                    <w:t>回用</w:t>
                  </w:r>
                </w:p>
              </w:tc>
              <w:tc>
                <w:tcPr>
                  <w:tcW w:w="788" w:type="dxa"/>
                  <w:vAlign w:val="center"/>
                </w:tcPr>
                <w:p>
                  <w:pPr>
                    <w:jc w:val="center"/>
                    <w:rPr>
                      <w:sz w:val="21"/>
                      <w:szCs w:val="21"/>
                    </w:rPr>
                  </w:pPr>
                  <w:r>
                    <w:rPr>
                      <w:rFonts w:hint="eastAsia"/>
                      <w:sz w:val="21"/>
                      <w:szCs w:val="21"/>
                    </w:rPr>
                    <w:t>不外排</w:t>
                  </w:r>
                </w:p>
              </w:tc>
              <w:tc>
                <w:tcPr>
                  <w:tcW w:w="1006" w:type="dxa"/>
                  <w:vAlign w:val="center"/>
                </w:tcPr>
                <w:p>
                  <w:pPr>
                    <w:jc w:val="center"/>
                    <w:rPr>
                      <w:sz w:val="21"/>
                      <w:szCs w:val="21"/>
                    </w:rPr>
                  </w:pPr>
                  <w:r>
                    <w:rPr>
                      <w:rFonts w:hint="eastAsia"/>
                      <w:sz w:val="21"/>
                      <w:szCs w:val="21"/>
                    </w:rPr>
                    <w:t>/</w:t>
                  </w:r>
                </w:p>
              </w:tc>
              <w:tc>
                <w:tcPr>
                  <w:tcW w:w="994" w:type="dxa"/>
                  <w:vAlign w:val="center"/>
                </w:tcPr>
                <w:p>
                  <w:pPr>
                    <w:jc w:val="center"/>
                    <w:rPr>
                      <w:sz w:val="21"/>
                      <w:szCs w:val="21"/>
                    </w:rPr>
                  </w:pPr>
                  <w:r>
                    <w:rPr>
                      <w:rFonts w:hint="eastAsia"/>
                      <w:sz w:val="21"/>
                      <w:szCs w:val="21"/>
                    </w:rPr>
                    <w:t>/</w:t>
                  </w:r>
                </w:p>
              </w:tc>
            </w:tr>
          </w:tbl>
          <w:p>
            <w:pPr>
              <w:spacing w:line="360" w:lineRule="auto"/>
              <w:jc w:val="center"/>
              <w:rPr>
                <w:b/>
              </w:rPr>
            </w:pPr>
            <w:r>
              <w:rPr>
                <w:rFonts w:hint="eastAsia"/>
                <w:b/>
              </w:rPr>
              <w:t>表4-</w:t>
            </w:r>
            <w:r>
              <w:rPr>
                <w:rFonts w:hint="eastAsia"/>
                <w:b/>
                <w:lang w:val="en-US" w:eastAsia="zh-CN"/>
              </w:rPr>
              <w:t>7</w:t>
            </w:r>
            <w:r>
              <w:rPr>
                <w:rFonts w:hint="eastAsia"/>
                <w:b/>
              </w:rPr>
              <w:t xml:space="preserve">  建设项目运营期水污染物产生及排放情况表</w:t>
            </w:r>
          </w:p>
          <w:tbl>
            <w:tblPr>
              <w:tblStyle w:val="25"/>
              <w:tblW w:w="7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449"/>
              <w:gridCol w:w="906"/>
              <w:gridCol w:w="650"/>
              <w:gridCol w:w="869"/>
              <w:gridCol w:w="898"/>
              <w:gridCol w:w="861"/>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2271" w:type="dxa"/>
                  <w:gridSpan w:val="2"/>
                  <w:vAlign w:val="center"/>
                </w:tcPr>
                <w:p>
                  <w:pPr>
                    <w:adjustRightInd w:val="0"/>
                    <w:snapToGrid w:val="0"/>
                    <w:jc w:val="center"/>
                    <w:rPr>
                      <w:b/>
                      <w:bCs/>
                      <w:sz w:val="21"/>
                      <w:szCs w:val="21"/>
                    </w:rPr>
                  </w:pPr>
                  <w:r>
                    <w:rPr>
                      <w:b/>
                      <w:bCs/>
                      <w:sz w:val="21"/>
                      <w:szCs w:val="21"/>
                    </w:rPr>
                    <w:t>污染物项目</w:t>
                  </w:r>
                </w:p>
              </w:tc>
              <w:tc>
                <w:tcPr>
                  <w:tcW w:w="906" w:type="dxa"/>
                  <w:vAlign w:val="center"/>
                </w:tcPr>
                <w:p>
                  <w:pPr>
                    <w:adjustRightInd w:val="0"/>
                    <w:snapToGrid w:val="0"/>
                    <w:jc w:val="center"/>
                    <w:rPr>
                      <w:b/>
                      <w:bCs/>
                      <w:sz w:val="21"/>
                      <w:szCs w:val="21"/>
                    </w:rPr>
                  </w:pPr>
                  <w:r>
                    <w:rPr>
                      <w:b/>
                      <w:bCs/>
                      <w:sz w:val="21"/>
                      <w:szCs w:val="21"/>
                    </w:rPr>
                    <w:t>废水量（t/a）</w:t>
                  </w:r>
                </w:p>
              </w:tc>
              <w:tc>
                <w:tcPr>
                  <w:tcW w:w="650" w:type="dxa"/>
                  <w:vAlign w:val="center"/>
                </w:tcPr>
                <w:p>
                  <w:pPr>
                    <w:adjustRightInd w:val="0"/>
                    <w:snapToGrid w:val="0"/>
                    <w:jc w:val="center"/>
                    <w:rPr>
                      <w:b/>
                      <w:bCs/>
                      <w:sz w:val="21"/>
                      <w:szCs w:val="21"/>
                    </w:rPr>
                  </w:pPr>
                  <w:r>
                    <w:rPr>
                      <w:b/>
                      <w:bCs/>
                      <w:sz w:val="21"/>
                      <w:szCs w:val="21"/>
                    </w:rPr>
                    <w:t>pH</w:t>
                  </w:r>
                </w:p>
              </w:tc>
              <w:tc>
                <w:tcPr>
                  <w:tcW w:w="869" w:type="dxa"/>
                  <w:vAlign w:val="center"/>
                </w:tcPr>
                <w:p>
                  <w:pPr>
                    <w:adjustRightInd w:val="0"/>
                    <w:snapToGrid w:val="0"/>
                    <w:jc w:val="center"/>
                    <w:rPr>
                      <w:b/>
                      <w:bCs/>
                      <w:sz w:val="21"/>
                      <w:szCs w:val="21"/>
                    </w:rPr>
                  </w:pPr>
                  <w:r>
                    <w:rPr>
                      <w:b/>
                      <w:bCs/>
                      <w:sz w:val="21"/>
                      <w:szCs w:val="21"/>
                    </w:rPr>
                    <w:t>COD</w:t>
                  </w:r>
                </w:p>
              </w:tc>
              <w:tc>
                <w:tcPr>
                  <w:tcW w:w="898" w:type="dxa"/>
                  <w:vAlign w:val="center"/>
                </w:tcPr>
                <w:p>
                  <w:pPr>
                    <w:adjustRightInd w:val="0"/>
                    <w:snapToGrid w:val="0"/>
                    <w:jc w:val="center"/>
                    <w:rPr>
                      <w:b/>
                      <w:bCs/>
                      <w:sz w:val="21"/>
                      <w:szCs w:val="21"/>
                    </w:rPr>
                  </w:pPr>
                  <w:r>
                    <w:rPr>
                      <w:b/>
                      <w:bCs/>
                      <w:sz w:val="21"/>
                      <w:szCs w:val="21"/>
                    </w:rPr>
                    <w:t>BOD</w:t>
                  </w:r>
                  <w:r>
                    <w:rPr>
                      <w:b/>
                      <w:bCs/>
                      <w:sz w:val="21"/>
                      <w:szCs w:val="21"/>
                      <w:vertAlign w:val="subscript"/>
                    </w:rPr>
                    <w:t>5</w:t>
                  </w:r>
                </w:p>
              </w:tc>
              <w:tc>
                <w:tcPr>
                  <w:tcW w:w="861" w:type="dxa"/>
                  <w:vAlign w:val="center"/>
                </w:tcPr>
                <w:p>
                  <w:pPr>
                    <w:adjustRightInd w:val="0"/>
                    <w:snapToGrid w:val="0"/>
                    <w:jc w:val="center"/>
                    <w:rPr>
                      <w:b/>
                      <w:bCs/>
                      <w:sz w:val="21"/>
                      <w:szCs w:val="21"/>
                    </w:rPr>
                  </w:pPr>
                  <w:r>
                    <w:rPr>
                      <w:b/>
                      <w:bCs/>
                      <w:sz w:val="21"/>
                      <w:szCs w:val="21"/>
                    </w:rPr>
                    <w:t>SS</w:t>
                  </w:r>
                </w:p>
              </w:tc>
              <w:tc>
                <w:tcPr>
                  <w:tcW w:w="1101" w:type="dxa"/>
                  <w:vAlign w:val="center"/>
                </w:tcPr>
                <w:p>
                  <w:pPr>
                    <w:jc w:val="center"/>
                    <w:rPr>
                      <w:b/>
                      <w:bCs/>
                      <w:sz w:val="21"/>
                      <w:szCs w:val="21"/>
                    </w:rPr>
                  </w:pPr>
                  <w:r>
                    <w:rPr>
                      <w:b/>
                      <w:bCs/>
                      <w:sz w:val="21"/>
                      <w:szCs w:val="21"/>
                    </w:rPr>
                    <w:t>NH</w:t>
                  </w:r>
                  <w:r>
                    <w:rPr>
                      <w:b/>
                      <w:bCs/>
                      <w:sz w:val="21"/>
                      <w:szCs w:val="21"/>
                      <w:vertAlign w:val="subscript"/>
                    </w:rPr>
                    <w:t>3</w:t>
                  </w:r>
                  <w:r>
                    <w:rPr>
                      <w:b/>
                      <w:bCs/>
                      <w:sz w:val="21"/>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22" w:type="dxa"/>
                  <w:vMerge w:val="restart"/>
                  <w:vAlign w:val="center"/>
                </w:tcPr>
                <w:p>
                  <w:pPr>
                    <w:jc w:val="center"/>
                    <w:rPr>
                      <w:sz w:val="21"/>
                      <w:szCs w:val="21"/>
                    </w:rPr>
                  </w:pPr>
                  <w:r>
                    <w:rPr>
                      <w:sz w:val="21"/>
                      <w:szCs w:val="21"/>
                    </w:rPr>
                    <w:t>生活污水</w:t>
                  </w:r>
                </w:p>
              </w:tc>
              <w:tc>
                <w:tcPr>
                  <w:tcW w:w="1449" w:type="dxa"/>
                  <w:vAlign w:val="center"/>
                </w:tcPr>
                <w:p>
                  <w:pPr>
                    <w:jc w:val="center"/>
                    <w:rPr>
                      <w:sz w:val="21"/>
                      <w:szCs w:val="21"/>
                    </w:rPr>
                  </w:pPr>
                  <w:r>
                    <w:rPr>
                      <w:sz w:val="21"/>
                      <w:szCs w:val="21"/>
                    </w:rPr>
                    <w:t>产生浓度（mg/L）</w:t>
                  </w:r>
                </w:p>
              </w:tc>
              <w:tc>
                <w:tcPr>
                  <w:tcW w:w="906" w:type="dxa"/>
                  <w:vMerge w:val="restart"/>
                  <w:vAlign w:val="center"/>
                </w:tcPr>
                <w:p>
                  <w:pPr>
                    <w:jc w:val="center"/>
                    <w:rPr>
                      <w:rFonts w:hint="default" w:eastAsia="宋体"/>
                      <w:sz w:val="21"/>
                      <w:szCs w:val="21"/>
                      <w:lang w:val="en-US" w:eastAsia="zh-CN"/>
                    </w:rPr>
                  </w:pPr>
                  <w:r>
                    <w:rPr>
                      <w:rFonts w:hint="eastAsia"/>
                      <w:sz w:val="21"/>
                      <w:szCs w:val="21"/>
                      <w:lang w:val="en-US" w:eastAsia="zh-CN"/>
                    </w:rPr>
                    <w:t>92.16</w:t>
                  </w:r>
                </w:p>
              </w:tc>
              <w:tc>
                <w:tcPr>
                  <w:tcW w:w="650" w:type="dxa"/>
                  <w:vAlign w:val="center"/>
                </w:tcPr>
                <w:p>
                  <w:pPr>
                    <w:jc w:val="center"/>
                    <w:rPr>
                      <w:sz w:val="21"/>
                      <w:szCs w:val="21"/>
                    </w:rPr>
                  </w:pPr>
                  <w:r>
                    <w:rPr>
                      <w:sz w:val="21"/>
                      <w:szCs w:val="21"/>
                    </w:rPr>
                    <w:t>6~9</w:t>
                  </w:r>
                </w:p>
              </w:tc>
              <w:tc>
                <w:tcPr>
                  <w:tcW w:w="869" w:type="dxa"/>
                  <w:vAlign w:val="center"/>
                </w:tcPr>
                <w:p>
                  <w:pPr>
                    <w:jc w:val="center"/>
                    <w:rPr>
                      <w:color w:val="000000"/>
                      <w:sz w:val="21"/>
                      <w:szCs w:val="21"/>
                    </w:rPr>
                  </w:pPr>
                  <w:r>
                    <w:rPr>
                      <w:color w:val="000000"/>
                      <w:sz w:val="21"/>
                      <w:szCs w:val="21"/>
                    </w:rPr>
                    <w:t>300</w:t>
                  </w:r>
                </w:p>
              </w:tc>
              <w:tc>
                <w:tcPr>
                  <w:tcW w:w="898" w:type="dxa"/>
                  <w:vAlign w:val="center"/>
                </w:tcPr>
                <w:p>
                  <w:pPr>
                    <w:jc w:val="center"/>
                    <w:rPr>
                      <w:color w:val="000000"/>
                      <w:sz w:val="21"/>
                      <w:szCs w:val="21"/>
                    </w:rPr>
                  </w:pPr>
                  <w:r>
                    <w:rPr>
                      <w:color w:val="000000"/>
                      <w:sz w:val="21"/>
                      <w:szCs w:val="21"/>
                    </w:rPr>
                    <w:t>200</w:t>
                  </w:r>
                </w:p>
              </w:tc>
              <w:tc>
                <w:tcPr>
                  <w:tcW w:w="861" w:type="dxa"/>
                  <w:vAlign w:val="center"/>
                </w:tcPr>
                <w:p>
                  <w:pPr>
                    <w:jc w:val="center"/>
                    <w:rPr>
                      <w:color w:val="000000"/>
                      <w:sz w:val="21"/>
                      <w:szCs w:val="21"/>
                    </w:rPr>
                  </w:pPr>
                  <w:r>
                    <w:rPr>
                      <w:color w:val="000000"/>
                      <w:sz w:val="21"/>
                      <w:szCs w:val="21"/>
                    </w:rPr>
                    <w:t>200</w:t>
                  </w:r>
                </w:p>
              </w:tc>
              <w:tc>
                <w:tcPr>
                  <w:tcW w:w="1101" w:type="dxa"/>
                  <w:vAlign w:val="center"/>
                </w:tcPr>
                <w:p>
                  <w:pPr>
                    <w:jc w:val="center"/>
                    <w:rPr>
                      <w:color w:val="000000"/>
                      <w:sz w:val="21"/>
                      <w:szCs w:val="21"/>
                    </w:rPr>
                  </w:pPr>
                  <w:r>
                    <w:rPr>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jc w:val="center"/>
              </w:trPr>
              <w:tc>
                <w:tcPr>
                  <w:tcW w:w="822" w:type="dxa"/>
                  <w:vMerge w:val="continue"/>
                  <w:vAlign w:val="center"/>
                </w:tcPr>
                <w:p>
                  <w:pPr>
                    <w:jc w:val="center"/>
                    <w:rPr>
                      <w:sz w:val="21"/>
                      <w:szCs w:val="21"/>
                    </w:rPr>
                  </w:pPr>
                </w:p>
              </w:tc>
              <w:tc>
                <w:tcPr>
                  <w:tcW w:w="1449" w:type="dxa"/>
                  <w:vAlign w:val="center"/>
                </w:tcPr>
                <w:p>
                  <w:pPr>
                    <w:jc w:val="center"/>
                    <w:rPr>
                      <w:sz w:val="21"/>
                      <w:szCs w:val="21"/>
                    </w:rPr>
                  </w:pPr>
                  <w:r>
                    <w:rPr>
                      <w:sz w:val="21"/>
                      <w:szCs w:val="21"/>
                    </w:rPr>
                    <w:t>产生量（t/a）</w:t>
                  </w:r>
                </w:p>
              </w:tc>
              <w:tc>
                <w:tcPr>
                  <w:tcW w:w="906" w:type="dxa"/>
                  <w:vMerge w:val="continue"/>
                  <w:vAlign w:val="center"/>
                </w:tcPr>
                <w:p>
                  <w:pPr>
                    <w:jc w:val="center"/>
                    <w:rPr>
                      <w:sz w:val="21"/>
                      <w:szCs w:val="21"/>
                    </w:rPr>
                  </w:pPr>
                </w:p>
              </w:tc>
              <w:tc>
                <w:tcPr>
                  <w:tcW w:w="650" w:type="dxa"/>
                  <w:vAlign w:val="center"/>
                </w:tcPr>
                <w:p>
                  <w:pPr>
                    <w:jc w:val="center"/>
                    <w:rPr>
                      <w:sz w:val="21"/>
                      <w:szCs w:val="21"/>
                    </w:rPr>
                  </w:pPr>
                  <w:r>
                    <w:rPr>
                      <w:sz w:val="21"/>
                      <w:szCs w:val="21"/>
                    </w:rPr>
                    <w:t>/</w:t>
                  </w:r>
                </w:p>
              </w:tc>
              <w:tc>
                <w:tcPr>
                  <w:tcW w:w="869" w:type="dxa"/>
                  <w:vAlign w:val="center"/>
                </w:tcPr>
                <w:p>
                  <w:pPr>
                    <w:spacing w:beforeLines="0" w:afterLines="0"/>
                    <w:jc w:val="center"/>
                    <w:rPr>
                      <w:color w:val="000000"/>
                      <w:sz w:val="21"/>
                      <w:szCs w:val="21"/>
                    </w:rPr>
                  </w:pPr>
                  <w:r>
                    <w:rPr>
                      <w:rFonts w:hint="eastAsia" w:ascii="Times New Roman" w:hAnsi="Times New Roman" w:eastAsia="Times New Roman"/>
                      <w:color w:val="000000"/>
                      <w:sz w:val="21"/>
                      <w:szCs w:val="24"/>
                    </w:rPr>
                    <w:t>0.0276</w:t>
                  </w:r>
                </w:p>
              </w:tc>
              <w:tc>
                <w:tcPr>
                  <w:tcW w:w="898" w:type="dxa"/>
                  <w:vAlign w:val="center"/>
                </w:tcPr>
                <w:p>
                  <w:pPr>
                    <w:spacing w:beforeLines="0" w:afterLines="0"/>
                    <w:jc w:val="center"/>
                    <w:rPr>
                      <w:color w:val="000000"/>
                      <w:sz w:val="21"/>
                      <w:szCs w:val="21"/>
                    </w:rPr>
                  </w:pPr>
                  <w:r>
                    <w:rPr>
                      <w:rFonts w:hint="eastAsia" w:ascii="Times New Roman" w:hAnsi="Times New Roman" w:eastAsia="Times New Roman"/>
                      <w:color w:val="000000"/>
                      <w:sz w:val="21"/>
                      <w:szCs w:val="24"/>
                    </w:rPr>
                    <w:t>0.0184</w:t>
                  </w:r>
                </w:p>
              </w:tc>
              <w:tc>
                <w:tcPr>
                  <w:tcW w:w="861" w:type="dxa"/>
                  <w:vAlign w:val="center"/>
                </w:tcPr>
                <w:p>
                  <w:pPr>
                    <w:spacing w:beforeLines="0" w:afterLines="0"/>
                    <w:jc w:val="center"/>
                    <w:rPr>
                      <w:color w:val="000000"/>
                      <w:sz w:val="21"/>
                      <w:szCs w:val="21"/>
                    </w:rPr>
                  </w:pPr>
                  <w:r>
                    <w:rPr>
                      <w:rFonts w:hint="eastAsia" w:ascii="Times New Roman" w:hAnsi="Times New Roman" w:eastAsia="Times New Roman"/>
                      <w:color w:val="000000"/>
                      <w:sz w:val="21"/>
                      <w:szCs w:val="24"/>
                    </w:rPr>
                    <w:t>0.0184</w:t>
                  </w:r>
                </w:p>
              </w:tc>
              <w:tc>
                <w:tcPr>
                  <w:tcW w:w="1101" w:type="dxa"/>
                  <w:vAlign w:val="center"/>
                </w:tcPr>
                <w:p>
                  <w:pPr>
                    <w:jc w:val="center"/>
                    <w:rPr>
                      <w:color w:val="000000"/>
                      <w:sz w:val="21"/>
                      <w:szCs w:val="21"/>
                    </w:rPr>
                  </w:pPr>
                  <w:r>
                    <w:rPr>
                      <w:rFonts w:hint="eastAsia" w:ascii="Times New Roman" w:hAnsi="Times New Roman" w:eastAsia="Times New Roman"/>
                      <w:color w:val="000000"/>
                      <w:sz w:val="21"/>
                      <w:szCs w:val="24"/>
                    </w:rPr>
                    <w:t>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22" w:type="dxa"/>
                  <w:vMerge w:val="continue"/>
                  <w:vAlign w:val="center"/>
                </w:tcPr>
                <w:p>
                  <w:pPr>
                    <w:jc w:val="center"/>
                    <w:rPr>
                      <w:sz w:val="21"/>
                      <w:szCs w:val="21"/>
                    </w:rPr>
                  </w:pPr>
                </w:p>
              </w:tc>
              <w:tc>
                <w:tcPr>
                  <w:tcW w:w="1449" w:type="dxa"/>
                  <w:vAlign w:val="center"/>
                </w:tcPr>
                <w:p>
                  <w:pPr>
                    <w:jc w:val="center"/>
                    <w:rPr>
                      <w:sz w:val="21"/>
                      <w:szCs w:val="21"/>
                    </w:rPr>
                  </w:pPr>
                  <w:r>
                    <w:rPr>
                      <w:sz w:val="21"/>
                      <w:szCs w:val="21"/>
                    </w:rPr>
                    <w:t>隔油池+化粪池处理后浓度（mg/L）</w:t>
                  </w:r>
                </w:p>
              </w:tc>
              <w:tc>
                <w:tcPr>
                  <w:tcW w:w="906" w:type="dxa"/>
                  <w:vMerge w:val="continue"/>
                  <w:vAlign w:val="center"/>
                </w:tcPr>
                <w:p>
                  <w:pPr>
                    <w:jc w:val="center"/>
                    <w:rPr>
                      <w:sz w:val="21"/>
                      <w:szCs w:val="21"/>
                    </w:rPr>
                  </w:pPr>
                </w:p>
              </w:tc>
              <w:tc>
                <w:tcPr>
                  <w:tcW w:w="4379" w:type="dxa"/>
                  <w:gridSpan w:val="5"/>
                  <w:vAlign w:val="center"/>
                </w:tcPr>
                <w:p>
                  <w:pPr>
                    <w:jc w:val="center"/>
                    <w:rPr>
                      <w:color w:val="000000"/>
                      <w:sz w:val="21"/>
                      <w:szCs w:val="21"/>
                    </w:rPr>
                  </w:pPr>
                  <w:r>
                    <w:rPr>
                      <w:color w:val="000000"/>
                      <w:sz w:val="21"/>
                      <w:szCs w:val="21"/>
                    </w:rPr>
                    <w:t>处理后定期清掏不外排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22" w:type="dxa"/>
                  <w:vMerge w:val="continue"/>
                  <w:vAlign w:val="center"/>
                </w:tcPr>
                <w:p>
                  <w:pPr>
                    <w:jc w:val="center"/>
                    <w:rPr>
                      <w:sz w:val="21"/>
                      <w:szCs w:val="21"/>
                    </w:rPr>
                  </w:pPr>
                </w:p>
              </w:tc>
              <w:tc>
                <w:tcPr>
                  <w:tcW w:w="1449" w:type="dxa"/>
                  <w:vAlign w:val="center"/>
                </w:tcPr>
                <w:p>
                  <w:pPr>
                    <w:jc w:val="center"/>
                    <w:rPr>
                      <w:sz w:val="21"/>
                      <w:szCs w:val="21"/>
                    </w:rPr>
                  </w:pPr>
                  <w:r>
                    <w:rPr>
                      <w:sz w:val="21"/>
                      <w:szCs w:val="21"/>
                    </w:rPr>
                    <w:t>排放量（t/a）</w:t>
                  </w:r>
                </w:p>
              </w:tc>
              <w:tc>
                <w:tcPr>
                  <w:tcW w:w="906" w:type="dxa"/>
                  <w:vMerge w:val="continue"/>
                  <w:vAlign w:val="center"/>
                </w:tcPr>
                <w:p>
                  <w:pPr>
                    <w:jc w:val="center"/>
                    <w:rPr>
                      <w:sz w:val="21"/>
                      <w:szCs w:val="21"/>
                    </w:rPr>
                  </w:pPr>
                </w:p>
              </w:tc>
              <w:tc>
                <w:tcPr>
                  <w:tcW w:w="650" w:type="dxa"/>
                  <w:vAlign w:val="center"/>
                </w:tcPr>
                <w:p>
                  <w:pPr>
                    <w:jc w:val="center"/>
                    <w:rPr>
                      <w:sz w:val="21"/>
                      <w:szCs w:val="21"/>
                    </w:rPr>
                  </w:pPr>
                  <w:r>
                    <w:rPr>
                      <w:sz w:val="21"/>
                      <w:szCs w:val="21"/>
                    </w:rPr>
                    <w:t>/</w:t>
                  </w:r>
                </w:p>
              </w:tc>
              <w:tc>
                <w:tcPr>
                  <w:tcW w:w="869" w:type="dxa"/>
                  <w:vAlign w:val="center"/>
                </w:tcPr>
                <w:p>
                  <w:pPr>
                    <w:jc w:val="center"/>
                    <w:rPr>
                      <w:color w:val="000000"/>
                      <w:sz w:val="21"/>
                      <w:szCs w:val="21"/>
                    </w:rPr>
                  </w:pPr>
                  <w:r>
                    <w:rPr>
                      <w:color w:val="000000"/>
                      <w:sz w:val="21"/>
                      <w:szCs w:val="21"/>
                    </w:rPr>
                    <w:t>0</w:t>
                  </w:r>
                </w:p>
              </w:tc>
              <w:tc>
                <w:tcPr>
                  <w:tcW w:w="898" w:type="dxa"/>
                  <w:vAlign w:val="center"/>
                </w:tcPr>
                <w:p>
                  <w:pPr>
                    <w:jc w:val="center"/>
                    <w:rPr>
                      <w:color w:val="000000"/>
                      <w:sz w:val="21"/>
                      <w:szCs w:val="21"/>
                    </w:rPr>
                  </w:pPr>
                  <w:r>
                    <w:rPr>
                      <w:color w:val="000000"/>
                      <w:sz w:val="21"/>
                      <w:szCs w:val="21"/>
                    </w:rPr>
                    <w:t>0</w:t>
                  </w:r>
                </w:p>
              </w:tc>
              <w:tc>
                <w:tcPr>
                  <w:tcW w:w="861" w:type="dxa"/>
                  <w:vAlign w:val="center"/>
                </w:tcPr>
                <w:p>
                  <w:pPr>
                    <w:jc w:val="center"/>
                    <w:rPr>
                      <w:color w:val="000000"/>
                      <w:sz w:val="21"/>
                      <w:szCs w:val="21"/>
                    </w:rPr>
                  </w:pPr>
                  <w:r>
                    <w:rPr>
                      <w:color w:val="000000"/>
                      <w:sz w:val="21"/>
                      <w:szCs w:val="21"/>
                    </w:rPr>
                    <w:t>0</w:t>
                  </w:r>
                </w:p>
              </w:tc>
              <w:tc>
                <w:tcPr>
                  <w:tcW w:w="1101" w:type="dxa"/>
                  <w:vAlign w:val="center"/>
                </w:tcPr>
                <w:p>
                  <w:pPr>
                    <w:jc w:val="center"/>
                    <w:rPr>
                      <w:color w:val="000000"/>
                      <w:sz w:val="21"/>
                      <w:szCs w:val="21"/>
                    </w:rPr>
                  </w:pPr>
                  <w:r>
                    <w:rPr>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jc w:val="center"/>
              </w:trPr>
              <w:tc>
                <w:tcPr>
                  <w:tcW w:w="822" w:type="dxa"/>
                  <w:vMerge w:val="restart"/>
                  <w:vAlign w:val="center"/>
                </w:tcPr>
                <w:p>
                  <w:pPr>
                    <w:jc w:val="center"/>
                    <w:rPr>
                      <w:sz w:val="21"/>
                      <w:szCs w:val="21"/>
                    </w:rPr>
                  </w:pPr>
                </w:p>
                <w:p>
                  <w:pPr>
                    <w:jc w:val="center"/>
                    <w:rPr>
                      <w:sz w:val="21"/>
                      <w:szCs w:val="21"/>
                    </w:rPr>
                  </w:pPr>
                  <w:r>
                    <w:rPr>
                      <w:bCs/>
                      <w:sz w:val="21"/>
                      <w:szCs w:val="21"/>
                    </w:rPr>
                    <w:t>清洗废水</w:t>
                  </w:r>
                </w:p>
              </w:tc>
              <w:tc>
                <w:tcPr>
                  <w:tcW w:w="1449" w:type="dxa"/>
                  <w:vAlign w:val="center"/>
                </w:tcPr>
                <w:p>
                  <w:pPr>
                    <w:jc w:val="center"/>
                    <w:rPr>
                      <w:sz w:val="21"/>
                      <w:szCs w:val="21"/>
                    </w:rPr>
                  </w:pPr>
                  <w:r>
                    <w:rPr>
                      <w:sz w:val="21"/>
                      <w:szCs w:val="21"/>
                    </w:rPr>
                    <w:t>产生浓度（mg/L）</w:t>
                  </w:r>
                </w:p>
              </w:tc>
              <w:tc>
                <w:tcPr>
                  <w:tcW w:w="906" w:type="dxa"/>
                  <w:vMerge w:val="restart"/>
                  <w:vAlign w:val="center"/>
                </w:tcPr>
                <w:p>
                  <w:pPr>
                    <w:jc w:val="center"/>
                    <w:rPr>
                      <w:sz w:val="21"/>
                      <w:szCs w:val="21"/>
                    </w:rPr>
                  </w:pPr>
                  <w:r>
                    <w:rPr>
                      <w:sz w:val="21"/>
                      <w:szCs w:val="21"/>
                    </w:rPr>
                    <w:t>144</w:t>
                  </w:r>
                </w:p>
              </w:tc>
              <w:tc>
                <w:tcPr>
                  <w:tcW w:w="650" w:type="dxa"/>
                  <w:vAlign w:val="center"/>
                </w:tcPr>
                <w:p>
                  <w:pPr>
                    <w:jc w:val="center"/>
                    <w:rPr>
                      <w:sz w:val="21"/>
                      <w:szCs w:val="21"/>
                    </w:rPr>
                  </w:pPr>
                  <w:r>
                    <w:rPr>
                      <w:sz w:val="21"/>
                      <w:szCs w:val="21"/>
                    </w:rPr>
                    <w:t>/</w:t>
                  </w:r>
                </w:p>
              </w:tc>
              <w:tc>
                <w:tcPr>
                  <w:tcW w:w="869" w:type="dxa"/>
                  <w:vAlign w:val="center"/>
                </w:tcPr>
                <w:p>
                  <w:pPr>
                    <w:jc w:val="center"/>
                    <w:rPr>
                      <w:color w:val="000000"/>
                      <w:sz w:val="21"/>
                      <w:szCs w:val="21"/>
                    </w:rPr>
                  </w:pPr>
                  <w:r>
                    <w:rPr>
                      <w:color w:val="000000"/>
                      <w:sz w:val="21"/>
                      <w:szCs w:val="21"/>
                    </w:rPr>
                    <w:t>526</w:t>
                  </w:r>
                </w:p>
              </w:tc>
              <w:tc>
                <w:tcPr>
                  <w:tcW w:w="898" w:type="dxa"/>
                  <w:vAlign w:val="center"/>
                </w:tcPr>
                <w:p>
                  <w:pPr>
                    <w:jc w:val="center"/>
                    <w:rPr>
                      <w:color w:val="000000"/>
                      <w:sz w:val="21"/>
                      <w:szCs w:val="21"/>
                    </w:rPr>
                  </w:pPr>
                  <w:r>
                    <w:rPr>
                      <w:color w:val="000000"/>
                      <w:sz w:val="21"/>
                      <w:szCs w:val="21"/>
                    </w:rPr>
                    <w:t>155</w:t>
                  </w:r>
                </w:p>
              </w:tc>
              <w:tc>
                <w:tcPr>
                  <w:tcW w:w="861" w:type="dxa"/>
                  <w:vAlign w:val="center"/>
                </w:tcPr>
                <w:p>
                  <w:pPr>
                    <w:jc w:val="center"/>
                    <w:rPr>
                      <w:color w:val="000000"/>
                      <w:sz w:val="21"/>
                      <w:szCs w:val="21"/>
                    </w:rPr>
                  </w:pPr>
                  <w:r>
                    <w:rPr>
                      <w:color w:val="000000"/>
                      <w:sz w:val="21"/>
                      <w:szCs w:val="21"/>
                    </w:rPr>
                    <w:t>336</w:t>
                  </w:r>
                </w:p>
              </w:tc>
              <w:tc>
                <w:tcPr>
                  <w:tcW w:w="1101" w:type="dxa"/>
                  <w:vAlign w:val="center"/>
                </w:tcPr>
                <w:p>
                  <w:pPr>
                    <w:jc w:val="center"/>
                    <w:rPr>
                      <w:color w:val="000000"/>
                      <w:sz w:val="21"/>
                      <w:szCs w:val="21"/>
                    </w:rPr>
                  </w:pPr>
                  <w:r>
                    <w:rPr>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2" w:type="dxa"/>
                  <w:vMerge w:val="continue"/>
                  <w:vAlign w:val="center"/>
                </w:tcPr>
                <w:p>
                  <w:pPr>
                    <w:jc w:val="center"/>
                    <w:rPr>
                      <w:sz w:val="21"/>
                      <w:szCs w:val="21"/>
                    </w:rPr>
                  </w:pPr>
                </w:p>
              </w:tc>
              <w:tc>
                <w:tcPr>
                  <w:tcW w:w="1449" w:type="dxa"/>
                  <w:vAlign w:val="center"/>
                </w:tcPr>
                <w:p>
                  <w:pPr>
                    <w:jc w:val="center"/>
                    <w:rPr>
                      <w:sz w:val="21"/>
                      <w:szCs w:val="21"/>
                    </w:rPr>
                  </w:pPr>
                  <w:r>
                    <w:rPr>
                      <w:sz w:val="21"/>
                      <w:szCs w:val="21"/>
                    </w:rPr>
                    <w:t>产生量（t/a）</w:t>
                  </w:r>
                </w:p>
              </w:tc>
              <w:tc>
                <w:tcPr>
                  <w:tcW w:w="906" w:type="dxa"/>
                  <w:vMerge w:val="continue"/>
                  <w:vAlign w:val="center"/>
                </w:tcPr>
                <w:p>
                  <w:pPr>
                    <w:jc w:val="center"/>
                    <w:rPr>
                      <w:sz w:val="21"/>
                      <w:szCs w:val="21"/>
                    </w:rPr>
                  </w:pPr>
                </w:p>
              </w:tc>
              <w:tc>
                <w:tcPr>
                  <w:tcW w:w="650" w:type="dxa"/>
                  <w:vAlign w:val="center"/>
                </w:tcPr>
                <w:p>
                  <w:pPr>
                    <w:jc w:val="center"/>
                    <w:rPr>
                      <w:sz w:val="21"/>
                      <w:szCs w:val="21"/>
                    </w:rPr>
                  </w:pPr>
                  <w:r>
                    <w:rPr>
                      <w:sz w:val="21"/>
                      <w:szCs w:val="21"/>
                    </w:rPr>
                    <w:t>6-9</w:t>
                  </w:r>
                </w:p>
              </w:tc>
              <w:tc>
                <w:tcPr>
                  <w:tcW w:w="869" w:type="dxa"/>
                  <w:vAlign w:val="center"/>
                </w:tcPr>
                <w:p>
                  <w:pPr>
                    <w:jc w:val="center"/>
                    <w:rPr>
                      <w:color w:val="000000"/>
                      <w:sz w:val="21"/>
                      <w:szCs w:val="21"/>
                    </w:rPr>
                  </w:pPr>
                  <w:r>
                    <w:rPr>
                      <w:color w:val="000000"/>
                      <w:sz w:val="21"/>
                      <w:szCs w:val="21"/>
                    </w:rPr>
                    <w:t>0.0757</w:t>
                  </w:r>
                </w:p>
              </w:tc>
              <w:tc>
                <w:tcPr>
                  <w:tcW w:w="898" w:type="dxa"/>
                  <w:vAlign w:val="center"/>
                </w:tcPr>
                <w:p>
                  <w:pPr>
                    <w:jc w:val="center"/>
                    <w:rPr>
                      <w:color w:val="000000"/>
                      <w:sz w:val="21"/>
                      <w:szCs w:val="21"/>
                    </w:rPr>
                  </w:pPr>
                  <w:r>
                    <w:rPr>
                      <w:color w:val="000000"/>
                      <w:sz w:val="21"/>
                      <w:szCs w:val="21"/>
                    </w:rPr>
                    <w:t>0.0223</w:t>
                  </w:r>
                </w:p>
              </w:tc>
              <w:tc>
                <w:tcPr>
                  <w:tcW w:w="861" w:type="dxa"/>
                  <w:vAlign w:val="center"/>
                </w:tcPr>
                <w:p>
                  <w:pPr>
                    <w:jc w:val="center"/>
                    <w:rPr>
                      <w:color w:val="000000"/>
                      <w:sz w:val="21"/>
                      <w:szCs w:val="21"/>
                    </w:rPr>
                  </w:pPr>
                  <w:r>
                    <w:rPr>
                      <w:color w:val="000000"/>
                      <w:sz w:val="21"/>
                      <w:szCs w:val="21"/>
                    </w:rPr>
                    <w:t>0.0484</w:t>
                  </w:r>
                </w:p>
              </w:tc>
              <w:tc>
                <w:tcPr>
                  <w:tcW w:w="1101" w:type="dxa"/>
                  <w:vAlign w:val="center"/>
                </w:tcPr>
                <w:p>
                  <w:pPr>
                    <w:jc w:val="center"/>
                    <w:rPr>
                      <w:color w:val="000000"/>
                      <w:sz w:val="21"/>
                      <w:szCs w:val="21"/>
                    </w:rPr>
                  </w:pPr>
                  <w:r>
                    <w:rPr>
                      <w:color w:val="000000"/>
                      <w:sz w:val="21"/>
                      <w:szCs w:val="21"/>
                    </w:rPr>
                    <w:t>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jc w:val="center"/>
              </w:trPr>
              <w:tc>
                <w:tcPr>
                  <w:tcW w:w="822" w:type="dxa"/>
                  <w:vMerge w:val="continue"/>
                  <w:vAlign w:val="center"/>
                </w:tcPr>
                <w:p>
                  <w:pPr>
                    <w:jc w:val="center"/>
                    <w:rPr>
                      <w:sz w:val="21"/>
                      <w:szCs w:val="21"/>
                    </w:rPr>
                  </w:pPr>
                </w:p>
              </w:tc>
              <w:tc>
                <w:tcPr>
                  <w:tcW w:w="1449" w:type="dxa"/>
                  <w:vAlign w:val="center"/>
                </w:tcPr>
                <w:p>
                  <w:pPr>
                    <w:jc w:val="center"/>
                    <w:rPr>
                      <w:sz w:val="21"/>
                      <w:szCs w:val="21"/>
                    </w:rPr>
                  </w:pPr>
                  <w:r>
                    <w:rPr>
                      <w:sz w:val="21"/>
                      <w:szCs w:val="21"/>
                    </w:rPr>
                    <w:t>沉淀池处理后浓度（mg/L）</w:t>
                  </w:r>
                </w:p>
              </w:tc>
              <w:tc>
                <w:tcPr>
                  <w:tcW w:w="906" w:type="dxa"/>
                  <w:vMerge w:val="continue"/>
                  <w:vAlign w:val="center"/>
                </w:tcPr>
                <w:p>
                  <w:pPr>
                    <w:jc w:val="center"/>
                    <w:rPr>
                      <w:sz w:val="21"/>
                      <w:szCs w:val="21"/>
                    </w:rPr>
                  </w:pPr>
                </w:p>
              </w:tc>
              <w:tc>
                <w:tcPr>
                  <w:tcW w:w="4379" w:type="dxa"/>
                  <w:gridSpan w:val="5"/>
                  <w:vAlign w:val="center"/>
                </w:tcPr>
                <w:p>
                  <w:pPr>
                    <w:jc w:val="center"/>
                    <w:rPr>
                      <w:color w:val="000000"/>
                      <w:sz w:val="21"/>
                      <w:szCs w:val="21"/>
                    </w:rPr>
                  </w:pPr>
                  <w:r>
                    <w:rPr>
                      <w:color w:val="000000"/>
                      <w:sz w:val="21"/>
                      <w:szCs w:val="21"/>
                    </w:rPr>
                    <w:t>处理后回用于生产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22" w:type="dxa"/>
                  <w:vMerge w:val="continue"/>
                  <w:vAlign w:val="center"/>
                </w:tcPr>
                <w:p>
                  <w:pPr>
                    <w:jc w:val="center"/>
                    <w:rPr>
                      <w:sz w:val="21"/>
                      <w:szCs w:val="21"/>
                    </w:rPr>
                  </w:pPr>
                </w:p>
              </w:tc>
              <w:tc>
                <w:tcPr>
                  <w:tcW w:w="1449" w:type="dxa"/>
                  <w:vAlign w:val="center"/>
                </w:tcPr>
                <w:p>
                  <w:pPr>
                    <w:jc w:val="center"/>
                    <w:rPr>
                      <w:sz w:val="21"/>
                      <w:szCs w:val="21"/>
                    </w:rPr>
                  </w:pPr>
                  <w:r>
                    <w:rPr>
                      <w:sz w:val="21"/>
                      <w:szCs w:val="21"/>
                    </w:rPr>
                    <w:t>排放量（t/a）</w:t>
                  </w:r>
                </w:p>
              </w:tc>
              <w:tc>
                <w:tcPr>
                  <w:tcW w:w="906" w:type="dxa"/>
                  <w:vMerge w:val="continue"/>
                  <w:vAlign w:val="center"/>
                </w:tcPr>
                <w:p>
                  <w:pPr>
                    <w:jc w:val="center"/>
                    <w:rPr>
                      <w:sz w:val="21"/>
                      <w:szCs w:val="21"/>
                    </w:rPr>
                  </w:pPr>
                </w:p>
              </w:tc>
              <w:tc>
                <w:tcPr>
                  <w:tcW w:w="650" w:type="dxa"/>
                  <w:vAlign w:val="center"/>
                </w:tcPr>
                <w:p>
                  <w:pPr>
                    <w:jc w:val="center"/>
                    <w:rPr>
                      <w:sz w:val="21"/>
                      <w:szCs w:val="21"/>
                    </w:rPr>
                  </w:pPr>
                  <w:r>
                    <w:rPr>
                      <w:sz w:val="21"/>
                      <w:szCs w:val="21"/>
                    </w:rPr>
                    <w:t>/</w:t>
                  </w:r>
                </w:p>
              </w:tc>
              <w:tc>
                <w:tcPr>
                  <w:tcW w:w="869" w:type="dxa"/>
                  <w:vAlign w:val="center"/>
                </w:tcPr>
                <w:p>
                  <w:pPr>
                    <w:jc w:val="center"/>
                    <w:rPr>
                      <w:color w:val="000000"/>
                      <w:sz w:val="21"/>
                      <w:szCs w:val="21"/>
                    </w:rPr>
                  </w:pPr>
                  <w:r>
                    <w:rPr>
                      <w:color w:val="000000"/>
                      <w:sz w:val="21"/>
                      <w:szCs w:val="21"/>
                    </w:rPr>
                    <w:t>0</w:t>
                  </w:r>
                </w:p>
              </w:tc>
              <w:tc>
                <w:tcPr>
                  <w:tcW w:w="898" w:type="dxa"/>
                  <w:vAlign w:val="center"/>
                </w:tcPr>
                <w:p>
                  <w:pPr>
                    <w:jc w:val="center"/>
                    <w:rPr>
                      <w:color w:val="000000"/>
                      <w:sz w:val="21"/>
                      <w:szCs w:val="21"/>
                    </w:rPr>
                  </w:pPr>
                  <w:r>
                    <w:rPr>
                      <w:color w:val="000000"/>
                      <w:sz w:val="21"/>
                      <w:szCs w:val="21"/>
                    </w:rPr>
                    <w:t>0</w:t>
                  </w:r>
                </w:p>
              </w:tc>
              <w:tc>
                <w:tcPr>
                  <w:tcW w:w="861" w:type="dxa"/>
                  <w:vAlign w:val="center"/>
                </w:tcPr>
                <w:p>
                  <w:pPr>
                    <w:jc w:val="center"/>
                    <w:rPr>
                      <w:color w:val="000000"/>
                      <w:sz w:val="21"/>
                      <w:szCs w:val="21"/>
                    </w:rPr>
                  </w:pPr>
                  <w:r>
                    <w:rPr>
                      <w:color w:val="000000"/>
                      <w:sz w:val="21"/>
                      <w:szCs w:val="21"/>
                    </w:rPr>
                    <w:t>0</w:t>
                  </w:r>
                </w:p>
              </w:tc>
              <w:tc>
                <w:tcPr>
                  <w:tcW w:w="1101" w:type="dxa"/>
                  <w:vAlign w:val="center"/>
                </w:tcPr>
                <w:p>
                  <w:pPr>
                    <w:jc w:val="center"/>
                    <w:rPr>
                      <w:color w:val="000000"/>
                      <w:sz w:val="21"/>
                      <w:szCs w:val="21"/>
                    </w:rPr>
                  </w:pPr>
                  <w:r>
                    <w:rPr>
                      <w:color w:val="000000"/>
                      <w:sz w:val="21"/>
                      <w:szCs w:val="21"/>
                    </w:rPr>
                    <w:t>0</w:t>
                  </w:r>
                </w:p>
              </w:tc>
            </w:tr>
          </w:tbl>
          <w:p>
            <w:pPr>
              <w:spacing w:line="360" w:lineRule="auto"/>
              <w:ind w:firstLine="482" w:firstLineChars="200"/>
              <w:rPr>
                <w:b/>
                <w:bCs/>
              </w:rPr>
            </w:pPr>
            <w:r>
              <w:rPr>
                <w:b/>
                <w:bCs/>
              </w:rPr>
              <w:t>三、噪声</w:t>
            </w:r>
          </w:p>
          <w:p>
            <w:pPr>
              <w:adjustRightInd w:val="0"/>
              <w:snapToGrid w:val="0"/>
              <w:spacing w:line="360" w:lineRule="auto"/>
              <w:ind w:firstLine="480" w:firstLineChars="200"/>
            </w:pPr>
            <w:r>
              <w:rPr>
                <w:color w:val="000000"/>
                <w:kern w:val="0"/>
              </w:rPr>
              <w:t>1、噪声源强</w:t>
            </w:r>
          </w:p>
          <w:p>
            <w:pPr>
              <w:spacing w:line="360" w:lineRule="auto"/>
              <w:ind w:firstLine="480" w:firstLineChars="200"/>
            </w:pPr>
            <w:r>
              <w:t>本项目营运期主要噪声来源于设备运行产生的噪声，噪声源强约为</w:t>
            </w:r>
            <w:r>
              <w:rPr>
                <w:rFonts w:hint="eastAsia"/>
              </w:rPr>
              <w:t>60</w:t>
            </w:r>
            <w:r>
              <w:t>~</w:t>
            </w:r>
            <w:r>
              <w:rPr>
                <w:rFonts w:hint="eastAsia"/>
              </w:rPr>
              <w:t>80</w:t>
            </w:r>
            <w:r>
              <w:t>dB(A)之间，本项目对噪声较大的设备采取降噪减振措施，使厂界噪声达到《工业企业厂界环境噪声排放标准》GB12348-2008中</w:t>
            </w:r>
            <w:r>
              <w:rPr>
                <w:rFonts w:hint="eastAsia"/>
                <w:lang w:val="en-US" w:eastAsia="zh-CN"/>
              </w:rPr>
              <w:t>3</w:t>
            </w:r>
            <w:r>
              <w:t>类标准详见下表。</w:t>
            </w:r>
          </w:p>
          <w:p>
            <w:pPr>
              <w:widowControl/>
              <w:adjustRightInd w:val="0"/>
              <w:snapToGrid w:val="0"/>
              <w:spacing w:line="360" w:lineRule="auto"/>
              <w:ind w:firstLine="482" w:firstLineChars="200"/>
              <w:jc w:val="center"/>
              <w:rPr>
                <w:b/>
                <w:lang w:bidi="ar"/>
              </w:rPr>
            </w:pPr>
            <w:r>
              <w:rPr>
                <w:b/>
                <w:lang w:bidi="ar"/>
              </w:rPr>
              <w:t>表</w:t>
            </w:r>
            <w:r>
              <w:rPr>
                <w:rFonts w:hint="eastAsia"/>
                <w:b/>
                <w:lang w:bidi="ar"/>
              </w:rPr>
              <w:t>4-</w:t>
            </w:r>
            <w:r>
              <w:rPr>
                <w:rFonts w:hint="eastAsia"/>
                <w:b/>
                <w:lang w:val="en-US" w:eastAsia="zh-CN" w:bidi="ar"/>
              </w:rPr>
              <w:t>8</w:t>
            </w:r>
            <w:r>
              <w:rPr>
                <w:b/>
                <w:lang w:bidi="ar"/>
              </w:rPr>
              <w:t xml:space="preserve">  </w:t>
            </w:r>
            <w:r>
              <w:rPr>
                <w:rFonts w:hint="eastAsia"/>
                <w:b/>
                <w:lang w:bidi="ar"/>
              </w:rPr>
              <w:t>工业企业噪声源强调查清单（室外声源）</w:t>
            </w:r>
          </w:p>
          <w:tbl>
            <w:tblPr>
              <w:tblStyle w:val="24"/>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5"/>
              <w:gridCol w:w="977"/>
              <w:gridCol w:w="958"/>
              <w:gridCol w:w="950"/>
              <w:gridCol w:w="744"/>
              <w:gridCol w:w="977"/>
              <w:gridCol w:w="1295"/>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 w:hRule="atLeast"/>
                <w:jc w:val="center"/>
              </w:trPr>
              <w:tc>
                <w:tcPr>
                  <w:tcW w:w="1225" w:type="dxa"/>
                  <w:vMerge w:val="restart"/>
                  <w:tcMar>
                    <w:top w:w="12" w:type="dxa"/>
                    <w:left w:w="12" w:type="dxa"/>
                    <w:bottom w:w="0" w:type="dxa"/>
                    <w:right w:w="12" w:type="dxa"/>
                  </w:tcMar>
                  <w:vAlign w:val="center"/>
                </w:tcPr>
                <w:p>
                  <w:pPr>
                    <w:adjustRightInd w:val="0"/>
                    <w:snapToGrid w:val="0"/>
                    <w:jc w:val="center"/>
                    <w:rPr>
                      <w:b/>
                      <w:sz w:val="21"/>
                      <w:szCs w:val="21"/>
                    </w:rPr>
                  </w:pPr>
                  <w:r>
                    <w:rPr>
                      <w:rFonts w:hint="eastAsia"/>
                      <w:b/>
                      <w:sz w:val="21"/>
                      <w:szCs w:val="21"/>
                    </w:rPr>
                    <w:t>声源名称</w:t>
                  </w:r>
                </w:p>
              </w:tc>
              <w:tc>
                <w:tcPr>
                  <w:tcW w:w="977" w:type="dxa"/>
                  <w:vMerge w:val="restart"/>
                  <w:vAlign w:val="center"/>
                </w:tcPr>
                <w:p>
                  <w:pPr>
                    <w:adjustRightInd w:val="0"/>
                    <w:snapToGrid w:val="0"/>
                    <w:jc w:val="center"/>
                    <w:rPr>
                      <w:b/>
                      <w:sz w:val="21"/>
                      <w:szCs w:val="21"/>
                    </w:rPr>
                  </w:pPr>
                  <w:r>
                    <w:rPr>
                      <w:rFonts w:hint="eastAsia"/>
                      <w:b/>
                      <w:sz w:val="21"/>
                      <w:szCs w:val="21"/>
                    </w:rPr>
                    <w:t>型号</w:t>
                  </w:r>
                </w:p>
              </w:tc>
              <w:tc>
                <w:tcPr>
                  <w:tcW w:w="2652" w:type="dxa"/>
                  <w:gridSpan w:val="3"/>
                  <w:vAlign w:val="center"/>
                </w:tcPr>
                <w:p>
                  <w:pPr>
                    <w:adjustRightInd w:val="0"/>
                    <w:snapToGrid w:val="0"/>
                    <w:jc w:val="center"/>
                    <w:rPr>
                      <w:b/>
                      <w:sz w:val="21"/>
                      <w:szCs w:val="21"/>
                    </w:rPr>
                  </w:pPr>
                  <w:r>
                    <w:rPr>
                      <w:rFonts w:hint="eastAsia"/>
                      <w:b/>
                      <w:sz w:val="21"/>
                      <w:szCs w:val="21"/>
                    </w:rPr>
                    <w:t>空间相对位置</w:t>
                  </w:r>
                </w:p>
              </w:tc>
              <w:tc>
                <w:tcPr>
                  <w:tcW w:w="977" w:type="dxa"/>
                  <w:vMerge w:val="restart"/>
                  <w:vAlign w:val="center"/>
                </w:tcPr>
                <w:p>
                  <w:pPr>
                    <w:adjustRightInd w:val="0"/>
                    <w:snapToGrid w:val="0"/>
                    <w:jc w:val="center"/>
                    <w:rPr>
                      <w:b/>
                      <w:sz w:val="21"/>
                      <w:szCs w:val="21"/>
                    </w:rPr>
                  </w:pPr>
                  <w:r>
                    <w:rPr>
                      <w:rFonts w:hint="eastAsia"/>
                      <w:b/>
                      <w:sz w:val="21"/>
                      <w:szCs w:val="21"/>
                    </w:rPr>
                    <w:t>声功率级/dB（A）</w:t>
                  </w:r>
                </w:p>
              </w:tc>
              <w:tc>
                <w:tcPr>
                  <w:tcW w:w="1295" w:type="dxa"/>
                  <w:vMerge w:val="restart"/>
                  <w:vAlign w:val="center"/>
                </w:tcPr>
                <w:p>
                  <w:pPr>
                    <w:adjustRightInd w:val="0"/>
                    <w:snapToGrid w:val="0"/>
                    <w:jc w:val="center"/>
                    <w:rPr>
                      <w:b/>
                      <w:sz w:val="21"/>
                      <w:szCs w:val="21"/>
                    </w:rPr>
                  </w:pPr>
                  <w:r>
                    <w:rPr>
                      <w:rFonts w:hint="eastAsia"/>
                      <w:b/>
                      <w:sz w:val="21"/>
                      <w:szCs w:val="21"/>
                    </w:rPr>
                    <w:t>声源控制措施</w:t>
                  </w:r>
                </w:p>
              </w:tc>
              <w:tc>
                <w:tcPr>
                  <w:tcW w:w="1333" w:type="dxa"/>
                  <w:vMerge w:val="restart"/>
                  <w:vAlign w:val="center"/>
                </w:tcPr>
                <w:p>
                  <w:pPr>
                    <w:adjustRightInd w:val="0"/>
                    <w:snapToGrid w:val="0"/>
                    <w:jc w:val="center"/>
                    <w:rPr>
                      <w:b/>
                      <w:sz w:val="21"/>
                      <w:szCs w:val="21"/>
                    </w:rPr>
                  </w:pPr>
                  <w:r>
                    <w:rPr>
                      <w:rFonts w:hint="eastAsia"/>
                      <w:b/>
                      <w:sz w:val="21"/>
                      <w:szCs w:val="21"/>
                    </w:rPr>
                    <w:t>运行时段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25" w:type="dxa"/>
                  <w:vMerge w:val="continue"/>
                  <w:tcMar>
                    <w:top w:w="12" w:type="dxa"/>
                    <w:left w:w="12" w:type="dxa"/>
                    <w:bottom w:w="0" w:type="dxa"/>
                    <w:right w:w="12" w:type="dxa"/>
                  </w:tcMar>
                  <w:vAlign w:val="center"/>
                </w:tcPr>
                <w:p>
                  <w:pPr>
                    <w:jc w:val="center"/>
                    <w:rPr>
                      <w:bCs/>
                      <w:sz w:val="21"/>
                      <w:szCs w:val="21"/>
                    </w:rPr>
                  </w:pPr>
                </w:p>
              </w:tc>
              <w:tc>
                <w:tcPr>
                  <w:tcW w:w="977" w:type="dxa"/>
                  <w:vMerge w:val="continue"/>
                  <w:vAlign w:val="center"/>
                </w:tcPr>
                <w:p>
                  <w:pPr>
                    <w:jc w:val="center"/>
                    <w:rPr>
                      <w:bCs/>
                      <w:sz w:val="21"/>
                      <w:szCs w:val="21"/>
                    </w:rPr>
                  </w:pPr>
                </w:p>
              </w:tc>
              <w:tc>
                <w:tcPr>
                  <w:tcW w:w="958" w:type="dxa"/>
                  <w:vAlign w:val="center"/>
                </w:tcPr>
                <w:p>
                  <w:pPr>
                    <w:jc w:val="center"/>
                    <w:rPr>
                      <w:bCs/>
                      <w:sz w:val="21"/>
                      <w:szCs w:val="21"/>
                    </w:rPr>
                  </w:pPr>
                  <w:r>
                    <w:rPr>
                      <w:rFonts w:hint="eastAsia"/>
                      <w:bCs/>
                      <w:sz w:val="21"/>
                      <w:szCs w:val="21"/>
                    </w:rPr>
                    <w:t>X</w:t>
                  </w:r>
                </w:p>
              </w:tc>
              <w:tc>
                <w:tcPr>
                  <w:tcW w:w="950" w:type="dxa"/>
                  <w:vAlign w:val="center"/>
                </w:tcPr>
                <w:p>
                  <w:pPr>
                    <w:jc w:val="center"/>
                    <w:rPr>
                      <w:bCs/>
                      <w:sz w:val="21"/>
                      <w:szCs w:val="21"/>
                    </w:rPr>
                  </w:pPr>
                  <w:r>
                    <w:rPr>
                      <w:rFonts w:hint="eastAsia"/>
                      <w:bCs/>
                      <w:sz w:val="21"/>
                      <w:szCs w:val="21"/>
                    </w:rPr>
                    <w:t>Y</w:t>
                  </w:r>
                </w:p>
              </w:tc>
              <w:tc>
                <w:tcPr>
                  <w:tcW w:w="744" w:type="dxa"/>
                  <w:vAlign w:val="center"/>
                </w:tcPr>
                <w:p>
                  <w:pPr>
                    <w:jc w:val="center"/>
                    <w:rPr>
                      <w:bCs/>
                      <w:sz w:val="21"/>
                      <w:szCs w:val="21"/>
                    </w:rPr>
                  </w:pPr>
                  <w:r>
                    <w:rPr>
                      <w:rFonts w:hint="eastAsia"/>
                      <w:bCs/>
                      <w:sz w:val="21"/>
                      <w:szCs w:val="21"/>
                    </w:rPr>
                    <w:t>Z</w:t>
                  </w:r>
                </w:p>
              </w:tc>
              <w:tc>
                <w:tcPr>
                  <w:tcW w:w="977" w:type="dxa"/>
                  <w:vMerge w:val="continue"/>
                  <w:vAlign w:val="center"/>
                </w:tcPr>
                <w:p>
                  <w:pPr>
                    <w:jc w:val="center"/>
                    <w:rPr>
                      <w:bCs/>
                      <w:sz w:val="21"/>
                      <w:szCs w:val="21"/>
                    </w:rPr>
                  </w:pPr>
                </w:p>
              </w:tc>
              <w:tc>
                <w:tcPr>
                  <w:tcW w:w="1295" w:type="dxa"/>
                  <w:vMerge w:val="continue"/>
                  <w:vAlign w:val="center"/>
                </w:tcPr>
                <w:p>
                  <w:pPr>
                    <w:jc w:val="center"/>
                    <w:rPr>
                      <w:bCs/>
                      <w:sz w:val="21"/>
                      <w:szCs w:val="21"/>
                    </w:rPr>
                  </w:pPr>
                </w:p>
              </w:tc>
              <w:tc>
                <w:tcPr>
                  <w:tcW w:w="1333" w:type="dxa"/>
                  <w:vMerge w:val="continue"/>
                  <w:vAlign w:val="center"/>
                </w:tcPr>
                <w:p>
                  <w:pPr>
                    <w:jc w:val="center"/>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25" w:type="dxa"/>
                  <w:tcMar>
                    <w:top w:w="12" w:type="dxa"/>
                    <w:left w:w="12" w:type="dxa"/>
                    <w:bottom w:w="0" w:type="dxa"/>
                    <w:right w:w="12" w:type="dxa"/>
                  </w:tcMar>
                  <w:vAlign w:val="center"/>
                </w:tcPr>
                <w:p>
                  <w:pPr>
                    <w:jc w:val="center"/>
                    <w:rPr>
                      <w:kern w:val="0"/>
                      <w:sz w:val="21"/>
                      <w:szCs w:val="21"/>
                    </w:rPr>
                  </w:pPr>
                  <w:r>
                    <w:rPr>
                      <w:rFonts w:hint="eastAsia"/>
                      <w:kern w:val="0"/>
                      <w:sz w:val="21"/>
                      <w:szCs w:val="21"/>
                    </w:rPr>
                    <w:t>空压机</w:t>
                  </w:r>
                </w:p>
              </w:tc>
              <w:tc>
                <w:tcPr>
                  <w:tcW w:w="977" w:type="dxa"/>
                  <w:vAlign w:val="center"/>
                </w:tcPr>
                <w:p>
                  <w:pPr>
                    <w:jc w:val="center"/>
                    <w:rPr>
                      <w:bCs/>
                      <w:sz w:val="21"/>
                      <w:szCs w:val="21"/>
                    </w:rPr>
                  </w:pPr>
                  <w:r>
                    <w:rPr>
                      <w:rFonts w:hint="eastAsia"/>
                      <w:bCs/>
                      <w:sz w:val="21"/>
                      <w:szCs w:val="21"/>
                    </w:rPr>
                    <w:t>定制</w:t>
                  </w:r>
                </w:p>
              </w:tc>
              <w:tc>
                <w:tcPr>
                  <w:tcW w:w="958" w:type="dxa"/>
                  <w:vAlign w:val="center"/>
                </w:tcPr>
                <w:p>
                  <w:pPr>
                    <w:jc w:val="center"/>
                    <w:rPr>
                      <w:bCs/>
                      <w:sz w:val="21"/>
                      <w:szCs w:val="21"/>
                    </w:rPr>
                  </w:pPr>
                  <w:r>
                    <w:rPr>
                      <w:rFonts w:hint="eastAsia"/>
                      <w:bCs/>
                      <w:sz w:val="21"/>
                      <w:szCs w:val="21"/>
                    </w:rPr>
                    <w:t>5</w:t>
                  </w:r>
                </w:p>
              </w:tc>
              <w:tc>
                <w:tcPr>
                  <w:tcW w:w="950" w:type="dxa"/>
                  <w:vAlign w:val="center"/>
                </w:tcPr>
                <w:p>
                  <w:pPr>
                    <w:jc w:val="center"/>
                    <w:rPr>
                      <w:bCs/>
                      <w:sz w:val="21"/>
                      <w:szCs w:val="21"/>
                    </w:rPr>
                  </w:pPr>
                  <w:r>
                    <w:rPr>
                      <w:rFonts w:hint="eastAsia"/>
                      <w:bCs/>
                      <w:sz w:val="21"/>
                      <w:szCs w:val="21"/>
                    </w:rPr>
                    <w:t>-12</w:t>
                  </w:r>
                </w:p>
              </w:tc>
              <w:tc>
                <w:tcPr>
                  <w:tcW w:w="744" w:type="dxa"/>
                  <w:vAlign w:val="center"/>
                </w:tcPr>
                <w:p>
                  <w:pPr>
                    <w:jc w:val="center"/>
                    <w:rPr>
                      <w:bCs/>
                      <w:sz w:val="21"/>
                      <w:szCs w:val="21"/>
                    </w:rPr>
                  </w:pPr>
                  <w:r>
                    <w:rPr>
                      <w:rFonts w:hint="eastAsia"/>
                      <w:bCs/>
                      <w:sz w:val="21"/>
                      <w:szCs w:val="21"/>
                    </w:rPr>
                    <w:t>1.5</w:t>
                  </w:r>
                </w:p>
              </w:tc>
              <w:tc>
                <w:tcPr>
                  <w:tcW w:w="977" w:type="dxa"/>
                  <w:vAlign w:val="center"/>
                </w:tcPr>
                <w:p>
                  <w:pPr>
                    <w:widowControl/>
                    <w:adjustRightInd w:val="0"/>
                    <w:snapToGrid w:val="0"/>
                    <w:jc w:val="center"/>
                    <w:rPr>
                      <w:bCs/>
                      <w:sz w:val="21"/>
                      <w:szCs w:val="21"/>
                    </w:rPr>
                  </w:pPr>
                  <w:r>
                    <w:rPr>
                      <w:rFonts w:hint="eastAsia"/>
                      <w:bCs/>
                      <w:sz w:val="21"/>
                      <w:szCs w:val="21"/>
                    </w:rPr>
                    <w:t>80~70</w:t>
                  </w:r>
                </w:p>
              </w:tc>
              <w:tc>
                <w:tcPr>
                  <w:tcW w:w="1295" w:type="dxa"/>
                  <w:vMerge w:val="restart"/>
                  <w:vAlign w:val="center"/>
                </w:tcPr>
                <w:p>
                  <w:pPr>
                    <w:jc w:val="center"/>
                    <w:rPr>
                      <w:bCs/>
                      <w:sz w:val="21"/>
                      <w:szCs w:val="21"/>
                    </w:rPr>
                  </w:pPr>
                  <w:r>
                    <w:rPr>
                      <w:sz w:val="21"/>
                      <w:szCs w:val="21"/>
                    </w:rPr>
                    <w:t>安装减振基座、厂房隔声</w:t>
                  </w:r>
                </w:p>
              </w:tc>
              <w:tc>
                <w:tcPr>
                  <w:tcW w:w="1333" w:type="dxa"/>
                  <w:vAlign w:val="center"/>
                </w:tcPr>
                <w:p>
                  <w:pPr>
                    <w:jc w:val="center"/>
                    <w:rPr>
                      <w:bCs/>
                      <w:sz w:val="21"/>
                      <w:szCs w:val="21"/>
                    </w:rPr>
                  </w:pPr>
                  <w:r>
                    <w:rPr>
                      <w:rFonts w:hint="eastAsia"/>
                      <w:bCs/>
                      <w:sz w:val="21"/>
                      <w:szCs w:val="21"/>
                    </w:rPr>
                    <w:t>16h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1225" w:type="dxa"/>
                  <w:tcMar>
                    <w:top w:w="12" w:type="dxa"/>
                    <w:left w:w="12" w:type="dxa"/>
                    <w:bottom w:w="0" w:type="dxa"/>
                    <w:right w:w="12" w:type="dxa"/>
                  </w:tcMar>
                  <w:vAlign w:val="center"/>
                </w:tcPr>
                <w:p>
                  <w:pPr>
                    <w:jc w:val="center"/>
                    <w:rPr>
                      <w:kern w:val="0"/>
                      <w:sz w:val="21"/>
                      <w:szCs w:val="21"/>
                    </w:rPr>
                  </w:pPr>
                  <w:r>
                    <w:rPr>
                      <w:rFonts w:hint="eastAsia"/>
                      <w:kern w:val="0"/>
                      <w:sz w:val="21"/>
                      <w:szCs w:val="21"/>
                    </w:rPr>
                    <w:t>风机</w:t>
                  </w:r>
                </w:p>
              </w:tc>
              <w:tc>
                <w:tcPr>
                  <w:tcW w:w="977" w:type="dxa"/>
                  <w:vAlign w:val="center"/>
                </w:tcPr>
                <w:p>
                  <w:pPr>
                    <w:jc w:val="center"/>
                    <w:rPr>
                      <w:bCs/>
                      <w:sz w:val="21"/>
                      <w:szCs w:val="21"/>
                    </w:rPr>
                  </w:pPr>
                  <w:r>
                    <w:rPr>
                      <w:rFonts w:hint="eastAsia"/>
                      <w:bCs/>
                      <w:sz w:val="21"/>
                      <w:szCs w:val="21"/>
                    </w:rPr>
                    <w:t>定制</w:t>
                  </w:r>
                </w:p>
              </w:tc>
              <w:tc>
                <w:tcPr>
                  <w:tcW w:w="958" w:type="dxa"/>
                  <w:vAlign w:val="center"/>
                </w:tcPr>
                <w:p>
                  <w:pPr>
                    <w:jc w:val="center"/>
                    <w:rPr>
                      <w:bCs/>
                      <w:sz w:val="21"/>
                      <w:szCs w:val="21"/>
                    </w:rPr>
                  </w:pPr>
                  <w:r>
                    <w:rPr>
                      <w:rFonts w:hint="eastAsia"/>
                      <w:bCs/>
                      <w:sz w:val="21"/>
                      <w:szCs w:val="21"/>
                    </w:rPr>
                    <w:t>4</w:t>
                  </w:r>
                </w:p>
              </w:tc>
              <w:tc>
                <w:tcPr>
                  <w:tcW w:w="950" w:type="dxa"/>
                  <w:vAlign w:val="center"/>
                </w:tcPr>
                <w:p>
                  <w:pPr>
                    <w:jc w:val="center"/>
                    <w:rPr>
                      <w:bCs/>
                      <w:sz w:val="21"/>
                      <w:szCs w:val="21"/>
                    </w:rPr>
                  </w:pPr>
                  <w:r>
                    <w:rPr>
                      <w:rFonts w:hint="eastAsia"/>
                      <w:bCs/>
                      <w:sz w:val="21"/>
                      <w:szCs w:val="21"/>
                    </w:rPr>
                    <w:t>-13</w:t>
                  </w:r>
                </w:p>
              </w:tc>
              <w:tc>
                <w:tcPr>
                  <w:tcW w:w="744" w:type="dxa"/>
                  <w:vAlign w:val="center"/>
                </w:tcPr>
                <w:p>
                  <w:pPr>
                    <w:jc w:val="center"/>
                    <w:rPr>
                      <w:bCs/>
                      <w:sz w:val="21"/>
                      <w:szCs w:val="21"/>
                    </w:rPr>
                  </w:pPr>
                  <w:r>
                    <w:rPr>
                      <w:rFonts w:hint="eastAsia"/>
                      <w:bCs/>
                      <w:sz w:val="21"/>
                      <w:szCs w:val="21"/>
                    </w:rPr>
                    <w:t>1.5</w:t>
                  </w:r>
                </w:p>
              </w:tc>
              <w:tc>
                <w:tcPr>
                  <w:tcW w:w="977" w:type="dxa"/>
                  <w:vAlign w:val="center"/>
                </w:tcPr>
                <w:p>
                  <w:pPr>
                    <w:widowControl/>
                    <w:adjustRightInd w:val="0"/>
                    <w:snapToGrid w:val="0"/>
                    <w:jc w:val="center"/>
                    <w:rPr>
                      <w:bCs/>
                      <w:sz w:val="21"/>
                      <w:szCs w:val="21"/>
                    </w:rPr>
                  </w:pPr>
                  <w:r>
                    <w:rPr>
                      <w:rFonts w:hint="eastAsia"/>
                      <w:bCs/>
                      <w:sz w:val="21"/>
                      <w:szCs w:val="21"/>
                    </w:rPr>
                    <w:t>80~70</w:t>
                  </w:r>
                </w:p>
              </w:tc>
              <w:tc>
                <w:tcPr>
                  <w:tcW w:w="1295" w:type="dxa"/>
                  <w:vMerge w:val="continue"/>
                  <w:vAlign w:val="center"/>
                </w:tcPr>
                <w:p>
                  <w:pPr>
                    <w:jc w:val="center"/>
                    <w:rPr>
                      <w:bCs/>
                      <w:sz w:val="21"/>
                      <w:szCs w:val="21"/>
                    </w:rPr>
                  </w:pPr>
                </w:p>
              </w:tc>
              <w:tc>
                <w:tcPr>
                  <w:tcW w:w="1333" w:type="dxa"/>
                  <w:vAlign w:val="center"/>
                </w:tcPr>
                <w:p>
                  <w:pPr>
                    <w:jc w:val="center"/>
                    <w:rPr>
                      <w:bCs/>
                      <w:sz w:val="21"/>
                      <w:szCs w:val="21"/>
                    </w:rPr>
                  </w:pPr>
                  <w:r>
                    <w:rPr>
                      <w:rFonts w:hint="eastAsia"/>
                      <w:bCs/>
                      <w:sz w:val="21"/>
                      <w:szCs w:val="21"/>
                    </w:rPr>
                    <w:t>16h</w:t>
                  </w:r>
                </w:p>
              </w:tc>
            </w:tr>
          </w:tbl>
          <w:p>
            <w:pPr>
              <w:keepNext/>
              <w:keepLines/>
              <w:adjustRightInd w:val="0"/>
              <w:snapToGrid w:val="0"/>
              <w:spacing w:line="360" w:lineRule="auto"/>
              <w:outlineLvl w:val="3"/>
              <w:rPr>
                <w:bCs/>
                <w:sz w:val="21"/>
                <w:szCs w:val="21"/>
              </w:rPr>
            </w:pPr>
            <w:r>
              <w:rPr>
                <w:rFonts w:hint="eastAsia" w:ascii="宋体" w:hAnsi="宋体" w:cs="宋体"/>
                <w:bCs/>
                <w:sz w:val="21"/>
                <w:szCs w:val="21"/>
              </w:rPr>
              <w:t>注</w:t>
            </w:r>
            <w:r>
              <w:rPr>
                <w:bCs/>
                <w:sz w:val="21"/>
                <w:szCs w:val="21"/>
              </w:rPr>
              <w:t>：项目以厂区中心点为坐标原点，正东为X轴，正北为Y轴</w:t>
            </w:r>
            <w:r>
              <w:rPr>
                <w:rFonts w:hint="eastAsia"/>
                <w:bCs/>
                <w:sz w:val="21"/>
                <w:szCs w:val="21"/>
              </w:rPr>
              <w:t>，高度</w:t>
            </w:r>
            <w:r>
              <w:rPr>
                <w:bCs/>
                <w:sz w:val="21"/>
                <w:szCs w:val="21"/>
              </w:rPr>
              <w:t>为</w:t>
            </w:r>
            <w:r>
              <w:rPr>
                <w:rFonts w:hint="eastAsia"/>
                <w:bCs/>
                <w:sz w:val="21"/>
                <w:szCs w:val="21"/>
              </w:rPr>
              <w:t>Z</w:t>
            </w:r>
            <w:r>
              <w:rPr>
                <w:bCs/>
                <w:sz w:val="21"/>
                <w:szCs w:val="21"/>
              </w:rPr>
              <w:t>轴</w:t>
            </w:r>
          </w:p>
          <w:p>
            <w:pPr>
              <w:widowControl/>
              <w:adjustRightInd w:val="0"/>
              <w:snapToGrid w:val="0"/>
              <w:spacing w:line="360" w:lineRule="auto"/>
              <w:ind w:firstLine="482" w:firstLineChars="200"/>
              <w:jc w:val="center"/>
              <w:rPr>
                <w:b/>
                <w:lang w:bidi="ar"/>
              </w:rPr>
            </w:pPr>
            <w:r>
              <w:rPr>
                <w:b/>
                <w:lang w:bidi="ar"/>
              </w:rPr>
              <w:t>表</w:t>
            </w:r>
            <w:r>
              <w:rPr>
                <w:rFonts w:hint="eastAsia"/>
                <w:b/>
                <w:lang w:bidi="ar"/>
              </w:rPr>
              <w:t>4-</w:t>
            </w:r>
            <w:r>
              <w:rPr>
                <w:rFonts w:hint="eastAsia"/>
                <w:b/>
                <w:lang w:val="en-US" w:eastAsia="zh-CN" w:bidi="ar"/>
              </w:rPr>
              <w:t>9</w:t>
            </w:r>
            <w:r>
              <w:rPr>
                <w:b/>
                <w:lang w:bidi="ar"/>
              </w:rPr>
              <w:t xml:space="preserve">  </w:t>
            </w:r>
            <w:r>
              <w:rPr>
                <w:rFonts w:hint="eastAsia"/>
                <w:b/>
                <w:lang w:bidi="ar"/>
              </w:rPr>
              <w:t>工业企业噪声源强调查清单（室内声源）</w:t>
            </w:r>
          </w:p>
          <w:tbl>
            <w:tblPr>
              <w:tblStyle w:val="24"/>
              <w:tblW w:w="7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9"/>
              <w:gridCol w:w="651"/>
              <w:gridCol w:w="916"/>
              <w:gridCol w:w="513"/>
              <w:gridCol w:w="501"/>
              <w:gridCol w:w="499"/>
              <w:gridCol w:w="525"/>
              <w:gridCol w:w="577"/>
              <w:gridCol w:w="582"/>
              <w:gridCol w:w="599"/>
              <w:gridCol w:w="602"/>
              <w:gridCol w:w="615"/>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 w:hRule="atLeast"/>
                <w:jc w:val="center"/>
              </w:trPr>
              <w:tc>
                <w:tcPr>
                  <w:tcW w:w="689" w:type="dxa"/>
                  <w:vMerge w:val="restart"/>
                  <w:tcMar>
                    <w:top w:w="12" w:type="dxa"/>
                    <w:left w:w="12" w:type="dxa"/>
                    <w:bottom w:w="0" w:type="dxa"/>
                    <w:right w:w="12" w:type="dxa"/>
                  </w:tcMar>
                  <w:vAlign w:val="center"/>
                </w:tcPr>
                <w:p>
                  <w:pPr>
                    <w:adjustRightInd w:val="0"/>
                    <w:snapToGrid w:val="0"/>
                    <w:jc w:val="center"/>
                    <w:rPr>
                      <w:b/>
                      <w:sz w:val="21"/>
                      <w:szCs w:val="21"/>
                    </w:rPr>
                  </w:pPr>
                  <w:r>
                    <w:rPr>
                      <w:rFonts w:hint="eastAsia"/>
                      <w:b/>
                      <w:sz w:val="21"/>
                      <w:szCs w:val="21"/>
                    </w:rPr>
                    <w:t>建筑物名称</w:t>
                  </w:r>
                </w:p>
              </w:tc>
              <w:tc>
                <w:tcPr>
                  <w:tcW w:w="651" w:type="dxa"/>
                  <w:vMerge w:val="restart"/>
                  <w:vAlign w:val="center"/>
                </w:tcPr>
                <w:p>
                  <w:pPr>
                    <w:adjustRightInd w:val="0"/>
                    <w:snapToGrid w:val="0"/>
                    <w:jc w:val="center"/>
                    <w:rPr>
                      <w:b/>
                      <w:sz w:val="21"/>
                      <w:szCs w:val="21"/>
                    </w:rPr>
                  </w:pPr>
                  <w:r>
                    <w:rPr>
                      <w:rFonts w:hint="eastAsia"/>
                      <w:b/>
                      <w:sz w:val="21"/>
                      <w:szCs w:val="21"/>
                    </w:rPr>
                    <w:t>声源名称</w:t>
                  </w:r>
                </w:p>
              </w:tc>
              <w:tc>
                <w:tcPr>
                  <w:tcW w:w="916" w:type="dxa"/>
                  <w:vMerge w:val="restart"/>
                  <w:vAlign w:val="center"/>
                </w:tcPr>
                <w:p>
                  <w:pPr>
                    <w:adjustRightInd w:val="0"/>
                    <w:snapToGrid w:val="0"/>
                    <w:jc w:val="center"/>
                    <w:rPr>
                      <w:b/>
                      <w:sz w:val="21"/>
                      <w:szCs w:val="21"/>
                    </w:rPr>
                  </w:pPr>
                  <w:r>
                    <w:rPr>
                      <w:rFonts w:hint="eastAsia"/>
                      <w:b/>
                      <w:sz w:val="21"/>
                      <w:szCs w:val="21"/>
                    </w:rPr>
                    <w:t>声功率级/dB（A）</w:t>
                  </w:r>
                </w:p>
              </w:tc>
              <w:tc>
                <w:tcPr>
                  <w:tcW w:w="513" w:type="dxa"/>
                  <w:vMerge w:val="restart"/>
                  <w:vAlign w:val="center"/>
                </w:tcPr>
                <w:p>
                  <w:pPr>
                    <w:jc w:val="center"/>
                    <w:rPr>
                      <w:bCs/>
                      <w:color w:val="0000F5"/>
                      <w:sz w:val="21"/>
                      <w:szCs w:val="21"/>
                    </w:rPr>
                  </w:pPr>
                  <w:r>
                    <w:rPr>
                      <w:rFonts w:hint="eastAsia"/>
                      <w:b/>
                      <w:sz w:val="21"/>
                      <w:szCs w:val="21"/>
                    </w:rPr>
                    <w:t>声源控制措施</w:t>
                  </w:r>
                </w:p>
                <w:p>
                  <w:pPr>
                    <w:adjustRightInd w:val="0"/>
                    <w:snapToGrid w:val="0"/>
                    <w:jc w:val="center"/>
                    <w:rPr>
                      <w:b/>
                      <w:sz w:val="21"/>
                      <w:szCs w:val="21"/>
                    </w:rPr>
                  </w:pPr>
                </w:p>
              </w:tc>
              <w:tc>
                <w:tcPr>
                  <w:tcW w:w="1525" w:type="dxa"/>
                  <w:gridSpan w:val="3"/>
                  <w:vAlign w:val="center"/>
                </w:tcPr>
                <w:p>
                  <w:pPr>
                    <w:adjustRightInd w:val="0"/>
                    <w:snapToGrid w:val="0"/>
                    <w:jc w:val="center"/>
                    <w:rPr>
                      <w:b/>
                      <w:sz w:val="21"/>
                      <w:szCs w:val="21"/>
                    </w:rPr>
                  </w:pPr>
                  <w:r>
                    <w:rPr>
                      <w:rFonts w:hint="eastAsia"/>
                      <w:b/>
                      <w:sz w:val="21"/>
                      <w:szCs w:val="21"/>
                    </w:rPr>
                    <w:t>空间相对位置</w:t>
                  </w:r>
                </w:p>
              </w:tc>
              <w:tc>
                <w:tcPr>
                  <w:tcW w:w="577" w:type="dxa"/>
                  <w:vMerge w:val="restart"/>
                  <w:vAlign w:val="center"/>
                </w:tcPr>
                <w:p>
                  <w:pPr>
                    <w:adjustRightInd w:val="0"/>
                    <w:snapToGrid w:val="0"/>
                    <w:jc w:val="center"/>
                    <w:rPr>
                      <w:b/>
                      <w:sz w:val="21"/>
                      <w:szCs w:val="21"/>
                    </w:rPr>
                  </w:pPr>
                  <w:r>
                    <w:rPr>
                      <w:rFonts w:hint="eastAsia"/>
                      <w:b/>
                      <w:sz w:val="21"/>
                      <w:szCs w:val="21"/>
                    </w:rPr>
                    <w:t>距离室内边界距离/m</w:t>
                  </w:r>
                </w:p>
              </w:tc>
              <w:tc>
                <w:tcPr>
                  <w:tcW w:w="582" w:type="dxa"/>
                  <w:vMerge w:val="restart"/>
                  <w:vAlign w:val="center"/>
                </w:tcPr>
                <w:p>
                  <w:pPr>
                    <w:adjustRightInd w:val="0"/>
                    <w:snapToGrid w:val="0"/>
                    <w:jc w:val="center"/>
                    <w:rPr>
                      <w:b/>
                      <w:sz w:val="21"/>
                      <w:szCs w:val="21"/>
                    </w:rPr>
                  </w:pPr>
                  <w:r>
                    <w:rPr>
                      <w:rFonts w:hint="eastAsia"/>
                      <w:b/>
                      <w:sz w:val="21"/>
                      <w:szCs w:val="21"/>
                    </w:rPr>
                    <w:t>室内边界声级/dB（A）</w:t>
                  </w:r>
                </w:p>
              </w:tc>
              <w:tc>
                <w:tcPr>
                  <w:tcW w:w="599" w:type="dxa"/>
                  <w:vMerge w:val="restart"/>
                  <w:vAlign w:val="center"/>
                </w:tcPr>
                <w:p>
                  <w:pPr>
                    <w:adjustRightInd w:val="0"/>
                    <w:snapToGrid w:val="0"/>
                    <w:jc w:val="center"/>
                    <w:rPr>
                      <w:b/>
                      <w:sz w:val="21"/>
                      <w:szCs w:val="21"/>
                    </w:rPr>
                  </w:pPr>
                  <w:r>
                    <w:rPr>
                      <w:rFonts w:hint="eastAsia"/>
                      <w:b/>
                      <w:sz w:val="21"/>
                      <w:szCs w:val="21"/>
                    </w:rPr>
                    <w:t>运行时段</w:t>
                  </w:r>
                </w:p>
              </w:tc>
              <w:tc>
                <w:tcPr>
                  <w:tcW w:w="602" w:type="dxa"/>
                  <w:vMerge w:val="restart"/>
                  <w:vAlign w:val="center"/>
                </w:tcPr>
                <w:p>
                  <w:pPr>
                    <w:adjustRightInd w:val="0"/>
                    <w:snapToGrid w:val="0"/>
                    <w:jc w:val="center"/>
                    <w:rPr>
                      <w:b/>
                      <w:sz w:val="21"/>
                      <w:szCs w:val="21"/>
                    </w:rPr>
                  </w:pPr>
                  <w:r>
                    <w:rPr>
                      <w:rFonts w:hint="eastAsia"/>
                      <w:b/>
                      <w:sz w:val="21"/>
                      <w:szCs w:val="21"/>
                    </w:rPr>
                    <w:t>建筑物插入损失/dB（A）</w:t>
                  </w:r>
                </w:p>
              </w:tc>
              <w:tc>
                <w:tcPr>
                  <w:tcW w:w="1314" w:type="dxa"/>
                  <w:gridSpan w:val="2"/>
                  <w:vAlign w:val="center"/>
                </w:tcPr>
                <w:p>
                  <w:pPr>
                    <w:adjustRightInd w:val="0"/>
                    <w:snapToGrid w:val="0"/>
                    <w:jc w:val="center"/>
                    <w:rPr>
                      <w:b/>
                      <w:sz w:val="21"/>
                      <w:szCs w:val="21"/>
                    </w:rPr>
                  </w:pPr>
                  <w:r>
                    <w:rPr>
                      <w:rFonts w:hint="eastAsia"/>
                      <w:b/>
                      <w:sz w:val="21"/>
                      <w:szCs w:val="21"/>
                    </w:rPr>
                    <w:t>建筑物外噪声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89" w:type="dxa"/>
                  <w:vMerge w:val="continue"/>
                  <w:tcMar>
                    <w:top w:w="12" w:type="dxa"/>
                    <w:left w:w="12" w:type="dxa"/>
                    <w:bottom w:w="0" w:type="dxa"/>
                    <w:right w:w="12" w:type="dxa"/>
                  </w:tcMar>
                  <w:vAlign w:val="center"/>
                </w:tcPr>
                <w:p>
                  <w:pPr>
                    <w:jc w:val="center"/>
                    <w:rPr>
                      <w:bCs/>
                      <w:sz w:val="21"/>
                      <w:szCs w:val="21"/>
                    </w:rPr>
                  </w:pPr>
                </w:p>
              </w:tc>
              <w:tc>
                <w:tcPr>
                  <w:tcW w:w="651" w:type="dxa"/>
                  <w:vMerge w:val="continue"/>
                  <w:vAlign w:val="center"/>
                </w:tcPr>
                <w:p>
                  <w:pPr>
                    <w:jc w:val="center"/>
                    <w:rPr>
                      <w:bCs/>
                      <w:sz w:val="21"/>
                      <w:szCs w:val="21"/>
                    </w:rPr>
                  </w:pPr>
                </w:p>
              </w:tc>
              <w:tc>
                <w:tcPr>
                  <w:tcW w:w="916" w:type="dxa"/>
                  <w:vMerge w:val="continue"/>
                  <w:vAlign w:val="center"/>
                </w:tcPr>
                <w:p>
                  <w:pPr>
                    <w:jc w:val="center"/>
                    <w:rPr>
                      <w:bCs/>
                      <w:sz w:val="21"/>
                      <w:szCs w:val="21"/>
                    </w:rPr>
                  </w:pPr>
                </w:p>
              </w:tc>
              <w:tc>
                <w:tcPr>
                  <w:tcW w:w="513" w:type="dxa"/>
                  <w:vMerge w:val="continue"/>
                  <w:vAlign w:val="center"/>
                </w:tcPr>
                <w:p>
                  <w:pPr>
                    <w:jc w:val="center"/>
                    <w:rPr>
                      <w:bCs/>
                      <w:sz w:val="21"/>
                      <w:szCs w:val="21"/>
                    </w:rPr>
                  </w:pPr>
                </w:p>
              </w:tc>
              <w:tc>
                <w:tcPr>
                  <w:tcW w:w="501" w:type="dxa"/>
                  <w:vAlign w:val="center"/>
                </w:tcPr>
                <w:p>
                  <w:pPr>
                    <w:jc w:val="center"/>
                    <w:rPr>
                      <w:bCs/>
                      <w:sz w:val="21"/>
                      <w:szCs w:val="21"/>
                    </w:rPr>
                  </w:pPr>
                  <w:r>
                    <w:rPr>
                      <w:rFonts w:hint="eastAsia"/>
                      <w:bCs/>
                      <w:sz w:val="21"/>
                      <w:szCs w:val="21"/>
                    </w:rPr>
                    <w:t>X</w:t>
                  </w:r>
                </w:p>
              </w:tc>
              <w:tc>
                <w:tcPr>
                  <w:tcW w:w="499" w:type="dxa"/>
                  <w:vAlign w:val="center"/>
                </w:tcPr>
                <w:p>
                  <w:pPr>
                    <w:jc w:val="center"/>
                    <w:rPr>
                      <w:bCs/>
                      <w:sz w:val="21"/>
                      <w:szCs w:val="21"/>
                    </w:rPr>
                  </w:pPr>
                  <w:r>
                    <w:rPr>
                      <w:rFonts w:hint="eastAsia"/>
                      <w:bCs/>
                      <w:sz w:val="21"/>
                      <w:szCs w:val="21"/>
                    </w:rPr>
                    <w:t>Y</w:t>
                  </w:r>
                </w:p>
              </w:tc>
              <w:tc>
                <w:tcPr>
                  <w:tcW w:w="525" w:type="dxa"/>
                  <w:vAlign w:val="center"/>
                </w:tcPr>
                <w:p>
                  <w:pPr>
                    <w:jc w:val="center"/>
                    <w:rPr>
                      <w:bCs/>
                      <w:sz w:val="21"/>
                      <w:szCs w:val="21"/>
                    </w:rPr>
                  </w:pPr>
                  <w:r>
                    <w:rPr>
                      <w:rFonts w:hint="eastAsia"/>
                      <w:bCs/>
                      <w:sz w:val="21"/>
                      <w:szCs w:val="21"/>
                    </w:rPr>
                    <w:t>Z</w:t>
                  </w:r>
                </w:p>
              </w:tc>
              <w:tc>
                <w:tcPr>
                  <w:tcW w:w="577" w:type="dxa"/>
                  <w:vMerge w:val="continue"/>
                  <w:vAlign w:val="center"/>
                </w:tcPr>
                <w:p>
                  <w:pPr>
                    <w:jc w:val="center"/>
                    <w:rPr>
                      <w:bCs/>
                      <w:sz w:val="21"/>
                      <w:szCs w:val="21"/>
                    </w:rPr>
                  </w:pPr>
                </w:p>
              </w:tc>
              <w:tc>
                <w:tcPr>
                  <w:tcW w:w="582" w:type="dxa"/>
                  <w:vMerge w:val="continue"/>
                  <w:vAlign w:val="center"/>
                </w:tcPr>
                <w:p>
                  <w:pPr>
                    <w:jc w:val="center"/>
                    <w:rPr>
                      <w:bCs/>
                      <w:sz w:val="21"/>
                      <w:szCs w:val="21"/>
                    </w:rPr>
                  </w:pPr>
                </w:p>
              </w:tc>
              <w:tc>
                <w:tcPr>
                  <w:tcW w:w="599" w:type="dxa"/>
                  <w:vMerge w:val="continue"/>
                  <w:vAlign w:val="center"/>
                </w:tcPr>
                <w:p>
                  <w:pPr>
                    <w:jc w:val="center"/>
                    <w:rPr>
                      <w:bCs/>
                      <w:sz w:val="21"/>
                      <w:szCs w:val="21"/>
                    </w:rPr>
                  </w:pPr>
                </w:p>
              </w:tc>
              <w:tc>
                <w:tcPr>
                  <w:tcW w:w="602" w:type="dxa"/>
                  <w:vMerge w:val="continue"/>
                  <w:vAlign w:val="center"/>
                </w:tcPr>
                <w:p>
                  <w:pPr>
                    <w:jc w:val="center"/>
                    <w:rPr>
                      <w:b/>
                      <w:sz w:val="21"/>
                      <w:szCs w:val="21"/>
                    </w:rPr>
                  </w:pPr>
                </w:p>
              </w:tc>
              <w:tc>
                <w:tcPr>
                  <w:tcW w:w="615" w:type="dxa"/>
                  <w:vAlign w:val="center"/>
                </w:tcPr>
                <w:p>
                  <w:pPr>
                    <w:jc w:val="center"/>
                    <w:rPr>
                      <w:b/>
                      <w:sz w:val="21"/>
                      <w:szCs w:val="21"/>
                    </w:rPr>
                  </w:pPr>
                  <w:r>
                    <w:rPr>
                      <w:rFonts w:hint="eastAsia"/>
                      <w:b/>
                      <w:sz w:val="21"/>
                      <w:szCs w:val="21"/>
                    </w:rPr>
                    <w:t>声压级/dB（A）</w:t>
                  </w:r>
                </w:p>
              </w:tc>
              <w:tc>
                <w:tcPr>
                  <w:tcW w:w="699" w:type="dxa"/>
                  <w:vAlign w:val="center"/>
                </w:tcPr>
                <w:p>
                  <w:pPr>
                    <w:jc w:val="center"/>
                    <w:rPr>
                      <w:b/>
                      <w:sz w:val="21"/>
                      <w:szCs w:val="21"/>
                    </w:rPr>
                  </w:pPr>
                  <w:r>
                    <w:rPr>
                      <w:rFonts w:hint="eastAsia"/>
                      <w:b/>
                      <w:sz w:val="21"/>
                      <w:szCs w:val="21"/>
                    </w:rPr>
                    <w:t>建筑物外距离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689" w:type="dxa"/>
                  <w:tcMar>
                    <w:top w:w="12" w:type="dxa"/>
                    <w:left w:w="12" w:type="dxa"/>
                    <w:bottom w:w="0" w:type="dxa"/>
                    <w:right w:w="12" w:type="dxa"/>
                  </w:tcMar>
                  <w:vAlign w:val="center"/>
                </w:tcPr>
                <w:p>
                  <w:pPr>
                    <w:jc w:val="center"/>
                    <w:rPr>
                      <w:color w:val="0000F5"/>
                      <w:kern w:val="0"/>
                      <w:sz w:val="21"/>
                      <w:szCs w:val="21"/>
                    </w:rPr>
                  </w:pPr>
                  <w:r>
                    <w:rPr>
                      <w:rFonts w:hint="eastAsia"/>
                      <w:kern w:val="0"/>
                      <w:sz w:val="21"/>
                      <w:szCs w:val="21"/>
                    </w:rPr>
                    <w:t>厂房</w:t>
                  </w:r>
                </w:p>
              </w:tc>
              <w:tc>
                <w:tcPr>
                  <w:tcW w:w="651" w:type="dxa"/>
                  <w:vAlign w:val="center"/>
                </w:tcPr>
                <w:p>
                  <w:pPr>
                    <w:jc w:val="center"/>
                    <w:rPr>
                      <w:kern w:val="0"/>
                      <w:sz w:val="21"/>
                      <w:szCs w:val="21"/>
                    </w:rPr>
                  </w:pPr>
                  <w:r>
                    <w:rPr>
                      <w:kern w:val="0"/>
                      <w:sz w:val="21"/>
                      <w:szCs w:val="21"/>
                    </w:rPr>
                    <w:t>搅拌系统</w:t>
                  </w:r>
                </w:p>
              </w:tc>
              <w:tc>
                <w:tcPr>
                  <w:tcW w:w="916" w:type="dxa"/>
                  <w:vAlign w:val="center"/>
                </w:tcPr>
                <w:p>
                  <w:pPr>
                    <w:jc w:val="center"/>
                    <w:rPr>
                      <w:kern w:val="0"/>
                      <w:sz w:val="21"/>
                      <w:szCs w:val="21"/>
                    </w:rPr>
                  </w:pPr>
                  <w:r>
                    <w:rPr>
                      <w:rFonts w:hint="eastAsia"/>
                      <w:kern w:val="0"/>
                      <w:sz w:val="21"/>
                      <w:szCs w:val="21"/>
                    </w:rPr>
                    <w:t>80</w:t>
                  </w:r>
                </w:p>
              </w:tc>
              <w:tc>
                <w:tcPr>
                  <w:tcW w:w="513" w:type="dxa"/>
                  <w:vMerge w:val="restart"/>
                  <w:vAlign w:val="center"/>
                </w:tcPr>
                <w:p>
                  <w:pPr>
                    <w:jc w:val="center"/>
                    <w:rPr>
                      <w:kern w:val="0"/>
                      <w:sz w:val="21"/>
                      <w:szCs w:val="21"/>
                    </w:rPr>
                  </w:pPr>
                  <w:r>
                    <w:rPr>
                      <w:kern w:val="0"/>
                      <w:sz w:val="21"/>
                      <w:szCs w:val="21"/>
                    </w:rPr>
                    <w:t>安装减振基座、厂房隔声</w:t>
                  </w:r>
                </w:p>
                <w:p>
                  <w:pPr>
                    <w:jc w:val="center"/>
                    <w:rPr>
                      <w:bCs/>
                      <w:color w:val="0000F5"/>
                      <w:sz w:val="21"/>
                      <w:szCs w:val="21"/>
                    </w:rPr>
                  </w:pPr>
                </w:p>
              </w:tc>
              <w:tc>
                <w:tcPr>
                  <w:tcW w:w="501" w:type="dxa"/>
                  <w:vAlign w:val="center"/>
                </w:tcPr>
                <w:p>
                  <w:pPr>
                    <w:jc w:val="center"/>
                    <w:rPr>
                      <w:kern w:val="0"/>
                      <w:sz w:val="21"/>
                      <w:szCs w:val="21"/>
                    </w:rPr>
                  </w:pPr>
                  <w:r>
                    <w:rPr>
                      <w:kern w:val="0"/>
                      <w:sz w:val="21"/>
                      <w:szCs w:val="21"/>
                    </w:rPr>
                    <w:t>-6</w:t>
                  </w:r>
                </w:p>
              </w:tc>
              <w:tc>
                <w:tcPr>
                  <w:tcW w:w="499" w:type="dxa"/>
                  <w:vAlign w:val="center"/>
                </w:tcPr>
                <w:p>
                  <w:pPr>
                    <w:jc w:val="center"/>
                    <w:rPr>
                      <w:kern w:val="0"/>
                      <w:sz w:val="21"/>
                      <w:szCs w:val="21"/>
                    </w:rPr>
                  </w:pPr>
                  <w:r>
                    <w:rPr>
                      <w:kern w:val="0"/>
                      <w:sz w:val="21"/>
                      <w:szCs w:val="21"/>
                    </w:rPr>
                    <w:t>-1</w:t>
                  </w:r>
                </w:p>
              </w:tc>
              <w:tc>
                <w:tcPr>
                  <w:tcW w:w="525" w:type="dxa"/>
                  <w:vAlign w:val="center"/>
                </w:tcPr>
                <w:p>
                  <w:pPr>
                    <w:jc w:val="center"/>
                    <w:rPr>
                      <w:kern w:val="0"/>
                      <w:sz w:val="21"/>
                      <w:szCs w:val="21"/>
                    </w:rPr>
                  </w:pPr>
                  <w:r>
                    <w:rPr>
                      <w:kern w:val="0"/>
                      <w:sz w:val="21"/>
                      <w:szCs w:val="21"/>
                    </w:rPr>
                    <w:t>1.5</w:t>
                  </w:r>
                </w:p>
              </w:tc>
              <w:tc>
                <w:tcPr>
                  <w:tcW w:w="577" w:type="dxa"/>
                  <w:vAlign w:val="center"/>
                </w:tcPr>
                <w:p>
                  <w:pPr>
                    <w:jc w:val="center"/>
                    <w:rPr>
                      <w:kern w:val="0"/>
                      <w:sz w:val="21"/>
                      <w:szCs w:val="21"/>
                    </w:rPr>
                  </w:pPr>
                  <w:r>
                    <w:rPr>
                      <w:kern w:val="0"/>
                      <w:sz w:val="21"/>
                      <w:szCs w:val="21"/>
                    </w:rPr>
                    <w:t>2</w:t>
                  </w:r>
                </w:p>
              </w:tc>
              <w:tc>
                <w:tcPr>
                  <w:tcW w:w="582" w:type="dxa"/>
                  <w:vAlign w:val="center"/>
                </w:tcPr>
                <w:p>
                  <w:pPr>
                    <w:jc w:val="center"/>
                    <w:rPr>
                      <w:kern w:val="0"/>
                      <w:sz w:val="21"/>
                      <w:szCs w:val="21"/>
                    </w:rPr>
                  </w:pPr>
                  <w:r>
                    <w:rPr>
                      <w:rFonts w:hint="eastAsia"/>
                      <w:kern w:val="0"/>
                      <w:sz w:val="21"/>
                      <w:szCs w:val="21"/>
                    </w:rPr>
                    <w:t>73</w:t>
                  </w:r>
                  <w:r>
                    <w:rPr>
                      <w:kern w:val="0"/>
                      <w:sz w:val="21"/>
                      <w:szCs w:val="21"/>
                    </w:rPr>
                    <w:t>.98</w:t>
                  </w:r>
                </w:p>
              </w:tc>
              <w:tc>
                <w:tcPr>
                  <w:tcW w:w="599" w:type="dxa"/>
                  <w:vAlign w:val="center"/>
                </w:tcPr>
                <w:p>
                  <w:pPr>
                    <w:jc w:val="center"/>
                    <w:rPr>
                      <w:bCs/>
                      <w:sz w:val="21"/>
                      <w:szCs w:val="21"/>
                    </w:rPr>
                  </w:pPr>
                  <w:r>
                    <w:rPr>
                      <w:rFonts w:hint="eastAsia"/>
                      <w:bCs/>
                      <w:sz w:val="21"/>
                      <w:szCs w:val="21"/>
                    </w:rPr>
                    <w:t>16h</w:t>
                  </w:r>
                </w:p>
              </w:tc>
              <w:tc>
                <w:tcPr>
                  <w:tcW w:w="602" w:type="dxa"/>
                  <w:vAlign w:val="center"/>
                </w:tcPr>
                <w:p>
                  <w:pPr>
                    <w:jc w:val="center"/>
                    <w:rPr>
                      <w:kern w:val="0"/>
                      <w:sz w:val="21"/>
                      <w:szCs w:val="21"/>
                    </w:rPr>
                  </w:pPr>
                  <w:r>
                    <w:rPr>
                      <w:kern w:val="0"/>
                      <w:sz w:val="21"/>
                      <w:szCs w:val="21"/>
                    </w:rPr>
                    <w:t>20</w:t>
                  </w:r>
                </w:p>
              </w:tc>
              <w:tc>
                <w:tcPr>
                  <w:tcW w:w="615" w:type="dxa"/>
                  <w:vAlign w:val="center"/>
                </w:tcPr>
                <w:p>
                  <w:pPr>
                    <w:jc w:val="center"/>
                    <w:rPr>
                      <w:kern w:val="0"/>
                      <w:sz w:val="21"/>
                      <w:szCs w:val="21"/>
                    </w:rPr>
                  </w:pPr>
                  <w:r>
                    <w:rPr>
                      <w:rFonts w:hint="eastAsia"/>
                      <w:kern w:val="0"/>
                      <w:sz w:val="21"/>
                      <w:szCs w:val="21"/>
                    </w:rPr>
                    <w:t>53</w:t>
                  </w:r>
                  <w:r>
                    <w:rPr>
                      <w:kern w:val="0"/>
                      <w:sz w:val="21"/>
                      <w:szCs w:val="21"/>
                    </w:rPr>
                    <w:t>.98</w:t>
                  </w:r>
                </w:p>
              </w:tc>
              <w:tc>
                <w:tcPr>
                  <w:tcW w:w="699" w:type="dxa"/>
                  <w:vAlign w:val="center"/>
                </w:tcPr>
                <w:p>
                  <w:pPr>
                    <w:jc w:val="center"/>
                    <w:rPr>
                      <w:kern w:val="0"/>
                      <w:sz w:val="21"/>
                      <w:szCs w:val="21"/>
                    </w:rPr>
                  </w:pPr>
                  <w:r>
                    <w:rPr>
                      <w:rFonts w:hint="eastAsia"/>
                      <w:kern w:val="0"/>
                      <w:sz w:val="21"/>
                      <w:szCs w:val="21"/>
                    </w:rPr>
                    <w:t>2</w:t>
                  </w:r>
                  <w:r>
                    <w:rPr>
                      <w:kern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9" w:type="dxa"/>
                  <w:tcMar>
                    <w:top w:w="12" w:type="dxa"/>
                    <w:left w:w="12" w:type="dxa"/>
                    <w:bottom w:w="0" w:type="dxa"/>
                    <w:right w:w="12" w:type="dxa"/>
                  </w:tcMar>
                  <w:vAlign w:val="center"/>
                </w:tcPr>
                <w:p>
                  <w:pPr>
                    <w:jc w:val="center"/>
                    <w:rPr>
                      <w:color w:val="0000F5"/>
                      <w:kern w:val="0"/>
                      <w:sz w:val="21"/>
                      <w:szCs w:val="21"/>
                    </w:rPr>
                  </w:pPr>
                  <w:r>
                    <w:rPr>
                      <w:rFonts w:hint="eastAsia"/>
                      <w:kern w:val="0"/>
                      <w:sz w:val="21"/>
                      <w:szCs w:val="21"/>
                    </w:rPr>
                    <w:t>厂房</w:t>
                  </w:r>
                </w:p>
              </w:tc>
              <w:tc>
                <w:tcPr>
                  <w:tcW w:w="651" w:type="dxa"/>
                  <w:vAlign w:val="center"/>
                </w:tcPr>
                <w:p>
                  <w:pPr>
                    <w:jc w:val="center"/>
                    <w:rPr>
                      <w:kern w:val="0"/>
                      <w:sz w:val="21"/>
                      <w:szCs w:val="21"/>
                    </w:rPr>
                  </w:pPr>
                  <w:r>
                    <w:rPr>
                      <w:kern w:val="0"/>
                      <w:sz w:val="21"/>
                      <w:szCs w:val="21"/>
                    </w:rPr>
                    <w:t>JQT轻质隔墙板机</w:t>
                  </w:r>
                </w:p>
              </w:tc>
              <w:tc>
                <w:tcPr>
                  <w:tcW w:w="916" w:type="dxa"/>
                  <w:vAlign w:val="center"/>
                </w:tcPr>
                <w:p>
                  <w:pPr>
                    <w:jc w:val="center"/>
                    <w:rPr>
                      <w:kern w:val="0"/>
                      <w:sz w:val="21"/>
                      <w:szCs w:val="21"/>
                    </w:rPr>
                  </w:pPr>
                  <w:r>
                    <w:rPr>
                      <w:rFonts w:hint="eastAsia"/>
                      <w:kern w:val="0"/>
                      <w:sz w:val="21"/>
                      <w:szCs w:val="21"/>
                    </w:rPr>
                    <w:t>70</w:t>
                  </w:r>
                </w:p>
              </w:tc>
              <w:tc>
                <w:tcPr>
                  <w:tcW w:w="513" w:type="dxa"/>
                  <w:vMerge w:val="continue"/>
                  <w:vAlign w:val="center"/>
                </w:tcPr>
                <w:p>
                  <w:pPr>
                    <w:jc w:val="center"/>
                    <w:rPr>
                      <w:bCs/>
                      <w:color w:val="0000F5"/>
                      <w:sz w:val="21"/>
                      <w:szCs w:val="21"/>
                    </w:rPr>
                  </w:pPr>
                </w:p>
              </w:tc>
              <w:tc>
                <w:tcPr>
                  <w:tcW w:w="501" w:type="dxa"/>
                  <w:vAlign w:val="center"/>
                </w:tcPr>
                <w:p>
                  <w:pPr>
                    <w:jc w:val="center"/>
                    <w:rPr>
                      <w:kern w:val="0"/>
                      <w:sz w:val="21"/>
                      <w:szCs w:val="21"/>
                    </w:rPr>
                  </w:pPr>
                  <w:r>
                    <w:rPr>
                      <w:kern w:val="0"/>
                      <w:sz w:val="21"/>
                      <w:szCs w:val="21"/>
                    </w:rPr>
                    <w:t>-8</w:t>
                  </w:r>
                </w:p>
              </w:tc>
              <w:tc>
                <w:tcPr>
                  <w:tcW w:w="499" w:type="dxa"/>
                  <w:vAlign w:val="center"/>
                </w:tcPr>
                <w:p>
                  <w:pPr>
                    <w:jc w:val="center"/>
                    <w:rPr>
                      <w:kern w:val="0"/>
                      <w:sz w:val="21"/>
                      <w:szCs w:val="21"/>
                    </w:rPr>
                  </w:pPr>
                  <w:r>
                    <w:rPr>
                      <w:kern w:val="0"/>
                      <w:sz w:val="21"/>
                      <w:szCs w:val="21"/>
                    </w:rPr>
                    <w:t>8</w:t>
                  </w:r>
                </w:p>
              </w:tc>
              <w:tc>
                <w:tcPr>
                  <w:tcW w:w="525" w:type="dxa"/>
                  <w:vAlign w:val="center"/>
                </w:tcPr>
                <w:p>
                  <w:pPr>
                    <w:jc w:val="center"/>
                    <w:rPr>
                      <w:kern w:val="0"/>
                      <w:sz w:val="21"/>
                      <w:szCs w:val="21"/>
                    </w:rPr>
                  </w:pPr>
                  <w:r>
                    <w:rPr>
                      <w:kern w:val="0"/>
                      <w:sz w:val="21"/>
                      <w:szCs w:val="21"/>
                    </w:rPr>
                    <w:t>1.5</w:t>
                  </w:r>
                </w:p>
              </w:tc>
              <w:tc>
                <w:tcPr>
                  <w:tcW w:w="577" w:type="dxa"/>
                  <w:vAlign w:val="center"/>
                </w:tcPr>
                <w:p>
                  <w:pPr>
                    <w:jc w:val="center"/>
                    <w:rPr>
                      <w:kern w:val="0"/>
                      <w:sz w:val="21"/>
                      <w:szCs w:val="21"/>
                    </w:rPr>
                  </w:pPr>
                  <w:r>
                    <w:rPr>
                      <w:kern w:val="0"/>
                      <w:sz w:val="21"/>
                      <w:szCs w:val="21"/>
                    </w:rPr>
                    <w:t>2</w:t>
                  </w:r>
                </w:p>
              </w:tc>
              <w:tc>
                <w:tcPr>
                  <w:tcW w:w="582" w:type="dxa"/>
                  <w:vAlign w:val="center"/>
                </w:tcPr>
                <w:p>
                  <w:pPr>
                    <w:jc w:val="center"/>
                    <w:rPr>
                      <w:kern w:val="0"/>
                      <w:sz w:val="21"/>
                      <w:szCs w:val="21"/>
                    </w:rPr>
                  </w:pPr>
                  <w:r>
                    <w:rPr>
                      <w:rFonts w:hint="eastAsia"/>
                      <w:kern w:val="0"/>
                      <w:sz w:val="21"/>
                      <w:szCs w:val="21"/>
                    </w:rPr>
                    <w:t>63.98</w:t>
                  </w:r>
                </w:p>
              </w:tc>
              <w:tc>
                <w:tcPr>
                  <w:tcW w:w="599" w:type="dxa"/>
                  <w:vAlign w:val="center"/>
                </w:tcPr>
                <w:p>
                  <w:pPr>
                    <w:jc w:val="center"/>
                    <w:rPr>
                      <w:bCs/>
                      <w:sz w:val="21"/>
                      <w:szCs w:val="21"/>
                    </w:rPr>
                  </w:pPr>
                  <w:r>
                    <w:rPr>
                      <w:rFonts w:hint="eastAsia"/>
                      <w:bCs/>
                      <w:sz w:val="21"/>
                      <w:szCs w:val="21"/>
                    </w:rPr>
                    <w:t>16h</w:t>
                  </w:r>
                </w:p>
              </w:tc>
              <w:tc>
                <w:tcPr>
                  <w:tcW w:w="602" w:type="dxa"/>
                  <w:vAlign w:val="center"/>
                </w:tcPr>
                <w:p>
                  <w:pPr>
                    <w:jc w:val="center"/>
                    <w:rPr>
                      <w:kern w:val="0"/>
                      <w:sz w:val="21"/>
                      <w:szCs w:val="21"/>
                    </w:rPr>
                  </w:pPr>
                  <w:r>
                    <w:rPr>
                      <w:rFonts w:hint="eastAsia"/>
                      <w:kern w:val="0"/>
                      <w:sz w:val="21"/>
                      <w:szCs w:val="21"/>
                    </w:rPr>
                    <w:t>20</w:t>
                  </w:r>
                </w:p>
              </w:tc>
              <w:tc>
                <w:tcPr>
                  <w:tcW w:w="615" w:type="dxa"/>
                  <w:vAlign w:val="center"/>
                </w:tcPr>
                <w:p>
                  <w:pPr>
                    <w:jc w:val="center"/>
                    <w:rPr>
                      <w:kern w:val="0"/>
                      <w:sz w:val="21"/>
                      <w:szCs w:val="21"/>
                    </w:rPr>
                  </w:pPr>
                  <w:r>
                    <w:rPr>
                      <w:rFonts w:hint="eastAsia"/>
                      <w:kern w:val="0"/>
                      <w:sz w:val="21"/>
                      <w:szCs w:val="21"/>
                    </w:rPr>
                    <w:t>43.98</w:t>
                  </w:r>
                </w:p>
              </w:tc>
              <w:tc>
                <w:tcPr>
                  <w:tcW w:w="699" w:type="dxa"/>
                  <w:vAlign w:val="center"/>
                </w:tcPr>
                <w:p>
                  <w:pPr>
                    <w:jc w:val="center"/>
                    <w:rPr>
                      <w:kern w:val="0"/>
                      <w:sz w:val="21"/>
                      <w:szCs w:val="21"/>
                    </w:rPr>
                  </w:pPr>
                  <w:r>
                    <w:rPr>
                      <w:rFonts w:hint="eastAsia"/>
                      <w:kern w:val="0"/>
                      <w:sz w:val="21"/>
                      <w:szCs w:val="21"/>
                    </w:rPr>
                    <w:t>2</w:t>
                  </w:r>
                  <w:r>
                    <w:rPr>
                      <w:kern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9" w:type="dxa"/>
                  <w:tcMar>
                    <w:top w:w="12" w:type="dxa"/>
                    <w:left w:w="12" w:type="dxa"/>
                    <w:bottom w:w="0" w:type="dxa"/>
                    <w:right w:w="12" w:type="dxa"/>
                  </w:tcMar>
                  <w:vAlign w:val="center"/>
                </w:tcPr>
                <w:p>
                  <w:pPr>
                    <w:jc w:val="center"/>
                    <w:rPr>
                      <w:color w:val="0000F5"/>
                      <w:kern w:val="0"/>
                      <w:sz w:val="21"/>
                      <w:szCs w:val="21"/>
                    </w:rPr>
                  </w:pPr>
                  <w:r>
                    <w:rPr>
                      <w:rFonts w:hint="eastAsia"/>
                      <w:kern w:val="0"/>
                      <w:sz w:val="21"/>
                      <w:szCs w:val="21"/>
                    </w:rPr>
                    <w:t>厂房</w:t>
                  </w:r>
                </w:p>
              </w:tc>
              <w:tc>
                <w:tcPr>
                  <w:tcW w:w="651" w:type="dxa"/>
                  <w:vAlign w:val="center"/>
                </w:tcPr>
                <w:p>
                  <w:pPr>
                    <w:jc w:val="center"/>
                    <w:rPr>
                      <w:kern w:val="0"/>
                      <w:sz w:val="21"/>
                      <w:szCs w:val="21"/>
                    </w:rPr>
                  </w:pPr>
                  <w:r>
                    <w:rPr>
                      <w:kern w:val="0"/>
                      <w:sz w:val="21"/>
                      <w:szCs w:val="21"/>
                    </w:rPr>
                    <w:t>JQT轻质隔墙板机</w:t>
                  </w:r>
                </w:p>
              </w:tc>
              <w:tc>
                <w:tcPr>
                  <w:tcW w:w="916" w:type="dxa"/>
                  <w:vAlign w:val="center"/>
                </w:tcPr>
                <w:p>
                  <w:pPr>
                    <w:jc w:val="center"/>
                    <w:rPr>
                      <w:kern w:val="0"/>
                      <w:sz w:val="21"/>
                      <w:szCs w:val="21"/>
                    </w:rPr>
                  </w:pPr>
                  <w:r>
                    <w:rPr>
                      <w:rFonts w:hint="eastAsia"/>
                      <w:kern w:val="0"/>
                      <w:sz w:val="21"/>
                      <w:szCs w:val="21"/>
                    </w:rPr>
                    <w:t>70</w:t>
                  </w:r>
                </w:p>
              </w:tc>
              <w:tc>
                <w:tcPr>
                  <w:tcW w:w="513" w:type="dxa"/>
                  <w:vMerge w:val="continue"/>
                  <w:vAlign w:val="center"/>
                </w:tcPr>
                <w:p>
                  <w:pPr>
                    <w:jc w:val="center"/>
                    <w:rPr>
                      <w:bCs/>
                      <w:color w:val="0000F5"/>
                      <w:sz w:val="21"/>
                      <w:szCs w:val="21"/>
                    </w:rPr>
                  </w:pPr>
                </w:p>
              </w:tc>
              <w:tc>
                <w:tcPr>
                  <w:tcW w:w="501" w:type="dxa"/>
                  <w:vAlign w:val="center"/>
                </w:tcPr>
                <w:p>
                  <w:pPr>
                    <w:jc w:val="center"/>
                    <w:rPr>
                      <w:kern w:val="0"/>
                      <w:sz w:val="21"/>
                      <w:szCs w:val="21"/>
                    </w:rPr>
                  </w:pPr>
                  <w:r>
                    <w:rPr>
                      <w:kern w:val="0"/>
                      <w:sz w:val="21"/>
                      <w:szCs w:val="21"/>
                    </w:rPr>
                    <w:t>-6</w:t>
                  </w:r>
                </w:p>
              </w:tc>
              <w:tc>
                <w:tcPr>
                  <w:tcW w:w="499" w:type="dxa"/>
                  <w:vAlign w:val="center"/>
                </w:tcPr>
                <w:p>
                  <w:pPr>
                    <w:jc w:val="center"/>
                    <w:rPr>
                      <w:kern w:val="0"/>
                      <w:sz w:val="21"/>
                      <w:szCs w:val="21"/>
                    </w:rPr>
                  </w:pPr>
                  <w:r>
                    <w:rPr>
                      <w:kern w:val="0"/>
                      <w:sz w:val="21"/>
                      <w:szCs w:val="21"/>
                    </w:rPr>
                    <w:t>1</w:t>
                  </w:r>
                </w:p>
              </w:tc>
              <w:tc>
                <w:tcPr>
                  <w:tcW w:w="525" w:type="dxa"/>
                  <w:vAlign w:val="center"/>
                </w:tcPr>
                <w:p>
                  <w:pPr>
                    <w:jc w:val="center"/>
                    <w:rPr>
                      <w:kern w:val="0"/>
                      <w:sz w:val="21"/>
                      <w:szCs w:val="21"/>
                    </w:rPr>
                  </w:pPr>
                  <w:r>
                    <w:rPr>
                      <w:kern w:val="0"/>
                      <w:sz w:val="21"/>
                      <w:szCs w:val="21"/>
                    </w:rPr>
                    <w:t>1.5</w:t>
                  </w:r>
                </w:p>
              </w:tc>
              <w:tc>
                <w:tcPr>
                  <w:tcW w:w="577" w:type="dxa"/>
                  <w:vAlign w:val="center"/>
                </w:tcPr>
                <w:p>
                  <w:pPr>
                    <w:jc w:val="center"/>
                    <w:rPr>
                      <w:kern w:val="0"/>
                      <w:sz w:val="21"/>
                      <w:szCs w:val="21"/>
                    </w:rPr>
                  </w:pPr>
                  <w:r>
                    <w:rPr>
                      <w:kern w:val="0"/>
                      <w:sz w:val="21"/>
                      <w:szCs w:val="21"/>
                    </w:rPr>
                    <w:t>2</w:t>
                  </w:r>
                </w:p>
              </w:tc>
              <w:tc>
                <w:tcPr>
                  <w:tcW w:w="582" w:type="dxa"/>
                  <w:vAlign w:val="center"/>
                </w:tcPr>
                <w:p>
                  <w:pPr>
                    <w:jc w:val="center"/>
                    <w:rPr>
                      <w:kern w:val="0"/>
                      <w:sz w:val="21"/>
                      <w:szCs w:val="21"/>
                    </w:rPr>
                  </w:pPr>
                  <w:r>
                    <w:rPr>
                      <w:rFonts w:hint="eastAsia"/>
                      <w:kern w:val="0"/>
                      <w:sz w:val="21"/>
                      <w:szCs w:val="21"/>
                    </w:rPr>
                    <w:t>63.98</w:t>
                  </w:r>
                </w:p>
              </w:tc>
              <w:tc>
                <w:tcPr>
                  <w:tcW w:w="599" w:type="dxa"/>
                  <w:vAlign w:val="center"/>
                </w:tcPr>
                <w:p>
                  <w:pPr>
                    <w:jc w:val="center"/>
                    <w:rPr>
                      <w:bCs/>
                      <w:sz w:val="21"/>
                      <w:szCs w:val="21"/>
                    </w:rPr>
                  </w:pPr>
                  <w:r>
                    <w:rPr>
                      <w:rFonts w:hint="eastAsia"/>
                      <w:bCs/>
                      <w:sz w:val="21"/>
                      <w:szCs w:val="21"/>
                    </w:rPr>
                    <w:t>16h</w:t>
                  </w:r>
                </w:p>
              </w:tc>
              <w:tc>
                <w:tcPr>
                  <w:tcW w:w="602" w:type="dxa"/>
                  <w:vAlign w:val="center"/>
                </w:tcPr>
                <w:p>
                  <w:pPr>
                    <w:jc w:val="center"/>
                    <w:rPr>
                      <w:kern w:val="0"/>
                      <w:sz w:val="21"/>
                      <w:szCs w:val="21"/>
                    </w:rPr>
                  </w:pPr>
                  <w:r>
                    <w:rPr>
                      <w:rFonts w:hint="eastAsia"/>
                      <w:kern w:val="0"/>
                      <w:sz w:val="21"/>
                      <w:szCs w:val="21"/>
                    </w:rPr>
                    <w:t>20</w:t>
                  </w:r>
                </w:p>
              </w:tc>
              <w:tc>
                <w:tcPr>
                  <w:tcW w:w="615" w:type="dxa"/>
                  <w:vAlign w:val="center"/>
                </w:tcPr>
                <w:p>
                  <w:pPr>
                    <w:jc w:val="center"/>
                    <w:rPr>
                      <w:kern w:val="0"/>
                      <w:sz w:val="21"/>
                      <w:szCs w:val="21"/>
                    </w:rPr>
                  </w:pPr>
                  <w:r>
                    <w:rPr>
                      <w:rFonts w:hint="eastAsia"/>
                      <w:kern w:val="0"/>
                      <w:sz w:val="21"/>
                      <w:szCs w:val="21"/>
                    </w:rPr>
                    <w:t>43.98</w:t>
                  </w:r>
                </w:p>
              </w:tc>
              <w:tc>
                <w:tcPr>
                  <w:tcW w:w="699" w:type="dxa"/>
                  <w:vAlign w:val="center"/>
                </w:tcPr>
                <w:p>
                  <w:pPr>
                    <w:jc w:val="center"/>
                    <w:rPr>
                      <w:kern w:val="0"/>
                      <w:sz w:val="21"/>
                      <w:szCs w:val="21"/>
                    </w:rPr>
                  </w:pPr>
                  <w:r>
                    <w:rPr>
                      <w:rFonts w:hint="eastAsia"/>
                      <w:kern w:val="0"/>
                      <w:sz w:val="21"/>
                      <w:szCs w:val="21"/>
                    </w:rPr>
                    <w:t>2</w:t>
                  </w:r>
                  <w:r>
                    <w:rPr>
                      <w:kern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9" w:type="dxa"/>
                  <w:tcMar>
                    <w:top w:w="12" w:type="dxa"/>
                    <w:left w:w="12" w:type="dxa"/>
                    <w:bottom w:w="0" w:type="dxa"/>
                    <w:right w:w="12" w:type="dxa"/>
                  </w:tcMar>
                  <w:vAlign w:val="center"/>
                </w:tcPr>
                <w:p>
                  <w:pPr>
                    <w:jc w:val="center"/>
                    <w:rPr>
                      <w:color w:val="0000F5"/>
                      <w:kern w:val="0"/>
                      <w:sz w:val="21"/>
                      <w:szCs w:val="21"/>
                    </w:rPr>
                  </w:pPr>
                  <w:r>
                    <w:rPr>
                      <w:rFonts w:hint="eastAsia"/>
                      <w:kern w:val="0"/>
                      <w:sz w:val="21"/>
                      <w:szCs w:val="21"/>
                    </w:rPr>
                    <w:t>厂房</w:t>
                  </w:r>
                </w:p>
              </w:tc>
              <w:tc>
                <w:tcPr>
                  <w:tcW w:w="651" w:type="dxa"/>
                  <w:vAlign w:val="center"/>
                </w:tcPr>
                <w:p>
                  <w:pPr>
                    <w:jc w:val="center"/>
                    <w:rPr>
                      <w:sz w:val="21"/>
                      <w:szCs w:val="21"/>
                    </w:rPr>
                  </w:pPr>
                  <w:r>
                    <w:rPr>
                      <w:kern w:val="0"/>
                      <w:sz w:val="21"/>
                      <w:szCs w:val="21"/>
                    </w:rPr>
                    <w:t>JQT轻质隔墙板机</w:t>
                  </w:r>
                </w:p>
              </w:tc>
              <w:tc>
                <w:tcPr>
                  <w:tcW w:w="916" w:type="dxa"/>
                  <w:vAlign w:val="center"/>
                </w:tcPr>
                <w:p>
                  <w:pPr>
                    <w:jc w:val="center"/>
                    <w:rPr>
                      <w:kern w:val="0"/>
                      <w:sz w:val="21"/>
                      <w:szCs w:val="21"/>
                    </w:rPr>
                  </w:pPr>
                  <w:r>
                    <w:rPr>
                      <w:rFonts w:hint="eastAsia"/>
                      <w:kern w:val="0"/>
                      <w:sz w:val="21"/>
                      <w:szCs w:val="21"/>
                    </w:rPr>
                    <w:t>70</w:t>
                  </w:r>
                </w:p>
              </w:tc>
              <w:tc>
                <w:tcPr>
                  <w:tcW w:w="513" w:type="dxa"/>
                  <w:vMerge w:val="continue"/>
                  <w:vAlign w:val="center"/>
                </w:tcPr>
                <w:p>
                  <w:pPr>
                    <w:jc w:val="center"/>
                    <w:rPr>
                      <w:bCs/>
                      <w:color w:val="0000F5"/>
                      <w:sz w:val="21"/>
                      <w:szCs w:val="21"/>
                    </w:rPr>
                  </w:pPr>
                </w:p>
              </w:tc>
              <w:tc>
                <w:tcPr>
                  <w:tcW w:w="501" w:type="dxa"/>
                  <w:vAlign w:val="center"/>
                </w:tcPr>
                <w:p>
                  <w:pPr>
                    <w:jc w:val="center"/>
                    <w:rPr>
                      <w:kern w:val="0"/>
                      <w:sz w:val="21"/>
                      <w:szCs w:val="21"/>
                    </w:rPr>
                  </w:pPr>
                  <w:r>
                    <w:rPr>
                      <w:kern w:val="0"/>
                      <w:sz w:val="21"/>
                      <w:szCs w:val="21"/>
                    </w:rPr>
                    <w:t>-6</w:t>
                  </w:r>
                </w:p>
              </w:tc>
              <w:tc>
                <w:tcPr>
                  <w:tcW w:w="499" w:type="dxa"/>
                  <w:vAlign w:val="center"/>
                </w:tcPr>
                <w:p>
                  <w:pPr>
                    <w:jc w:val="center"/>
                    <w:rPr>
                      <w:kern w:val="0"/>
                      <w:sz w:val="21"/>
                      <w:szCs w:val="21"/>
                    </w:rPr>
                  </w:pPr>
                  <w:r>
                    <w:rPr>
                      <w:kern w:val="0"/>
                      <w:sz w:val="21"/>
                      <w:szCs w:val="21"/>
                    </w:rPr>
                    <w:t>5</w:t>
                  </w:r>
                </w:p>
              </w:tc>
              <w:tc>
                <w:tcPr>
                  <w:tcW w:w="525" w:type="dxa"/>
                  <w:vAlign w:val="center"/>
                </w:tcPr>
                <w:p>
                  <w:pPr>
                    <w:jc w:val="center"/>
                    <w:rPr>
                      <w:kern w:val="0"/>
                      <w:sz w:val="21"/>
                      <w:szCs w:val="21"/>
                    </w:rPr>
                  </w:pPr>
                  <w:r>
                    <w:rPr>
                      <w:kern w:val="0"/>
                      <w:sz w:val="21"/>
                      <w:szCs w:val="21"/>
                    </w:rPr>
                    <w:t>1.5</w:t>
                  </w:r>
                </w:p>
              </w:tc>
              <w:tc>
                <w:tcPr>
                  <w:tcW w:w="577" w:type="dxa"/>
                  <w:vAlign w:val="center"/>
                </w:tcPr>
                <w:p>
                  <w:pPr>
                    <w:jc w:val="center"/>
                    <w:rPr>
                      <w:kern w:val="0"/>
                      <w:sz w:val="21"/>
                      <w:szCs w:val="21"/>
                    </w:rPr>
                  </w:pPr>
                  <w:r>
                    <w:rPr>
                      <w:kern w:val="0"/>
                      <w:sz w:val="21"/>
                      <w:szCs w:val="21"/>
                    </w:rPr>
                    <w:t>2</w:t>
                  </w:r>
                </w:p>
              </w:tc>
              <w:tc>
                <w:tcPr>
                  <w:tcW w:w="582" w:type="dxa"/>
                  <w:vAlign w:val="center"/>
                </w:tcPr>
                <w:p>
                  <w:pPr>
                    <w:jc w:val="center"/>
                    <w:rPr>
                      <w:kern w:val="0"/>
                      <w:sz w:val="21"/>
                      <w:szCs w:val="21"/>
                    </w:rPr>
                  </w:pPr>
                  <w:r>
                    <w:rPr>
                      <w:rFonts w:hint="eastAsia"/>
                      <w:kern w:val="0"/>
                      <w:sz w:val="21"/>
                      <w:szCs w:val="21"/>
                    </w:rPr>
                    <w:t>63.98</w:t>
                  </w:r>
                </w:p>
              </w:tc>
              <w:tc>
                <w:tcPr>
                  <w:tcW w:w="599" w:type="dxa"/>
                  <w:vAlign w:val="center"/>
                </w:tcPr>
                <w:p>
                  <w:pPr>
                    <w:jc w:val="center"/>
                    <w:rPr>
                      <w:bCs/>
                      <w:sz w:val="21"/>
                      <w:szCs w:val="21"/>
                    </w:rPr>
                  </w:pPr>
                  <w:r>
                    <w:rPr>
                      <w:rFonts w:hint="eastAsia"/>
                      <w:bCs/>
                      <w:sz w:val="21"/>
                      <w:szCs w:val="21"/>
                    </w:rPr>
                    <w:t>16h</w:t>
                  </w:r>
                </w:p>
              </w:tc>
              <w:tc>
                <w:tcPr>
                  <w:tcW w:w="602" w:type="dxa"/>
                  <w:vAlign w:val="center"/>
                </w:tcPr>
                <w:p>
                  <w:pPr>
                    <w:jc w:val="center"/>
                    <w:rPr>
                      <w:kern w:val="0"/>
                      <w:sz w:val="21"/>
                      <w:szCs w:val="21"/>
                    </w:rPr>
                  </w:pPr>
                  <w:r>
                    <w:rPr>
                      <w:rFonts w:hint="eastAsia"/>
                      <w:kern w:val="0"/>
                      <w:sz w:val="21"/>
                      <w:szCs w:val="21"/>
                    </w:rPr>
                    <w:t>20</w:t>
                  </w:r>
                </w:p>
              </w:tc>
              <w:tc>
                <w:tcPr>
                  <w:tcW w:w="615" w:type="dxa"/>
                  <w:vAlign w:val="center"/>
                </w:tcPr>
                <w:p>
                  <w:pPr>
                    <w:jc w:val="center"/>
                    <w:rPr>
                      <w:kern w:val="0"/>
                      <w:sz w:val="21"/>
                      <w:szCs w:val="21"/>
                    </w:rPr>
                  </w:pPr>
                  <w:r>
                    <w:rPr>
                      <w:rFonts w:hint="eastAsia"/>
                      <w:kern w:val="0"/>
                      <w:sz w:val="21"/>
                      <w:szCs w:val="21"/>
                    </w:rPr>
                    <w:t>43.98</w:t>
                  </w:r>
                </w:p>
              </w:tc>
              <w:tc>
                <w:tcPr>
                  <w:tcW w:w="699" w:type="dxa"/>
                  <w:vAlign w:val="center"/>
                </w:tcPr>
                <w:p>
                  <w:pPr>
                    <w:jc w:val="center"/>
                    <w:rPr>
                      <w:kern w:val="0"/>
                      <w:sz w:val="21"/>
                      <w:szCs w:val="21"/>
                    </w:rPr>
                  </w:pPr>
                  <w:r>
                    <w:rPr>
                      <w:rFonts w:hint="eastAsia"/>
                      <w:kern w:val="0"/>
                      <w:sz w:val="21"/>
                      <w:szCs w:val="21"/>
                    </w:rPr>
                    <w:t>2</w:t>
                  </w:r>
                  <w:r>
                    <w:rPr>
                      <w:kern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9" w:type="dxa"/>
                  <w:tcMar>
                    <w:top w:w="12" w:type="dxa"/>
                    <w:left w:w="12" w:type="dxa"/>
                    <w:bottom w:w="0" w:type="dxa"/>
                    <w:right w:w="12" w:type="dxa"/>
                  </w:tcMar>
                  <w:vAlign w:val="center"/>
                </w:tcPr>
                <w:p>
                  <w:pPr>
                    <w:jc w:val="center"/>
                    <w:rPr>
                      <w:color w:val="0000F5"/>
                      <w:kern w:val="0"/>
                      <w:sz w:val="21"/>
                      <w:szCs w:val="21"/>
                    </w:rPr>
                  </w:pPr>
                  <w:r>
                    <w:rPr>
                      <w:rFonts w:hint="eastAsia"/>
                      <w:kern w:val="0"/>
                      <w:sz w:val="21"/>
                      <w:szCs w:val="21"/>
                    </w:rPr>
                    <w:t>厂房</w:t>
                  </w:r>
                </w:p>
              </w:tc>
              <w:tc>
                <w:tcPr>
                  <w:tcW w:w="651" w:type="dxa"/>
                  <w:vAlign w:val="center"/>
                </w:tcPr>
                <w:p>
                  <w:pPr>
                    <w:jc w:val="center"/>
                    <w:rPr>
                      <w:kern w:val="0"/>
                      <w:sz w:val="21"/>
                      <w:szCs w:val="21"/>
                    </w:rPr>
                  </w:pPr>
                  <w:r>
                    <w:rPr>
                      <w:kern w:val="0"/>
                      <w:sz w:val="21"/>
                      <w:szCs w:val="21"/>
                    </w:rPr>
                    <w:t>JQT轻质隔墙板机</w:t>
                  </w:r>
                </w:p>
              </w:tc>
              <w:tc>
                <w:tcPr>
                  <w:tcW w:w="916" w:type="dxa"/>
                  <w:vAlign w:val="center"/>
                </w:tcPr>
                <w:p>
                  <w:pPr>
                    <w:jc w:val="center"/>
                    <w:rPr>
                      <w:kern w:val="0"/>
                      <w:sz w:val="21"/>
                      <w:szCs w:val="21"/>
                    </w:rPr>
                  </w:pPr>
                  <w:r>
                    <w:rPr>
                      <w:rFonts w:hint="eastAsia"/>
                      <w:kern w:val="0"/>
                      <w:sz w:val="21"/>
                      <w:szCs w:val="21"/>
                    </w:rPr>
                    <w:t>70</w:t>
                  </w:r>
                </w:p>
              </w:tc>
              <w:tc>
                <w:tcPr>
                  <w:tcW w:w="513" w:type="dxa"/>
                  <w:vMerge w:val="continue"/>
                  <w:vAlign w:val="center"/>
                </w:tcPr>
                <w:p>
                  <w:pPr>
                    <w:jc w:val="center"/>
                    <w:rPr>
                      <w:bCs/>
                      <w:color w:val="0000F5"/>
                      <w:sz w:val="21"/>
                      <w:szCs w:val="21"/>
                    </w:rPr>
                  </w:pPr>
                </w:p>
              </w:tc>
              <w:tc>
                <w:tcPr>
                  <w:tcW w:w="501" w:type="dxa"/>
                  <w:vAlign w:val="center"/>
                </w:tcPr>
                <w:p>
                  <w:pPr>
                    <w:jc w:val="center"/>
                    <w:rPr>
                      <w:kern w:val="0"/>
                      <w:sz w:val="21"/>
                      <w:szCs w:val="21"/>
                    </w:rPr>
                  </w:pPr>
                  <w:r>
                    <w:rPr>
                      <w:kern w:val="0"/>
                      <w:sz w:val="21"/>
                      <w:szCs w:val="21"/>
                    </w:rPr>
                    <w:t>-6</w:t>
                  </w:r>
                </w:p>
              </w:tc>
              <w:tc>
                <w:tcPr>
                  <w:tcW w:w="499" w:type="dxa"/>
                  <w:vAlign w:val="center"/>
                </w:tcPr>
                <w:p>
                  <w:pPr>
                    <w:jc w:val="center"/>
                    <w:rPr>
                      <w:kern w:val="0"/>
                      <w:sz w:val="21"/>
                      <w:szCs w:val="21"/>
                    </w:rPr>
                  </w:pPr>
                  <w:r>
                    <w:rPr>
                      <w:kern w:val="0"/>
                      <w:sz w:val="21"/>
                      <w:szCs w:val="21"/>
                    </w:rPr>
                    <w:t>3</w:t>
                  </w:r>
                </w:p>
              </w:tc>
              <w:tc>
                <w:tcPr>
                  <w:tcW w:w="525" w:type="dxa"/>
                  <w:vAlign w:val="center"/>
                </w:tcPr>
                <w:p>
                  <w:pPr>
                    <w:jc w:val="center"/>
                    <w:rPr>
                      <w:kern w:val="0"/>
                      <w:sz w:val="21"/>
                      <w:szCs w:val="21"/>
                    </w:rPr>
                  </w:pPr>
                  <w:r>
                    <w:rPr>
                      <w:kern w:val="0"/>
                      <w:sz w:val="21"/>
                      <w:szCs w:val="21"/>
                    </w:rPr>
                    <w:t>1.5</w:t>
                  </w:r>
                </w:p>
              </w:tc>
              <w:tc>
                <w:tcPr>
                  <w:tcW w:w="577" w:type="dxa"/>
                  <w:vAlign w:val="center"/>
                </w:tcPr>
                <w:p>
                  <w:pPr>
                    <w:jc w:val="center"/>
                    <w:rPr>
                      <w:kern w:val="0"/>
                      <w:sz w:val="21"/>
                      <w:szCs w:val="21"/>
                    </w:rPr>
                  </w:pPr>
                  <w:r>
                    <w:rPr>
                      <w:kern w:val="0"/>
                      <w:sz w:val="21"/>
                      <w:szCs w:val="21"/>
                    </w:rPr>
                    <w:t>2</w:t>
                  </w:r>
                </w:p>
              </w:tc>
              <w:tc>
                <w:tcPr>
                  <w:tcW w:w="582" w:type="dxa"/>
                  <w:vAlign w:val="center"/>
                </w:tcPr>
                <w:p>
                  <w:pPr>
                    <w:jc w:val="center"/>
                    <w:rPr>
                      <w:kern w:val="0"/>
                      <w:sz w:val="21"/>
                      <w:szCs w:val="21"/>
                    </w:rPr>
                  </w:pPr>
                  <w:r>
                    <w:rPr>
                      <w:rFonts w:hint="eastAsia"/>
                      <w:kern w:val="0"/>
                      <w:sz w:val="21"/>
                      <w:szCs w:val="21"/>
                    </w:rPr>
                    <w:t>63.98</w:t>
                  </w:r>
                </w:p>
              </w:tc>
              <w:tc>
                <w:tcPr>
                  <w:tcW w:w="599" w:type="dxa"/>
                  <w:vAlign w:val="center"/>
                </w:tcPr>
                <w:p>
                  <w:pPr>
                    <w:jc w:val="center"/>
                    <w:rPr>
                      <w:bCs/>
                      <w:sz w:val="21"/>
                      <w:szCs w:val="21"/>
                    </w:rPr>
                  </w:pPr>
                  <w:r>
                    <w:rPr>
                      <w:rFonts w:hint="eastAsia"/>
                      <w:bCs/>
                      <w:sz w:val="21"/>
                      <w:szCs w:val="21"/>
                    </w:rPr>
                    <w:t>16h</w:t>
                  </w:r>
                </w:p>
              </w:tc>
              <w:tc>
                <w:tcPr>
                  <w:tcW w:w="602" w:type="dxa"/>
                  <w:vAlign w:val="center"/>
                </w:tcPr>
                <w:p>
                  <w:pPr>
                    <w:jc w:val="center"/>
                    <w:rPr>
                      <w:kern w:val="0"/>
                      <w:sz w:val="21"/>
                      <w:szCs w:val="21"/>
                    </w:rPr>
                  </w:pPr>
                  <w:r>
                    <w:rPr>
                      <w:rFonts w:hint="eastAsia"/>
                      <w:kern w:val="0"/>
                      <w:sz w:val="21"/>
                      <w:szCs w:val="21"/>
                    </w:rPr>
                    <w:t>20</w:t>
                  </w:r>
                </w:p>
              </w:tc>
              <w:tc>
                <w:tcPr>
                  <w:tcW w:w="615" w:type="dxa"/>
                  <w:vAlign w:val="center"/>
                </w:tcPr>
                <w:p>
                  <w:pPr>
                    <w:jc w:val="center"/>
                    <w:rPr>
                      <w:kern w:val="0"/>
                      <w:sz w:val="21"/>
                      <w:szCs w:val="21"/>
                    </w:rPr>
                  </w:pPr>
                  <w:r>
                    <w:rPr>
                      <w:rFonts w:hint="eastAsia"/>
                      <w:kern w:val="0"/>
                      <w:sz w:val="21"/>
                      <w:szCs w:val="21"/>
                    </w:rPr>
                    <w:t>43.98</w:t>
                  </w:r>
                </w:p>
              </w:tc>
              <w:tc>
                <w:tcPr>
                  <w:tcW w:w="699" w:type="dxa"/>
                  <w:vAlign w:val="center"/>
                </w:tcPr>
                <w:p>
                  <w:pPr>
                    <w:jc w:val="center"/>
                    <w:rPr>
                      <w:kern w:val="0"/>
                      <w:sz w:val="21"/>
                      <w:szCs w:val="21"/>
                    </w:rPr>
                  </w:pPr>
                  <w:r>
                    <w:rPr>
                      <w:rFonts w:hint="eastAsia"/>
                      <w:kern w:val="0"/>
                      <w:sz w:val="21"/>
                      <w:szCs w:val="21"/>
                    </w:rPr>
                    <w:t>2</w:t>
                  </w:r>
                  <w:r>
                    <w:rPr>
                      <w:kern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9" w:type="dxa"/>
                  <w:vAlign w:val="center"/>
                </w:tcPr>
                <w:p>
                  <w:pPr>
                    <w:jc w:val="center"/>
                    <w:rPr>
                      <w:color w:val="0000F5"/>
                      <w:kern w:val="0"/>
                      <w:sz w:val="21"/>
                      <w:szCs w:val="21"/>
                    </w:rPr>
                  </w:pPr>
                  <w:r>
                    <w:rPr>
                      <w:rFonts w:hint="eastAsia"/>
                      <w:kern w:val="0"/>
                      <w:sz w:val="21"/>
                      <w:szCs w:val="21"/>
                    </w:rPr>
                    <w:t>厂房</w:t>
                  </w:r>
                </w:p>
              </w:tc>
              <w:tc>
                <w:tcPr>
                  <w:tcW w:w="651" w:type="dxa"/>
                  <w:vAlign w:val="center"/>
                </w:tcPr>
                <w:p>
                  <w:pPr>
                    <w:jc w:val="center"/>
                    <w:rPr>
                      <w:kern w:val="0"/>
                      <w:sz w:val="21"/>
                      <w:szCs w:val="21"/>
                    </w:rPr>
                  </w:pPr>
                  <w:r>
                    <w:rPr>
                      <w:kern w:val="0"/>
                      <w:sz w:val="21"/>
                      <w:szCs w:val="21"/>
                    </w:rPr>
                    <w:t>JQT轻质隔墙板机</w:t>
                  </w:r>
                </w:p>
              </w:tc>
              <w:tc>
                <w:tcPr>
                  <w:tcW w:w="916" w:type="dxa"/>
                  <w:vAlign w:val="center"/>
                </w:tcPr>
                <w:p>
                  <w:pPr>
                    <w:jc w:val="center"/>
                    <w:rPr>
                      <w:kern w:val="0"/>
                      <w:sz w:val="21"/>
                      <w:szCs w:val="21"/>
                    </w:rPr>
                  </w:pPr>
                  <w:r>
                    <w:rPr>
                      <w:rFonts w:hint="eastAsia"/>
                      <w:kern w:val="0"/>
                      <w:sz w:val="21"/>
                      <w:szCs w:val="21"/>
                    </w:rPr>
                    <w:t>70</w:t>
                  </w:r>
                </w:p>
              </w:tc>
              <w:tc>
                <w:tcPr>
                  <w:tcW w:w="513" w:type="dxa"/>
                  <w:vMerge w:val="continue"/>
                  <w:vAlign w:val="center"/>
                </w:tcPr>
                <w:p>
                  <w:pPr>
                    <w:jc w:val="center"/>
                    <w:rPr>
                      <w:kern w:val="0"/>
                      <w:sz w:val="21"/>
                      <w:szCs w:val="21"/>
                    </w:rPr>
                  </w:pPr>
                </w:p>
              </w:tc>
              <w:tc>
                <w:tcPr>
                  <w:tcW w:w="501" w:type="dxa"/>
                  <w:vAlign w:val="center"/>
                </w:tcPr>
                <w:p>
                  <w:pPr>
                    <w:jc w:val="center"/>
                    <w:rPr>
                      <w:kern w:val="0"/>
                      <w:sz w:val="21"/>
                      <w:szCs w:val="21"/>
                    </w:rPr>
                  </w:pPr>
                  <w:r>
                    <w:rPr>
                      <w:rFonts w:hint="eastAsia"/>
                      <w:kern w:val="0"/>
                      <w:sz w:val="21"/>
                      <w:szCs w:val="21"/>
                    </w:rPr>
                    <w:t>-20</w:t>
                  </w:r>
                </w:p>
              </w:tc>
              <w:tc>
                <w:tcPr>
                  <w:tcW w:w="499" w:type="dxa"/>
                  <w:vAlign w:val="center"/>
                </w:tcPr>
                <w:p>
                  <w:pPr>
                    <w:jc w:val="center"/>
                    <w:rPr>
                      <w:kern w:val="0"/>
                      <w:sz w:val="21"/>
                      <w:szCs w:val="21"/>
                    </w:rPr>
                  </w:pPr>
                  <w:r>
                    <w:rPr>
                      <w:rFonts w:hint="eastAsia"/>
                      <w:kern w:val="0"/>
                      <w:sz w:val="21"/>
                      <w:szCs w:val="21"/>
                    </w:rPr>
                    <w:t>-15</w:t>
                  </w:r>
                </w:p>
              </w:tc>
              <w:tc>
                <w:tcPr>
                  <w:tcW w:w="525" w:type="dxa"/>
                  <w:vAlign w:val="center"/>
                </w:tcPr>
                <w:p>
                  <w:pPr>
                    <w:jc w:val="center"/>
                    <w:rPr>
                      <w:kern w:val="0"/>
                      <w:sz w:val="21"/>
                      <w:szCs w:val="21"/>
                    </w:rPr>
                  </w:pPr>
                  <w:r>
                    <w:rPr>
                      <w:rFonts w:hint="eastAsia"/>
                      <w:kern w:val="0"/>
                      <w:sz w:val="21"/>
                      <w:szCs w:val="21"/>
                    </w:rPr>
                    <w:t>13.7</w:t>
                  </w:r>
                </w:p>
              </w:tc>
              <w:tc>
                <w:tcPr>
                  <w:tcW w:w="577" w:type="dxa"/>
                  <w:vAlign w:val="center"/>
                </w:tcPr>
                <w:p>
                  <w:pPr>
                    <w:jc w:val="center"/>
                    <w:rPr>
                      <w:kern w:val="0"/>
                      <w:sz w:val="21"/>
                      <w:szCs w:val="21"/>
                    </w:rPr>
                  </w:pPr>
                  <w:r>
                    <w:rPr>
                      <w:rFonts w:hint="eastAsia"/>
                      <w:kern w:val="0"/>
                      <w:sz w:val="21"/>
                      <w:szCs w:val="21"/>
                    </w:rPr>
                    <w:t>2</w:t>
                  </w:r>
                </w:p>
              </w:tc>
              <w:tc>
                <w:tcPr>
                  <w:tcW w:w="582" w:type="dxa"/>
                  <w:vAlign w:val="center"/>
                </w:tcPr>
                <w:p>
                  <w:pPr>
                    <w:jc w:val="center"/>
                    <w:rPr>
                      <w:kern w:val="0"/>
                      <w:sz w:val="21"/>
                      <w:szCs w:val="21"/>
                    </w:rPr>
                  </w:pPr>
                  <w:r>
                    <w:rPr>
                      <w:rFonts w:hint="eastAsia"/>
                      <w:kern w:val="0"/>
                      <w:sz w:val="21"/>
                      <w:szCs w:val="21"/>
                    </w:rPr>
                    <w:t>63.98</w:t>
                  </w:r>
                </w:p>
              </w:tc>
              <w:tc>
                <w:tcPr>
                  <w:tcW w:w="599" w:type="dxa"/>
                  <w:vAlign w:val="center"/>
                </w:tcPr>
                <w:p>
                  <w:pPr>
                    <w:jc w:val="center"/>
                    <w:rPr>
                      <w:bCs/>
                      <w:sz w:val="21"/>
                      <w:szCs w:val="21"/>
                    </w:rPr>
                  </w:pPr>
                  <w:r>
                    <w:rPr>
                      <w:rFonts w:hint="eastAsia"/>
                      <w:bCs/>
                      <w:sz w:val="21"/>
                      <w:szCs w:val="21"/>
                    </w:rPr>
                    <w:t>16h</w:t>
                  </w:r>
                </w:p>
              </w:tc>
              <w:tc>
                <w:tcPr>
                  <w:tcW w:w="602" w:type="dxa"/>
                  <w:vAlign w:val="center"/>
                </w:tcPr>
                <w:p>
                  <w:pPr>
                    <w:jc w:val="center"/>
                    <w:rPr>
                      <w:kern w:val="0"/>
                      <w:sz w:val="21"/>
                      <w:szCs w:val="21"/>
                    </w:rPr>
                  </w:pPr>
                  <w:r>
                    <w:rPr>
                      <w:rFonts w:hint="eastAsia"/>
                      <w:kern w:val="0"/>
                      <w:sz w:val="21"/>
                      <w:szCs w:val="21"/>
                    </w:rPr>
                    <w:t>20</w:t>
                  </w:r>
                </w:p>
              </w:tc>
              <w:tc>
                <w:tcPr>
                  <w:tcW w:w="615" w:type="dxa"/>
                  <w:vAlign w:val="center"/>
                </w:tcPr>
                <w:p>
                  <w:pPr>
                    <w:jc w:val="center"/>
                    <w:rPr>
                      <w:kern w:val="0"/>
                      <w:sz w:val="21"/>
                      <w:szCs w:val="21"/>
                    </w:rPr>
                  </w:pPr>
                  <w:r>
                    <w:rPr>
                      <w:rFonts w:hint="eastAsia"/>
                      <w:kern w:val="0"/>
                      <w:sz w:val="21"/>
                      <w:szCs w:val="21"/>
                    </w:rPr>
                    <w:t>43.98</w:t>
                  </w:r>
                </w:p>
              </w:tc>
              <w:tc>
                <w:tcPr>
                  <w:tcW w:w="699" w:type="dxa"/>
                  <w:vAlign w:val="center"/>
                </w:tcPr>
                <w:p>
                  <w:pPr>
                    <w:jc w:val="center"/>
                    <w:rPr>
                      <w:kern w:val="0"/>
                      <w:sz w:val="21"/>
                      <w:szCs w:val="21"/>
                    </w:rPr>
                  </w:pPr>
                  <w:r>
                    <w:rPr>
                      <w:rFonts w:hint="eastAsia"/>
                      <w:kern w:val="0"/>
                      <w:sz w:val="21"/>
                      <w:szCs w:val="21"/>
                    </w:rPr>
                    <w:t>2</w:t>
                  </w:r>
                  <w:r>
                    <w:rPr>
                      <w:kern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9" w:type="dxa"/>
                  <w:vAlign w:val="center"/>
                </w:tcPr>
                <w:p>
                  <w:pPr>
                    <w:jc w:val="center"/>
                    <w:rPr>
                      <w:color w:val="0000F5"/>
                      <w:kern w:val="0"/>
                      <w:sz w:val="21"/>
                      <w:szCs w:val="21"/>
                    </w:rPr>
                  </w:pPr>
                  <w:r>
                    <w:rPr>
                      <w:rFonts w:hint="eastAsia"/>
                      <w:kern w:val="0"/>
                      <w:sz w:val="21"/>
                      <w:szCs w:val="21"/>
                    </w:rPr>
                    <w:t>厂房</w:t>
                  </w:r>
                </w:p>
              </w:tc>
              <w:tc>
                <w:tcPr>
                  <w:tcW w:w="651" w:type="dxa"/>
                  <w:vAlign w:val="center"/>
                </w:tcPr>
                <w:p>
                  <w:pPr>
                    <w:jc w:val="center"/>
                    <w:rPr>
                      <w:kern w:val="0"/>
                      <w:sz w:val="21"/>
                      <w:szCs w:val="21"/>
                    </w:rPr>
                  </w:pPr>
                  <w:r>
                    <w:rPr>
                      <w:kern w:val="0"/>
                      <w:sz w:val="21"/>
                      <w:szCs w:val="21"/>
                    </w:rPr>
                    <w:t>JQT轻质隔墙板机</w:t>
                  </w:r>
                </w:p>
              </w:tc>
              <w:tc>
                <w:tcPr>
                  <w:tcW w:w="916" w:type="dxa"/>
                  <w:vAlign w:val="center"/>
                </w:tcPr>
                <w:p>
                  <w:pPr>
                    <w:jc w:val="center"/>
                    <w:rPr>
                      <w:kern w:val="0"/>
                      <w:sz w:val="21"/>
                      <w:szCs w:val="21"/>
                    </w:rPr>
                  </w:pPr>
                  <w:r>
                    <w:rPr>
                      <w:rFonts w:hint="eastAsia"/>
                      <w:kern w:val="0"/>
                      <w:sz w:val="21"/>
                      <w:szCs w:val="21"/>
                    </w:rPr>
                    <w:t>70</w:t>
                  </w:r>
                </w:p>
              </w:tc>
              <w:tc>
                <w:tcPr>
                  <w:tcW w:w="513" w:type="dxa"/>
                  <w:vMerge w:val="continue"/>
                  <w:vAlign w:val="center"/>
                </w:tcPr>
                <w:p>
                  <w:pPr>
                    <w:jc w:val="center"/>
                    <w:rPr>
                      <w:kern w:val="0"/>
                      <w:sz w:val="21"/>
                      <w:szCs w:val="21"/>
                    </w:rPr>
                  </w:pPr>
                </w:p>
              </w:tc>
              <w:tc>
                <w:tcPr>
                  <w:tcW w:w="501" w:type="dxa"/>
                  <w:vAlign w:val="center"/>
                </w:tcPr>
                <w:p>
                  <w:pPr>
                    <w:jc w:val="center"/>
                    <w:rPr>
                      <w:kern w:val="0"/>
                      <w:sz w:val="21"/>
                      <w:szCs w:val="21"/>
                    </w:rPr>
                  </w:pPr>
                  <w:r>
                    <w:rPr>
                      <w:rFonts w:hint="eastAsia"/>
                      <w:kern w:val="0"/>
                      <w:sz w:val="21"/>
                      <w:szCs w:val="21"/>
                    </w:rPr>
                    <w:t>-20</w:t>
                  </w:r>
                </w:p>
              </w:tc>
              <w:tc>
                <w:tcPr>
                  <w:tcW w:w="499" w:type="dxa"/>
                  <w:vAlign w:val="center"/>
                </w:tcPr>
                <w:p>
                  <w:pPr>
                    <w:jc w:val="center"/>
                    <w:rPr>
                      <w:kern w:val="0"/>
                      <w:sz w:val="21"/>
                      <w:szCs w:val="21"/>
                    </w:rPr>
                  </w:pPr>
                  <w:r>
                    <w:rPr>
                      <w:rFonts w:hint="eastAsia"/>
                      <w:kern w:val="0"/>
                      <w:sz w:val="21"/>
                      <w:szCs w:val="21"/>
                    </w:rPr>
                    <w:t>-15</w:t>
                  </w:r>
                </w:p>
              </w:tc>
              <w:tc>
                <w:tcPr>
                  <w:tcW w:w="525" w:type="dxa"/>
                  <w:vAlign w:val="center"/>
                </w:tcPr>
                <w:p>
                  <w:pPr>
                    <w:jc w:val="center"/>
                    <w:rPr>
                      <w:kern w:val="0"/>
                      <w:sz w:val="21"/>
                      <w:szCs w:val="21"/>
                    </w:rPr>
                  </w:pPr>
                  <w:r>
                    <w:rPr>
                      <w:rFonts w:hint="eastAsia"/>
                      <w:kern w:val="0"/>
                      <w:sz w:val="21"/>
                      <w:szCs w:val="21"/>
                    </w:rPr>
                    <w:t>13.7</w:t>
                  </w:r>
                </w:p>
              </w:tc>
              <w:tc>
                <w:tcPr>
                  <w:tcW w:w="577" w:type="dxa"/>
                  <w:vAlign w:val="center"/>
                </w:tcPr>
                <w:p>
                  <w:pPr>
                    <w:jc w:val="center"/>
                    <w:rPr>
                      <w:kern w:val="0"/>
                      <w:sz w:val="21"/>
                      <w:szCs w:val="21"/>
                    </w:rPr>
                  </w:pPr>
                  <w:r>
                    <w:rPr>
                      <w:rFonts w:hint="eastAsia"/>
                      <w:kern w:val="0"/>
                      <w:sz w:val="21"/>
                      <w:szCs w:val="21"/>
                    </w:rPr>
                    <w:t>2</w:t>
                  </w:r>
                </w:p>
              </w:tc>
              <w:tc>
                <w:tcPr>
                  <w:tcW w:w="582" w:type="dxa"/>
                  <w:vAlign w:val="center"/>
                </w:tcPr>
                <w:p>
                  <w:pPr>
                    <w:jc w:val="center"/>
                    <w:rPr>
                      <w:kern w:val="0"/>
                      <w:sz w:val="21"/>
                      <w:szCs w:val="21"/>
                    </w:rPr>
                  </w:pPr>
                  <w:r>
                    <w:rPr>
                      <w:rFonts w:hint="eastAsia"/>
                      <w:kern w:val="0"/>
                      <w:sz w:val="21"/>
                      <w:szCs w:val="21"/>
                    </w:rPr>
                    <w:t>63.98</w:t>
                  </w:r>
                </w:p>
              </w:tc>
              <w:tc>
                <w:tcPr>
                  <w:tcW w:w="599" w:type="dxa"/>
                  <w:vAlign w:val="center"/>
                </w:tcPr>
                <w:p>
                  <w:pPr>
                    <w:jc w:val="center"/>
                    <w:rPr>
                      <w:bCs/>
                      <w:sz w:val="21"/>
                      <w:szCs w:val="21"/>
                    </w:rPr>
                  </w:pPr>
                  <w:r>
                    <w:rPr>
                      <w:rFonts w:hint="eastAsia"/>
                      <w:bCs/>
                      <w:sz w:val="21"/>
                      <w:szCs w:val="21"/>
                    </w:rPr>
                    <w:t>16h</w:t>
                  </w:r>
                </w:p>
              </w:tc>
              <w:tc>
                <w:tcPr>
                  <w:tcW w:w="602" w:type="dxa"/>
                  <w:vAlign w:val="center"/>
                </w:tcPr>
                <w:p>
                  <w:pPr>
                    <w:jc w:val="center"/>
                    <w:rPr>
                      <w:kern w:val="0"/>
                      <w:sz w:val="21"/>
                      <w:szCs w:val="21"/>
                    </w:rPr>
                  </w:pPr>
                  <w:r>
                    <w:rPr>
                      <w:rFonts w:hint="eastAsia"/>
                      <w:kern w:val="0"/>
                      <w:sz w:val="21"/>
                      <w:szCs w:val="21"/>
                    </w:rPr>
                    <w:t>20</w:t>
                  </w:r>
                </w:p>
              </w:tc>
              <w:tc>
                <w:tcPr>
                  <w:tcW w:w="615" w:type="dxa"/>
                  <w:vAlign w:val="center"/>
                </w:tcPr>
                <w:p>
                  <w:pPr>
                    <w:jc w:val="center"/>
                    <w:rPr>
                      <w:kern w:val="0"/>
                      <w:sz w:val="21"/>
                      <w:szCs w:val="21"/>
                    </w:rPr>
                  </w:pPr>
                  <w:r>
                    <w:rPr>
                      <w:rFonts w:hint="eastAsia"/>
                      <w:kern w:val="0"/>
                      <w:sz w:val="21"/>
                      <w:szCs w:val="21"/>
                    </w:rPr>
                    <w:t>43.98</w:t>
                  </w:r>
                </w:p>
              </w:tc>
              <w:tc>
                <w:tcPr>
                  <w:tcW w:w="699" w:type="dxa"/>
                  <w:vAlign w:val="center"/>
                </w:tcPr>
                <w:p>
                  <w:pPr>
                    <w:jc w:val="center"/>
                    <w:rPr>
                      <w:kern w:val="0"/>
                      <w:sz w:val="21"/>
                      <w:szCs w:val="21"/>
                    </w:rPr>
                  </w:pPr>
                  <w:r>
                    <w:rPr>
                      <w:rFonts w:hint="eastAsia"/>
                      <w:kern w:val="0"/>
                      <w:sz w:val="21"/>
                      <w:szCs w:val="21"/>
                    </w:rPr>
                    <w:t>2</w:t>
                  </w:r>
                  <w:r>
                    <w:rPr>
                      <w:kern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9" w:type="dxa"/>
                  <w:vAlign w:val="center"/>
                </w:tcPr>
                <w:p>
                  <w:pPr>
                    <w:jc w:val="center"/>
                    <w:rPr>
                      <w:color w:val="0000F5"/>
                      <w:kern w:val="0"/>
                      <w:sz w:val="21"/>
                      <w:szCs w:val="21"/>
                    </w:rPr>
                  </w:pPr>
                  <w:r>
                    <w:rPr>
                      <w:rFonts w:hint="eastAsia"/>
                      <w:kern w:val="0"/>
                      <w:sz w:val="21"/>
                      <w:szCs w:val="21"/>
                    </w:rPr>
                    <w:t>厂房</w:t>
                  </w:r>
                </w:p>
              </w:tc>
              <w:tc>
                <w:tcPr>
                  <w:tcW w:w="651" w:type="dxa"/>
                  <w:vAlign w:val="center"/>
                </w:tcPr>
                <w:p>
                  <w:pPr>
                    <w:jc w:val="center"/>
                    <w:rPr>
                      <w:kern w:val="0"/>
                      <w:sz w:val="21"/>
                      <w:szCs w:val="21"/>
                    </w:rPr>
                  </w:pPr>
                  <w:r>
                    <w:rPr>
                      <w:kern w:val="0"/>
                      <w:sz w:val="21"/>
                      <w:szCs w:val="21"/>
                    </w:rPr>
                    <w:t>JQT轻质隔墙板机</w:t>
                  </w:r>
                </w:p>
              </w:tc>
              <w:tc>
                <w:tcPr>
                  <w:tcW w:w="916" w:type="dxa"/>
                  <w:vAlign w:val="center"/>
                </w:tcPr>
                <w:p>
                  <w:pPr>
                    <w:jc w:val="center"/>
                    <w:rPr>
                      <w:kern w:val="0"/>
                      <w:sz w:val="21"/>
                      <w:szCs w:val="21"/>
                    </w:rPr>
                  </w:pPr>
                  <w:r>
                    <w:rPr>
                      <w:rFonts w:hint="eastAsia"/>
                      <w:kern w:val="0"/>
                      <w:sz w:val="21"/>
                      <w:szCs w:val="21"/>
                    </w:rPr>
                    <w:t>60</w:t>
                  </w:r>
                </w:p>
              </w:tc>
              <w:tc>
                <w:tcPr>
                  <w:tcW w:w="513" w:type="dxa"/>
                  <w:vMerge w:val="continue"/>
                  <w:vAlign w:val="center"/>
                </w:tcPr>
                <w:p>
                  <w:pPr>
                    <w:jc w:val="center"/>
                    <w:rPr>
                      <w:bCs/>
                      <w:color w:val="0000F5"/>
                      <w:sz w:val="21"/>
                      <w:szCs w:val="21"/>
                    </w:rPr>
                  </w:pPr>
                </w:p>
              </w:tc>
              <w:tc>
                <w:tcPr>
                  <w:tcW w:w="501" w:type="dxa"/>
                  <w:vAlign w:val="center"/>
                </w:tcPr>
                <w:p>
                  <w:pPr>
                    <w:jc w:val="center"/>
                    <w:rPr>
                      <w:kern w:val="0"/>
                      <w:sz w:val="21"/>
                      <w:szCs w:val="21"/>
                    </w:rPr>
                  </w:pPr>
                  <w:r>
                    <w:rPr>
                      <w:kern w:val="0"/>
                      <w:sz w:val="21"/>
                      <w:szCs w:val="21"/>
                    </w:rPr>
                    <w:t>-6</w:t>
                  </w:r>
                </w:p>
              </w:tc>
              <w:tc>
                <w:tcPr>
                  <w:tcW w:w="499" w:type="dxa"/>
                  <w:vAlign w:val="center"/>
                </w:tcPr>
                <w:p>
                  <w:pPr>
                    <w:jc w:val="center"/>
                    <w:rPr>
                      <w:kern w:val="0"/>
                      <w:sz w:val="21"/>
                      <w:szCs w:val="21"/>
                    </w:rPr>
                  </w:pPr>
                  <w:r>
                    <w:rPr>
                      <w:kern w:val="0"/>
                      <w:sz w:val="21"/>
                      <w:szCs w:val="21"/>
                    </w:rPr>
                    <w:t>4</w:t>
                  </w:r>
                </w:p>
              </w:tc>
              <w:tc>
                <w:tcPr>
                  <w:tcW w:w="525" w:type="dxa"/>
                  <w:vAlign w:val="center"/>
                </w:tcPr>
                <w:p>
                  <w:pPr>
                    <w:jc w:val="center"/>
                    <w:rPr>
                      <w:kern w:val="0"/>
                      <w:sz w:val="21"/>
                      <w:szCs w:val="21"/>
                    </w:rPr>
                  </w:pPr>
                  <w:r>
                    <w:rPr>
                      <w:kern w:val="0"/>
                      <w:sz w:val="21"/>
                      <w:szCs w:val="21"/>
                    </w:rPr>
                    <w:t>1.5</w:t>
                  </w:r>
                </w:p>
              </w:tc>
              <w:tc>
                <w:tcPr>
                  <w:tcW w:w="577" w:type="dxa"/>
                  <w:vAlign w:val="center"/>
                </w:tcPr>
                <w:p>
                  <w:pPr>
                    <w:jc w:val="center"/>
                    <w:rPr>
                      <w:kern w:val="0"/>
                      <w:sz w:val="21"/>
                      <w:szCs w:val="21"/>
                    </w:rPr>
                  </w:pPr>
                  <w:r>
                    <w:rPr>
                      <w:kern w:val="0"/>
                      <w:sz w:val="21"/>
                      <w:szCs w:val="21"/>
                    </w:rPr>
                    <w:t>2</w:t>
                  </w:r>
                </w:p>
              </w:tc>
              <w:tc>
                <w:tcPr>
                  <w:tcW w:w="582" w:type="dxa"/>
                  <w:vAlign w:val="center"/>
                </w:tcPr>
                <w:p>
                  <w:pPr>
                    <w:jc w:val="center"/>
                    <w:rPr>
                      <w:kern w:val="0"/>
                      <w:sz w:val="21"/>
                      <w:szCs w:val="21"/>
                    </w:rPr>
                  </w:pPr>
                  <w:r>
                    <w:rPr>
                      <w:rFonts w:hint="eastAsia"/>
                      <w:kern w:val="0"/>
                      <w:sz w:val="21"/>
                      <w:szCs w:val="21"/>
                    </w:rPr>
                    <w:t>63.98</w:t>
                  </w:r>
                </w:p>
              </w:tc>
              <w:tc>
                <w:tcPr>
                  <w:tcW w:w="599" w:type="dxa"/>
                  <w:vAlign w:val="center"/>
                </w:tcPr>
                <w:p>
                  <w:pPr>
                    <w:jc w:val="center"/>
                    <w:rPr>
                      <w:bCs/>
                      <w:sz w:val="21"/>
                      <w:szCs w:val="21"/>
                    </w:rPr>
                  </w:pPr>
                  <w:r>
                    <w:rPr>
                      <w:rFonts w:hint="eastAsia"/>
                      <w:bCs/>
                      <w:sz w:val="21"/>
                      <w:szCs w:val="21"/>
                    </w:rPr>
                    <w:t>16h</w:t>
                  </w:r>
                </w:p>
              </w:tc>
              <w:tc>
                <w:tcPr>
                  <w:tcW w:w="602" w:type="dxa"/>
                  <w:vAlign w:val="center"/>
                </w:tcPr>
                <w:p>
                  <w:pPr>
                    <w:jc w:val="center"/>
                    <w:rPr>
                      <w:kern w:val="0"/>
                      <w:sz w:val="21"/>
                      <w:szCs w:val="21"/>
                    </w:rPr>
                  </w:pPr>
                  <w:r>
                    <w:rPr>
                      <w:rFonts w:hint="eastAsia"/>
                      <w:kern w:val="0"/>
                      <w:sz w:val="21"/>
                      <w:szCs w:val="21"/>
                    </w:rPr>
                    <w:t>20</w:t>
                  </w:r>
                </w:p>
              </w:tc>
              <w:tc>
                <w:tcPr>
                  <w:tcW w:w="615" w:type="dxa"/>
                  <w:vAlign w:val="center"/>
                </w:tcPr>
                <w:p>
                  <w:pPr>
                    <w:jc w:val="center"/>
                    <w:rPr>
                      <w:kern w:val="0"/>
                      <w:sz w:val="21"/>
                      <w:szCs w:val="21"/>
                    </w:rPr>
                  </w:pPr>
                  <w:r>
                    <w:rPr>
                      <w:rFonts w:hint="eastAsia"/>
                      <w:kern w:val="0"/>
                      <w:sz w:val="21"/>
                      <w:szCs w:val="21"/>
                    </w:rPr>
                    <w:t>43.98</w:t>
                  </w:r>
                </w:p>
              </w:tc>
              <w:tc>
                <w:tcPr>
                  <w:tcW w:w="699" w:type="dxa"/>
                  <w:vAlign w:val="center"/>
                </w:tcPr>
                <w:p>
                  <w:pPr>
                    <w:jc w:val="center"/>
                    <w:rPr>
                      <w:kern w:val="0"/>
                      <w:sz w:val="21"/>
                      <w:szCs w:val="21"/>
                    </w:rPr>
                  </w:pPr>
                  <w:r>
                    <w:rPr>
                      <w:rFonts w:hint="eastAsia"/>
                      <w:kern w:val="0"/>
                      <w:sz w:val="21"/>
                      <w:szCs w:val="21"/>
                    </w:rPr>
                    <w:t>2</w:t>
                  </w:r>
                  <w:r>
                    <w:rPr>
                      <w:kern w:val="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89" w:type="dxa"/>
                  <w:vAlign w:val="center"/>
                </w:tcPr>
                <w:p>
                  <w:pPr>
                    <w:jc w:val="center"/>
                    <w:rPr>
                      <w:color w:val="0000F5"/>
                      <w:kern w:val="0"/>
                      <w:sz w:val="21"/>
                      <w:szCs w:val="21"/>
                    </w:rPr>
                  </w:pPr>
                  <w:r>
                    <w:rPr>
                      <w:rFonts w:hint="eastAsia"/>
                      <w:kern w:val="0"/>
                      <w:sz w:val="21"/>
                      <w:szCs w:val="21"/>
                    </w:rPr>
                    <w:t>厂房</w:t>
                  </w:r>
                </w:p>
              </w:tc>
              <w:tc>
                <w:tcPr>
                  <w:tcW w:w="651" w:type="dxa"/>
                  <w:vAlign w:val="center"/>
                </w:tcPr>
                <w:p>
                  <w:pPr>
                    <w:widowControl/>
                    <w:autoSpaceDE w:val="0"/>
                    <w:autoSpaceDN w:val="0"/>
                    <w:adjustRightInd w:val="0"/>
                    <w:snapToGrid w:val="0"/>
                    <w:jc w:val="center"/>
                    <w:textAlignment w:val="bottom"/>
                    <w:rPr>
                      <w:sz w:val="21"/>
                      <w:szCs w:val="21"/>
                    </w:rPr>
                  </w:pPr>
                  <w:r>
                    <w:rPr>
                      <w:kern w:val="0"/>
                      <w:sz w:val="21"/>
                      <w:szCs w:val="21"/>
                    </w:rPr>
                    <w:t>切割机</w:t>
                  </w:r>
                </w:p>
              </w:tc>
              <w:tc>
                <w:tcPr>
                  <w:tcW w:w="916" w:type="dxa"/>
                  <w:vAlign w:val="center"/>
                </w:tcPr>
                <w:p>
                  <w:pPr>
                    <w:jc w:val="center"/>
                    <w:rPr>
                      <w:kern w:val="0"/>
                      <w:sz w:val="21"/>
                      <w:szCs w:val="21"/>
                    </w:rPr>
                  </w:pPr>
                  <w:r>
                    <w:rPr>
                      <w:kern w:val="0"/>
                      <w:sz w:val="21"/>
                      <w:szCs w:val="21"/>
                    </w:rPr>
                    <w:t>75</w:t>
                  </w:r>
                </w:p>
              </w:tc>
              <w:tc>
                <w:tcPr>
                  <w:tcW w:w="513" w:type="dxa"/>
                  <w:vMerge w:val="continue"/>
                  <w:vAlign w:val="center"/>
                </w:tcPr>
                <w:p>
                  <w:pPr>
                    <w:jc w:val="center"/>
                    <w:rPr>
                      <w:bCs/>
                      <w:color w:val="0000F5"/>
                      <w:sz w:val="21"/>
                      <w:szCs w:val="21"/>
                    </w:rPr>
                  </w:pPr>
                </w:p>
              </w:tc>
              <w:tc>
                <w:tcPr>
                  <w:tcW w:w="501" w:type="dxa"/>
                  <w:vAlign w:val="center"/>
                </w:tcPr>
                <w:p>
                  <w:pPr>
                    <w:jc w:val="center"/>
                    <w:rPr>
                      <w:kern w:val="0"/>
                      <w:sz w:val="21"/>
                      <w:szCs w:val="21"/>
                    </w:rPr>
                  </w:pPr>
                  <w:r>
                    <w:rPr>
                      <w:kern w:val="0"/>
                      <w:sz w:val="21"/>
                      <w:szCs w:val="21"/>
                    </w:rPr>
                    <w:t>-6</w:t>
                  </w:r>
                </w:p>
              </w:tc>
              <w:tc>
                <w:tcPr>
                  <w:tcW w:w="499" w:type="dxa"/>
                  <w:vAlign w:val="center"/>
                </w:tcPr>
                <w:p>
                  <w:pPr>
                    <w:jc w:val="center"/>
                    <w:rPr>
                      <w:kern w:val="0"/>
                      <w:sz w:val="21"/>
                      <w:szCs w:val="21"/>
                    </w:rPr>
                  </w:pPr>
                  <w:r>
                    <w:rPr>
                      <w:kern w:val="0"/>
                      <w:sz w:val="21"/>
                      <w:szCs w:val="21"/>
                    </w:rPr>
                    <w:t>5</w:t>
                  </w:r>
                </w:p>
              </w:tc>
              <w:tc>
                <w:tcPr>
                  <w:tcW w:w="525" w:type="dxa"/>
                  <w:vAlign w:val="center"/>
                </w:tcPr>
                <w:p>
                  <w:pPr>
                    <w:jc w:val="center"/>
                    <w:rPr>
                      <w:kern w:val="0"/>
                      <w:sz w:val="21"/>
                      <w:szCs w:val="21"/>
                    </w:rPr>
                  </w:pPr>
                  <w:r>
                    <w:rPr>
                      <w:kern w:val="0"/>
                      <w:sz w:val="21"/>
                      <w:szCs w:val="21"/>
                    </w:rPr>
                    <w:t>1.5</w:t>
                  </w:r>
                </w:p>
              </w:tc>
              <w:tc>
                <w:tcPr>
                  <w:tcW w:w="577" w:type="dxa"/>
                  <w:vAlign w:val="center"/>
                </w:tcPr>
                <w:p>
                  <w:pPr>
                    <w:jc w:val="center"/>
                    <w:rPr>
                      <w:kern w:val="0"/>
                      <w:sz w:val="21"/>
                      <w:szCs w:val="21"/>
                    </w:rPr>
                  </w:pPr>
                  <w:r>
                    <w:rPr>
                      <w:kern w:val="0"/>
                      <w:sz w:val="21"/>
                      <w:szCs w:val="21"/>
                    </w:rPr>
                    <w:t>2</w:t>
                  </w:r>
                </w:p>
              </w:tc>
              <w:tc>
                <w:tcPr>
                  <w:tcW w:w="582" w:type="dxa"/>
                  <w:vAlign w:val="center"/>
                </w:tcPr>
                <w:p>
                  <w:pPr>
                    <w:jc w:val="center"/>
                    <w:rPr>
                      <w:kern w:val="0"/>
                      <w:sz w:val="21"/>
                      <w:szCs w:val="21"/>
                    </w:rPr>
                  </w:pPr>
                  <w:r>
                    <w:rPr>
                      <w:kern w:val="0"/>
                      <w:sz w:val="21"/>
                      <w:szCs w:val="21"/>
                    </w:rPr>
                    <w:t>68.98</w:t>
                  </w:r>
                </w:p>
              </w:tc>
              <w:tc>
                <w:tcPr>
                  <w:tcW w:w="599" w:type="dxa"/>
                  <w:vAlign w:val="center"/>
                </w:tcPr>
                <w:p>
                  <w:pPr>
                    <w:jc w:val="center"/>
                    <w:rPr>
                      <w:bCs/>
                      <w:sz w:val="21"/>
                      <w:szCs w:val="21"/>
                    </w:rPr>
                  </w:pPr>
                  <w:r>
                    <w:rPr>
                      <w:rFonts w:hint="eastAsia"/>
                      <w:bCs/>
                      <w:sz w:val="21"/>
                      <w:szCs w:val="21"/>
                    </w:rPr>
                    <w:t>16h</w:t>
                  </w:r>
                </w:p>
              </w:tc>
              <w:tc>
                <w:tcPr>
                  <w:tcW w:w="602" w:type="dxa"/>
                  <w:vAlign w:val="center"/>
                </w:tcPr>
                <w:p>
                  <w:pPr>
                    <w:jc w:val="center"/>
                    <w:rPr>
                      <w:kern w:val="0"/>
                      <w:sz w:val="21"/>
                      <w:szCs w:val="21"/>
                    </w:rPr>
                  </w:pPr>
                  <w:r>
                    <w:rPr>
                      <w:kern w:val="0"/>
                      <w:sz w:val="21"/>
                      <w:szCs w:val="21"/>
                    </w:rPr>
                    <w:t>20</w:t>
                  </w:r>
                </w:p>
              </w:tc>
              <w:tc>
                <w:tcPr>
                  <w:tcW w:w="615" w:type="dxa"/>
                  <w:vAlign w:val="center"/>
                </w:tcPr>
                <w:p>
                  <w:pPr>
                    <w:jc w:val="center"/>
                    <w:rPr>
                      <w:kern w:val="0"/>
                      <w:sz w:val="21"/>
                      <w:szCs w:val="21"/>
                    </w:rPr>
                  </w:pPr>
                  <w:r>
                    <w:rPr>
                      <w:kern w:val="0"/>
                      <w:sz w:val="21"/>
                      <w:szCs w:val="21"/>
                    </w:rPr>
                    <w:t>48.98</w:t>
                  </w:r>
                </w:p>
              </w:tc>
              <w:tc>
                <w:tcPr>
                  <w:tcW w:w="699" w:type="dxa"/>
                  <w:vAlign w:val="center"/>
                </w:tcPr>
                <w:p>
                  <w:pPr>
                    <w:jc w:val="center"/>
                    <w:rPr>
                      <w:kern w:val="0"/>
                      <w:sz w:val="21"/>
                      <w:szCs w:val="21"/>
                    </w:rPr>
                  </w:pPr>
                  <w:r>
                    <w:rPr>
                      <w:rFonts w:hint="eastAsia"/>
                      <w:kern w:val="0"/>
                      <w:sz w:val="21"/>
                      <w:szCs w:val="21"/>
                    </w:rPr>
                    <w:t>2</w:t>
                  </w:r>
                  <w:r>
                    <w:rPr>
                      <w:kern w:val="0"/>
                      <w:sz w:val="21"/>
                      <w:szCs w:val="21"/>
                    </w:rPr>
                    <w:t>m</w:t>
                  </w:r>
                </w:p>
              </w:tc>
            </w:tr>
          </w:tbl>
          <w:p>
            <w:pPr>
              <w:keepNext/>
              <w:keepLines/>
              <w:adjustRightInd w:val="0"/>
              <w:snapToGrid w:val="0"/>
              <w:spacing w:line="360" w:lineRule="auto"/>
              <w:outlineLvl w:val="3"/>
              <w:rPr>
                <w:b/>
                <w:bCs/>
                <w:kern w:val="0"/>
                <w:lang w:bidi="ar"/>
              </w:rPr>
            </w:pPr>
            <w:r>
              <w:rPr>
                <w:rFonts w:hint="eastAsia" w:ascii="宋体" w:hAnsi="宋体" w:cs="宋体"/>
                <w:bCs/>
                <w:sz w:val="21"/>
                <w:szCs w:val="21"/>
              </w:rPr>
              <w:t>注</w:t>
            </w:r>
            <w:r>
              <w:rPr>
                <w:bCs/>
                <w:sz w:val="21"/>
                <w:szCs w:val="21"/>
              </w:rPr>
              <w:t>：项目以厂区中心点为坐标原点，正东为X轴，正北为Y轴</w:t>
            </w:r>
            <w:r>
              <w:rPr>
                <w:rFonts w:hint="eastAsia"/>
                <w:bCs/>
                <w:sz w:val="21"/>
                <w:szCs w:val="21"/>
              </w:rPr>
              <w:t>，高度</w:t>
            </w:r>
            <w:r>
              <w:rPr>
                <w:bCs/>
                <w:sz w:val="21"/>
                <w:szCs w:val="21"/>
              </w:rPr>
              <w:t>为</w:t>
            </w:r>
            <w:r>
              <w:rPr>
                <w:rFonts w:hint="eastAsia"/>
                <w:bCs/>
                <w:sz w:val="21"/>
                <w:szCs w:val="21"/>
              </w:rPr>
              <w:t>Z</w:t>
            </w:r>
            <w:r>
              <w:rPr>
                <w:bCs/>
                <w:sz w:val="21"/>
                <w:szCs w:val="21"/>
              </w:rPr>
              <w:t>轴</w:t>
            </w:r>
          </w:p>
          <w:p>
            <w:pPr>
              <w:spacing w:line="360" w:lineRule="auto"/>
              <w:ind w:firstLine="480" w:firstLineChars="200"/>
              <w:rPr>
                <w:color w:val="000000"/>
                <w:kern w:val="0"/>
                <w:lang w:bidi="ar"/>
              </w:rPr>
            </w:pPr>
            <w:r>
              <w:rPr>
                <w:color w:val="000000"/>
                <w:kern w:val="0"/>
                <w:lang w:bidi="ar"/>
              </w:rPr>
              <w:t>2、厂界和环境保护目标达标情况分析</w:t>
            </w:r>
          </w:p>
          <w:p>
            <w:pPr>
              <w:adjustRightInd w:val="0"/>
              <w:snapToGrid w:val="0"/>
              <w:spacing w:line="360" w:lineRule="auto"/>
              <w:ind w:firstLine="480" w:firstLineChars="200"/>
              <w:rPr>
                <w:bCs/>
                <w:color w:val="000000"/>
              </w:rPr>
            </w:pPr>
            <w:r>
              <w:rPr>
                <w:bCs/>
                <w:color w:val="000000"/>
              </w:rPr>
              <w:t>根据项目的噪声排放特点，结合《环境影响评价技术导则</w:t>
            </w:r>
            <w:r>
              <w:rPr>
                <w:rFonts w:hint="eastAsia"/>
                <w:bCs/>
                <w:color w:val="000000"/>
              </w:rPr>
              <w:t xml:space="preserve"> </w:t>
            </w:r>
            <w:r>
              <w:rPr>
                <w:bCs/>
                <w:color w:val="000000"/>
              </w:rPr>
              <w:t>声环境》（HJ2.4-20</w:t>
            </w:r>
            <w:r>
              <w:rPr>
                <w:rFonts w:hint="eastAsia"/>
                <w:bCs/>
                <w:color w:val="000000"/>
              </w:rPr>
              <w:t>21</w:t>
            </w:r>
            <w:r>
              <w:rPr>
                <w:bCs/>
                <w:color w:val="000000"/>
              </w:rPr>
              <w:t>）《环境影响评价技术导则</w:t>
            </w:r>
            <w:r>
              <w:rPr>
                <w:rFonts w:hint="eastAsia"/>
                <w:bCs/>
                <w:color w:val="000000"/>
              </w:rPr>
              <w:t xml:space="preserve"> </w:t>
            </w:r>
            <w:r>
              <w:rPr>
                <w:bCs/>
                <w:color w:val="000000"/>
              </w:rPr>
              <w:t>声环境》（HJ2.4-20</w:t>
            </w:r>
            <w:r>
              <w:rPr>
                <w:rFonts w:hint="eastAsia"/>
                <w:bCs/>
                <w:color w:val="000000"/>
              </w:rPr>
              <w:t>21</w:t>
            </w:r>
            <w:r>
              <w:rPr>
                <w:bCs/>
                <w:color w:val="000000"/>
              </w:rPr>
              <w:t>）的要求，</w:t>
            </w:r>
            <w:r>
              <w:rPr>
                <w:rFonts w:hint="eastAsia"/>
                <w:bCs/>
                <w:color w:val="000000"/>
              </w:rPr>
              <w:t>室内声源</w:t>
            </w:r>
            <w:r>
              <w:rPr>
                <w:bCs/>
                <w:color w:val="000000"/>
              </w:rPr>
              <w:t>预测模式采用“</w:t>
            </w:r>
            <w:r>
              <w:rPr>
                <w:rFonts w:hint="eastAsia"/>
                <w:bCs/>
                <w:color w:val="000000"/>
              </w:rPr>
              <w:t>附录B.1</w:t>
            </w:r>
            <w:r>
              <w:rPr>
                <w:bCs/>
                <w:color w:val="000000"/>
              </w:rPr>
              <w:t xml:space="preserve"> 工业噪声预测</w:t>
            </w:r>
            <w:r>
              <w:rPr>
                <w:rFonts w:hint="eastAsia"/>
                <w:bCs/>
                <w:color w:val="000000"/>
              </w:rPr>
              <w:t>计算模型</w:t>
            </w:r>
            <w:r>
              <w:rPr>
                <w:bCs/>
                <w:color w:val="000000"/>
              </w:rPr>
              <w:t>”计算模式</w:t>
            </w:r>
            <w:r>
              <w:rPr>
                <w:rFonts w:hint="eastAsia"/>
                <w:bCs/>
                <w:color w:val="000000"/>
              </w:rPr>
              <w:t>，室外声源</w:t>
            </w:r>
            <w:r>
              <w:rPr>
                <w:bCs/>
                <w:color w:val="000000"/>
              </w:rPr>
              <w:t>预测模式采用“</w:t>
            </w:r>
            <w:r>
              <w:rPr>
                <w:rFonts w:hint="eastAsia"/>
                <w:bCs/>
                <w:color w:val="000000"/>
              </w:rPr>
              <w:t>附录A</w:t>
            </w:r>
            <w:r>
              <w:rPr>
                <w:bCs/>
                <w:color w:val="000000"/>
              </w:rPr>
              <w:t xml:space="preserve"> </w:t>
            </w:r>
            <w:r>
              <w:rPr>
                <w:rFonts w:hint="eastAsia"/>
                <w:bCs/>
                <w:color w:val="000000"/>
              </w:rPr>
              <w:t>户外声传播的衰减</w:t>
            </w:r>
            <w:r>
              <w:rPr>
                <w:bCs/>
                <w:color w:val="000000"/>
              </w:rPr>
              <w:t>”</w:t>
            </w:r>
            <w:r>
              <w:rPr>
                <w:rFonts w:hint="eastAsia"/>
                <w:bCs/>
                <w:color w:val="000000"/>
              </w:rPr>
              <w:t>户外声传播衰减的工程法</w:t>
            </w:r>
            <w:r>
              <w:rPr>
                <w:bCs/>
                <w:color w:val="000000"/>
              </w:rPr>
              <w:t>。根据项目噪声源的特征，主要噪声源到接受点的距</w:t>
            </w:r>
            <w:r>
              <w:rPr>
                <w:rFonts w:hint="eastAsia"/>
                <w:bCs/>
                <w:color w:val="000000"/>
              </w:rPr>
              <w:t>、</w:t>
            </w:r>
            <w:r>
              <w:rPr>
                <w:bCs/>
                <w:color w:val="000000"/>
              </w:rPr>
              <w:t>超过噪声源最大几何尺寸的2倍，各噪声源可近似作为点声源处理。</w:t>
            </w:r>
          </w:p>
          <w:p>
            <w:pPr>
              <w:spacing w:line="360" w:lineRule="auto"/>
              <w:ind w:firstLine="480" w:firstLineChars="200"/>
              <w:rPr>
                <w:color w:val="000000"/>
                <w:kern w:val="0"/>
                <w:lang w:bidi="ar"/>
              </w:rPr>
            </w:pPr>
            <w:r>
              <w:rPr>
                <w:color w:val="000000"/>
                <w:kern w:val="0"/>
                <w:lang w:bidi="ar"/>
              </w:rPr>
              <w:t>（1）室外声源</w:t>
            </w:r>
          </w:p>
          <w:p>
            <w:pPr>
              <w:widowControl/>
              <w:spacing w:line="360" w:lineRule="auto"/>
              <w:ind w:firstLine="480" w:firstLineChars="200"/>
              <w:jc w:val="left"/>
              <w:rPr>
                <w:color w:val="000000"/>
                <w:kern w:val="0"/>
                <w:lang w:bidi="ar"/>
              </w:rPr>
            </w:pPr>
            <w:r>
              <w:rPr>
                <w:color w:val="000000"/>
                <w:kern w:val="0"/>
                <w:lang w:bidi="ar"/>
              </w:rPr>
              <w:t>已知靠近声源某一参考位置处的声级时，单个室外的点声源在预测点产生的声级贡献值计算基本公式为：</w:t>
            </w:r>
          </w:p>
          <w:p>
            <w:pPr>
              <w:widowControl/>
              <w:spacing w:line="360" w:lineRule="auto"/>
              <w:jc w:val="center"/>
            </w:pPr>
            <w:r>
              <w:rPr>
                <w:i/>
                <w:iCs/>
                <w:color w:val="000000"/>
                <w:kern w:val="0"/>
                <w:lang w:bidi="ar"/>
              </w:rPr>
              <w:t>Lp</w:t>
            </w:r>
            <w:r>
              <w:rPr>
                <w:color w:val="000000"/>
                <w:kern w:val="0"/>
                <w:lang w:bidi="ar"/>
              </w:rPr>
              <w:t>(</w:t>
            </w:r>
            <w:r>
              <w:rPr>
                <w:i/>
                <w:iCs/>
                <w:color w:val="000000"/>
                <w:kern w:val="0"/>
                <w:lang w:bidi="ar"/>
              </w:rPr>
              <w:t>r</w:t>
            </w:r>
            <w:r>
              <w:rPr>
                <w:color w:val="000000"/>
                <w:kern w:val="0"/>
                <w:lang w:bidi="ar"/>
              </w:rPr>
              <w:t>)＝</w:t>
            </w:r>
            <w:r>
              <w:rPr>
                <w:i/>
                <w:iCs/>
                <w:color w:val="000000"/>
                <w:kern w:val="0"/>
                <w:lang w:bidi="ar"/>
              </w:rPr>
              <w:t>Lw</w:t>
            </w:r>
            <w:r>
              <w:rPr>
                <w:color w:val="000000"/>
                <w:kern w:val="0"/>
                <w:lang w:bidi="ar"/>
              </w:rPr>
              <w:t>+</w:t>
            </w:r>
            <w:r>
              <w:rPr>
                <w:i/>
                <w:iCs/>
                <w:color w:val="000000"/>
                <w:kern w:val="0"/>
                <w:lang w:bidi="ar"/>
              </w:rPr>
              <w:t>D</w:t>
            </w:r>
            <w:r>
              <w:rPr>
                <w:color w:val="000000"/>
                <w:kern w:val="0"/>
                <w:vertAlign w:val="subscript"/>
                <w:lang w:bidi="ar"/>
              </w:rPr>
              <w:t>C</w:t>
            </w:r>
            <w:r>
              <w:rPr>
                <w:color w:val="000000"/>
                <w:kern w:val="0"/>
                <w:lang w:bidi="ar"/>
              </w:rPr>
              <w:t>－(</w:t>
            </w:r>
            <w:r>
              <w:rPr>
                <w:i/>
                <w:iCs/>
                <w:color w:val="000000"/>
                <w:kern w:val="0"/>
                <w:lang w:bidi="ar"/>
              </w:rPr>
              <w:t>A</w:t>
            </w:r>
            <w:r>
              <w:rPr>
                <w:color w:val="000000"/>
                <w:kern w:val="0"/>
                <w:lang w:bidi="ar"/>
              </w:rPr>
              <w:t>div＋</w:t>
            </w:r>
            <w:r>
              <w:rPr>
                <w:i/>
                <w:iCs/>
                <w:color w:val="000000"/>
                <w:kern w:val="0"/>
                <w:lang w:bidi="ar"/>
              </w:rPr>
              <w:t>A</w:t>
            </w:r>
            <w:r>
              <w:rPr>
                <w:color w:val="000000"/>
                <w:kern w:val="0"/>
                <w:lang w:bidi="ar"/>
              </w:rPr>
              <w:t>atm＋</w:t>
            </w:r>
            <w:r>
              <w:rPr>
                <w:i/>
                <w:iCs/>
                <w:color w:val="000000"/>
                <w:kern w:val="0"/>
                <w:lang w:bidi="ar"/>
              </w:rPr>
              <w:t>A</w:t>
            </w:r>
            <w:r>
              <w:rPr>
                <w:color w:val="000000"/>
                <w:kern w:val="0"/>
                <w:lang w:bidi="ar"/>
              </w:rPr>
              <w:t>gr＋</w:t>
            </w:r>
            <w:r>
              <w:rPr>
                <w:i/>
                <w:iCs/>
                <w:color w:val="000000"/>
                <w:kern w:val="0"/>
                <w:lang w:bidi="ar"/>
              </w:rPr>
              <w:t>A</w:t>
            </w:r>
            <w:r>
              <w:rPr>
                <w:color w:val="000000"/>
                <w:kern w:val="0"/>
                <w:lang w:bidi="ar"/>
              </w:rPr>
              <w:t>bar＋</w:t>
            </w:r>
            <w:r>
              <w:rPr>
                <w:i/>
                <w:iCs/>
                <w:color w:val="000000"/>
                <w:kern w:val="0"/>
                <w:lang w:bidi="ar"/>
              </w:rPr>
              <w:t>A</w:t>
            </w:r>
            <w:r>
              <w:rPr>
                <w:color w:val="000000"/>
                <w:kern w:val="0"/>
                <w:lang w:bidi="ar"/>
              </w:rPr>
              <w:t>misc)</w:t>
            </w:r>
          </w:p>
          <w:p>
            <w:pPr>
              <w:widowControl/>
              <w:spacing w:line="360" w:lineRule="auto"/>
              <w:ind w:firstLine="480" w:firstLineChars="200"/>
              <w:jc w:val="left"/>
            </w:pPr>
            <w:r>
              <w:rPr>
                <w:color w:val="000000"/>
                <w:kern w:val="0"/>
                <w:lang w:bidi="ar"/>
              </w:rPr>
              <w:t>式中：</w:t>
            </w:r>
            <w:r>
              <w:rPr>
                <w:i/>
                <w:iCs/>
                <w:color w:val="000000"/>
                <w:kern w:val="0"/>
                <w:lang w:bidi="ar"/>
              </w:rPr>
              <w:t>Lp</w:t>
            </w:r>
            <w:r>
              <w:rPr>
                <w:color w:val="000000"/>
                <w:kern w:val="0"/>
                <w:lang w:bidi="ar"/>
              </w:rPr>
              <w:t>(</w:t>
            </w:r>
            <w:r>
              <w:rPr>
                <w:i/>
                <w:iCs/>
                <w:color w:val="000000"/>
                <w:kern w:val="0"/>
                <w:lang w:bidi="ar"/>
              </w:rPr>
              <w:t>r</w:t>
            </w:r>
            <w:r>
              <w:rPr>
                <w:color w:val="000000"/>
                <w:kern w:val="0"/>
                <w:lang w:bidi="ar"/>
              </w:rPr>
              <w:t xml:space="preserve">) ——预测点处声压级，dB； </w:t>
            </w:r>
          </w:p>
          <w:p>
            <w:pPr>
              <w:widowControl/>
              <w:spacing w:line="360" w:lineRule="auto"/>
              <w:ind w:firstLine="1200" w:firstLineChars="500"/>
              <w:jc w:val="left"/>
            </w:pPr>
            <w:r>
              <w:rPr>
                <w:i/>
                <w:iCs/>
                <w:color w:val="000000"/>
                <w:kern w:val="0"/>
                <w:lang w:bidi="ar"/>
              </w:rPr>
              <w:t xml:space="preserve">Lw </w:t>
            </w:r>
            <w:r>
              <w:rPr>
                <w:color w:val="000000"/>
                <w:kern w:val="0"/>
                <w:lang w:bidi="ar"/>
              </w:rPr>
              <w:t xml:space="preserve">——由点声源产生的声功率级（A计权或倍频带），dB； </w:t>
            </w:r>
          </w:p>
          <w:p>
            <w:pPr>
              <w:widowControl/>
              <w:spacing w:line="360" w:lineRule="auto"/>
              <w:ind w:firstLine="1200" w:firstLineChars="500"/>
              <w:jc w:val="left"/>
            </w:pPr>
            <w:r>
              <w:rPr>
                <w:i/>
                <w:iCs/>
                <w:color w:val="000000"/>
                <w:kern w:val="0"/>
                <w:lang w:bidi="ar"/>
              </w:rPr>
              <w:t>D</w:t>
            </w:r>
            <w:r>
              <w:rPr>
                <w:color w:val="000000"/>
                <w:kern w:val="0"/>
                <w:vertAlign w:val="subscript"/>
                <w:lang w:bidi="ar"/>
              </w:rPr>
              <w:t>C</w:t>
            </w:r>
            <w:r>
              <w:rPr>
                <w:color w:val="000000"/>
                <w:kern w:val="0"/>
                <w:lang w:bidi="ar"/>
              </w:rPr>
              <w:t xml:space="preserve"> ——指向性校正，它描述点声源的等效连续声压级与产生声功率级</w:t>
            </w:r>
            <w:r>
              <w:rPr>
                <w:i/>
                <w:iCs/>
                <w:color w:val="000000"/>
                <w:kern w:val="0"/>
                <w:lang w:bidi="ar"/>
              </w:rPr>
              <w:t>Lw</w:t>
            </w:r>
            <w:r>
              <w:rPr>
                <w:color w:val="000000"/>
                <w:kern w:val="0"/>
                <w:lang w:bidi="ar"/>
              </w:rPr>
              <w:t xml:space="preserve">的全向点声源在规定方向的声级的偏差程度，dB； </w:t>
            </w:r>
          </w:p>
          <w:p>
            <w:pPr>
              <w:widowControl/>
              <w:spacing w:line="360" w:lineRule="auto"/>
              <w:ind w:firstLine="1200" w:firstLineChars="500"/>
              <w:jc w:val="left"/>
            </w:pPr>
            <w:r>
              <w:rPr>
                <w:i/>
                <w:iCs/>
                <w:color w:val="000000"/>
                <w:kern w:val="0"/>
                <w:lang w:bidi="ar"/>
              </w:rPr>
              <w:t>A</w:t>
            </w:r>
            <w:r>
              <w:rPr>
                <w:color w:val="000000"/>
                <w:kern w:val="0"/>
                <w:lang w:bidi="ar"/>
              </w:rPr>
              <w:t xml:space="preserve">div ——几何发散引起的衰减，dB； </w:t>
            </w:r>
          </w:p>
          <w:p>
            <w:pPr>
              <w:widowControl/>
              <w:spacing w:line="360" w:lineRule="auto"/>
              <w:ind w:firstLine="1200" w:firstLineChars="500"/>
              <w:jc w:val="left"/>
            </w:pPr>
            <w:r>
              <w:rPr>
                <w:i/>
                <w:iCs/>
                <w:color w:val="000000"/>
                <w:kern w:val="0"/>
                <w:lang w:bidi="ar"/>
              </w:rPr>
              <w:t>A</w:t>
            </w:r>
            <w:r>
              <w:rPr>
                <w:color w:val="000000"/>
                <w:kern w:val="0"/>
                <w:lang w:bidi="ar"/>
              </w:rPr>
              <w:t xml:space="preserve">atm ——大气吸收引起的衰减，dB； </w:t>
            </w:r>
          </w:p>
          <w:p>
            <w:pPr>
              <w:widowControl/>
              <w:spacing w:line="360" w:lineRule="auto"/>
              <w:ind w:firstLine="1200" w:firstLineChars="500"/>
              <w:jc w:val="left"/>
            </w:pPr>
            <w:r>
              <w:rPr>
                <w:i/>
                <w:iCs/>
                <w:color w:val="000000"/>
                <w:kern w:val="0"/>
                <w:lang w:bidi="ar"/>
              </w:rPr>
              <w:t>A</w:t>
            </w:r>
            <w:r>
              <w:rPr>
                <w:color w:val="000000"/>
                <w:kern w:val="0"/>
                <w:lang w:bidi="ar"/>
              </w:rPr>
              <w:t xml:space="preserve">gr ——地面效应引起的衰减，dB； </w:t>
            </w:r>
          </w:p>
          <w:p>
            <w:pPr>
              <w:widowControl/>
              <w:spacing w:line="360" w:lineRule="auto"/>
              <w:ind w:firstLine="1200" w:firstLineChars="500"/>
              <w:jc w:val="left"/>
            </w:pPr>
            <w:r>
              <w:rPr>
                <w:i/>
                <w:iCs/>
                <w:color w:val="000000"/>
                <w:kern w:val="0"/>
                <w:lang w:bidi="ar"/>
              </w:rPr>
              <w:t>A</w:t>
            </w:r>
            <w:r>
              <w:rPr>
                <w:color w:val="000000"/>
                <w:kern w:val="0"/>
                <w:lang w:bidi="ar"/>
              </w:rPr>
              <w:t xml:space="preserve">bar ——障碍物屏蔽引起的衰减，dB； </w:t>
            </w:r>
          </w:p>
          <w:p>
            <w:pPr>
              <w:widowControl/>
              <w:spacing w:line="360" w:lineRule="auto"/>
              <w:ind w:firstLine="1200" w:firstLineChars="500"/>
              <w:jc w:val="left"/>
              <w:rPr>
                <w:bCs/>
                <w:color w:val="000000"/>
              </w:rPr>
            </w:pPr>
            <w:r>
              <w:rPr>
                <w:i/>
                <w:iCs/>
                <w:color w:val="000000"/>
                <w:kern w:val="0"/>
                <w:lang w:bidi="ar"/>
              </w:rPr>
              <w:t>A</w:t>
            </w:r>
            <w:r>
              <w:rPr>
                <w:color w:val="000000"/>
                <w:kern w:val="0"/>
                <w:lang w:bidi="ar"/>
              </w:rPr>
              <w:t>misc ——其他多方面效应引起的衰减，dB</w:t>
            </w:r>
            <w:r>
              <w:rPr>
                <w:bCs/>
                <w:color w:val="000000"/>
              </w:rPr>
              <w:t>。</w:t>
            </w:r>
          </w:p>
          <w:p>
            <w:pPr>
              <w:adjustRightInd w:val="0"/>
              <w:snapToGrid w:val="0"/>
              <w:spacing w:line="360" w:lineRule="auto"/>
              <w:ind w:firstLine="480" w:firstLineChars="200"/>
              <w:rPr>
                <w:bCs/>
                <w:color w:val="000000"/>
              </w:rPr>
            </w:pPr>
            <w:r>
              <w:rPr>
                <w:bCs/>
                <w:color w:val="000000"/>
              </w:rPr>
              <w:t>为保守起见，本次预测仅考虑声波几何发散衰减，公式简化如下：</w:t>
            </w:r>
          </w:p>
          <w:p>
            <w:pPr>
              <w:adjustRightInd w:val="0"/>
              <w:snapToGrid w:val="0"/>
              <w:spacing w:line="360" w:lineRule="auto"/>
              <w:ind w:firstLine="480" w:firstLineChars="200"/>
              <w:jc w:val="center"/>
              <w:rPr>
                <w:bCs/>
                <w:color w:val="000000"/>
              </w:rPr>
            </w:pPr>
            <w:r>
              <w:rPr>
                <w:color w:val="000000"/>
              </w:rPr>
              <w:drawing>
                <wp:inline distT="0" distB="0" distL="114300" distR="114300">
                  <wp:extent cx="1961515" cy="539750"/>
                  <wp:effectExtent l="0" t="0" r="6985" b="635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6"/>
                          <a:stretch>
                            <a:fillRect/>
                          </a:stretch>
                        </pic:blipFill>
                        <pic:spPr>
                          <a:xfrm>
                            <a:off x="0" y="0"/>
                            <a:ext cx="1961515" cy="539750"/>
                          </a:xfrm>
                          <a:prstGeom prst="rect">
                            <a:avLst/>
                          </a:prstGeom>
                          <a:noFill/>
                          <a:ln>
                            <a:noFill/>
                          </a:ln>
                        </pic:spPr>
                      </pic:pic>
                    </a:graphicData>
                  </a:graphic>
                </wp:inline>
              </w:drawing>
            </w:r>
          </w:p>
          <w:p>
            <w:pPr>
              <w:adjustRightInd w:val="0"/>
              <w:snapToGrid w:val="0"/>
              <w:spacing w:line="360" w:lineRule="auto"/>
              <w:ind w:firstLine="480" w:firstLineChars="200"/>
              <w:rPr>
                <w:bCs/>
                <w:color w:val="000000"/>
              </w:rPr>
            </w:pPr>
            <w:r>
              <w:rPr>
                <w:bCs/>
                <w:color w:val="000000"/>
              </w:rPr>
              <w:t>（2）室内声源</w:t>
            </w:r>
          </w:p>
          <w:p>
            <w:pPr>
              <w:adjustRightInd w:val="0"/>
              <w:snapToGrid w:val="0"/>
              <w:spacing w:line="360" w:lineRule="auto"/>
              <w:ind w:firstLine="480" w:firstLineChars="200"/>
              <w:rPr>
                <w:bCs/>
                <w:color w:val="000000"/>
              </w:rPr>
            </w:pPr>
            <w:r>
              <w:rPr>
                <w:bCs/>
                <w:color w:val="000000"/>
              </w:rPr>
              <w:t>对室内噪声源采用等效室外声源声功率级法进行计算。设靠近开口处（或窗户）室内、室外某倍频带的声压级分别为Lp1和Lp2。若声源所在室内声场为近似扩散声场，则室外的倍频带声压级可按下式近似求出：</w:t>
            </w:r>
          </w:p>
          <w:p>
            <w:pPr>
              <w:adjustRightInd w:val="0"/>
              <w:snapToGrid w:val="0"/>
              <w:spacing w:line="360" w:lineRule="auto"/>
              <w:ind w:firstLine="480" w:firstLineChars="200"/>
              <w:jc w:val="center"/>
              <w:rPr>
                <w:bCs/>
                <w:color w:val="000000"/>
              </w:rPr>
            </w:pPr>
            <w:r>
              <w:rPr>
                <w:color w:val="000000"/>
              </w:rPr>
              <w:drawing>
                <wp:inline distT="0" distB="0" distL="114300" distR="114300">
                  <wp:extent cx="1653540" cy="328930"/>
                  <wp:effectExtent l="0" t="0" r="10160" b="127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7"/>
                          <a:stretch>
                            <a:fillRect/>
                          </a:stretch>
                        </pic:blipFill>
                        <pic:spPr>
                          <a:xfrm>
                            <a:off x="0" y="0"/>
                            <a:ext cx="1653540" cy="328930"/>
                          </a:xfrm>
                          <a:prstGeom prst="rect">
                            <a:avLst/>
                          </a:prstGeom>
                          <a:noFill/>
                          <a:ln>
                            <a:noFill/>
                          </a:ln>
                        </pic:spPr>
                      </pic:pic>
                    </a:graphicData>
                  </a:graphic>
                </wp:inline>
              </w:drawing>
            </w:r>
          </w:p>
          <w:p>
            <w:pPr>
              <w:adjustRightInd w:val="0"/>
              <w:snapToGrid w:val="0"/>
              <w:spacing w:line="360" w:lineRule="auto"/>
              <w:ind w:firstLine="480" w:firstLineChars="200"/>
              <w:rPr>
                <w:bCs/>
                <w:color w:val="000000"/>
              </w:rPr>
            </w:pPr>
            <w:r>
              <w:rPr>
                <w:bCs/>
                <w:color w:val="000000"/>
              </w:rPr>
              <w:t>式中：TL—隔墙（或窗户）倍频带的隔声量，dB(A)。</w:t>
            </w:r>
          </w:p>
          <w:p>
            <w:pPr>
              <w:adjustRightInd w:val="0"/>
              <w:snapToGrid w:val="0"/>
              <w:spacing w:line="360" w:lineRule="auto"/>
              <w:ind w:firstLine="480" w:firstLineChars="200"/>
              <w:jc w:val="center"/>
              <w:rPr>
                <w:bCs/>
                <w:color w:val="000000"/>
              </w:rPr>
            </w:pPr>
            <w:r>
              <w:rPr>
                <w:color w:val="000000"/>
              </w:rPr>
              <w:drawing>
                <wp:inline distT="0" distB="0" distL="114300" distR="114300">
                  <wp:extent cx="3131820" cy="1565910"/>
                  <wp:effectExtent l="0" t="0" r="508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8"/>
                          <a:stretch>
                            <a:fillRect/>
                          </a:stretch>
                        </pic:blipFill>
                        <pic:spPr>
                          <a:xfrm>
                            <a:off x="0" y="0"/>
                            <a:ext cx="3131820" cy="1565910"/>
                          </a:xfrm>
                          <a:prstGeom prst="rect">
                            <a:avLst/>
                          </a:prstGeom>
                          <a:noFill/>
                          <a:ln>
                            <a:noFill/>
                          </a:ln>
                        </pic:spPr>
                      </pic:pic>
                    </a:graphicData>
                  </a:graphic>
                </wp:inline>
              </w:drawing>
            </w:r>
          </w:p>
          <w:p>
            <w:pPr>
              <w:adjustRightInd w:val="0"/>
              <w:snapToGrid w:val="0"/>
              <w:spacing w:line="360" w:lineRule="auto"/>
              <w:ind w:firstLine="480" w:firstLineChars="200"/>
              <w:rPr>
                <w:bCs/>
                <w:color w:val="000000"/>
              </w:rPr>
            </w:pPr>
            <w:r>
              <w:rPr>
                <w:bCs/>
                <w:color w:val="000000"/>
              </w:rPr>
              <w:t>也可按照下式计算某一室内声源靠近围护结构处产生的倍频带声压级：</w:t>
            </w:r>
          </w:p>
          <w:p>
            <w:pPr>
              <w:adjustRightInd w:val="0"/>
              <w:snapToGrid w:val="0"/>
              <w:spacing w:line="360" w:lineRule="auto"/>
              <w:ind w:firstLine="480" w:firstLineChars="200"/>
              <w:jc w:val="center"/>
              <w:rPr>
                <w:bCs/>
                <w:color w:val="000000"/>
              </w:rPr>
            </w:pPr>
            <w:r>
              <w:rPr>
                <w:color w:val="000000"/>
              </w:rPr>
              <w:drawing>
                <wp:inline distT="0" distB="0" distL="114300" distR="114300">
                  <wp:extent cx="1934845" cy="495300"/>
                  <wp:effectExtent l="0" t="0" r="8255" b="0"/>
                  <wp:docPr id="2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2"/>
                          <pic:cNvPicPr>
                            <a:picLocks noChangeAspect="1"/>
                          </pic:cNvPicPr>
                        </pic:nvPicPr>
                        <pic:blipFill>
                          <a:blip r:embed="rId19"/>
                          <a:stretch>
                            <a:fillRect/>
                          </a:stretch>
                        </pic:blipFill>
                        <pic:spPr>
                          <a:xfrm>
                            <a:off x="0" y="0"/>
                            <a:ext cx="1934845" cy="495300"/>
                          </a:xfrm>
                          <a:prstGeom prst="rect">
                            <a:avLst/>
                          </a:prstGeom>
                          <a:noFill/>
                          <a:ln>
                            <a:noFill/>
                          </a:ln>
                        </pic:spPr>
                      </pic:pic>
                    </a:graphicData>
                  </a:graphic>
                </wp:inline>
              </w:drawing>
            </w:r>
          </w:p>
          <w:p>
            <w:pPr>
              <w:adjustRightInd w:val="0"/>
              <w:snapToGrid w:val="0"/>
              <w:spacing w:line="360" w:lineRule="auto"/>
              <w:ind w:firstLine="480" w:firstLineChars="200"/>
              <w:rPr>
                <w:bCs/>
                <w:color w:val="000000"/>
              </w:rPr>
            </w:pPr>
            <w:r>
              <w:rPr>
                <w:bCs/>
                <w:color w:val="000000"/>
              </w:rPr>
              <w:t>式中：Q——指向性因子；通常对无指向性声源，当声源放在房间中心时，Q=1；当入在一面墙的中心时，Q=2；当放在两面墙夹角处时，Q=4；当放在三面墙夹角处时，Q=8；</w:t>
            </w:r>
          </w:p>
          <w:p>
            <w:pPr>
              <w:adjustRightInd w:val="0"/>
              <w:snapToGrid w:val="0"/>
              <w:spacing w:line="360" w:lineRule="auto"/>
              <w:ind w:firstLine="1200" w:firstLineChars="500"/>
              <w:rPr>
                <w:bCs/>
                <w:color w:val="000000"/>
              </w:rPr>
            </w:pPr>
            <w:r>
              <w:rPr>
                <w:bCs/>
                <w:color w:val="000000"/>
              </w:rPr>
              <w:t>R——房间常数；R=Sα/(1−α)，S为房间内表面面积，m</w:t>
            </w:r>
            <w:r>
              <w:rPr>
                <w:bCs/>
                <w:color w:val="000000"/>
                <w:vertAlign w:val="superscript"/>
              </w:rPr>
              <w:t>2</w:t>
            </w:r>
            <w:r>
              <w:rPr>
                <w:bCs/>
                <w:color w:val="000000"/>
              </w:rPr>
              <w:t>；α为平均吸声系数；</w:t>
            </w:r>
          </w:p>
          <w:p>
            <w:pPr>
              <w:adjustRightInd w:val="0"/>
              <w:snapToGrid w:val="0"/>
              <w:spacing w:line="360" w:lineRule="auto"/>
              <w:ind w:firstLine="1200" w:firstLineChars="500"/>
              <w:rPr>
                <w:bCs/>
                <w:color w:val="000000"/>
              </w:rPr>
            </w:pPr>
            <w:r>
              <w:rPr>
                <w:bCs/>
                <w:color w:val="000000"/>
              </w:rPr>
              <w:t>r——声源到靠近围护结构某点处的距离，m。</w:t>
            </w:r>
          </w:p>
          <w:p>
            <w:pPr>
              <w:adjustRightInd w:val="0"/>
              <w:snapToGrid w:val="0"/>
              <w:spacing w:line="360" w:lineRule="auto"/>
              <w:ind w:firstLine="480" w:firstLineChars="200"/>
              <w:rPr>
                <w:bCs/>
                <w:color w:val="000000"/>
              </w:rPr>
            </w:pPr>
            <w:r>
              <w:rPr>
                <w:bCs/>
                <w:color w:val="000000"/>
              </w:rPr>
              <w:t>所有室内声源在围护结构处产生的i倍频带叠加声压级的计算：</w:t>
            </w:r>
          </w:p>
          <w:p>
            <w:pPr>
              <w:adjustRightInd w:val="0"/>
              <w:snapToGrid w:val="0"/>
              <w:spacing w:line="360" w:lineRule="auto"/>
              <w:ind w:firstLine="480" w:firstLineChars="200"/>
              <w:jc w:val="center"/>
              <w:rPr>
                <w:bCs/>
                <w:color w:val="000000"/>
              </w:rPr>
            </w:pPr>
            <w:r>
              <w:rPr>
                <w:color w:val="000000"/>
              </w:rPr>
              <w:drawing>
                <wp:inline distT="0" distB="0" distL="114300" distR="114300">
                  <wp:extent cx="1835785" cy="518160"/>
                  <wp:effectExtent l="0" t="0" r="5715" b="2540"/>
                  <wp:docPr id="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pic:cNvPicPr>
                            <a:picLocks noChangeAspect="1"/>
                          </pic:cNvPicPr>
                        </pic:nvPicPr>
                        <pic:blipFill>
                          <a:blip r:embed="rId20"/>
                          <a:stretch>
                            <a:fillRect/>
                          </a:stretch>
                        </pic:blipFill>
                        <pic:spPr>
                          <a:xfrm>
                            <a:off x="0" y="0"/>
                            <a:ext cx="1835785" cy="518160"/>
                          </a:xfrm>
                          <a:prstGeom prst="rect">
                            <a:avLst/>
                          </a:prstGeom>
                          <a:noFill/>
                          <a:ln>
                            <a:noFill/>
                          </a:ln>
                        </pic:spPr>
                      </pic:pic>
                    </a:graphicData>
                  </a:graphic>
                </wp:inline>
              </w:drawing>
            </w:r>
          </w:p>
          <w:p>
            <w:pPr>
              <w:adjustRightInd w:val="0"/>
              <w:snapToGrid w:val="0"/>
              <w:spacing w:line="360" w:lineRule="auto"/>
              <w:ind w:firstLine="480" w:firstLineChars="200"/>
              <w:rPr>
                <w:bCs/>
                <w:color w:val="000000"/>
              </w:rPr>
            </w:pPr>
            <w:r>
              <w:rPr>
                <w:bCs/>
                <w:color w:val="000000"/>
              </w:rPr>
              <w:t>式中：LP1,i（T）——靠近围护结构处室内N个声源i倍频带的叠加声压级，dB；</w:t>
            </w:r>
          </w:p>
          <w:p>
            <w:pPr>
              <w:adjustRightInd w:val="0"/>
              <w:snapToGrid w:val="0"/>
              <w:spacing w:line="360" w:lineRule="auto"/>
              <w:ind w:firstLine="1200" w:firstLineChars="500"/>
              <w:rPr>
                <w:bCs/>
                <w:color w:val="000000"/>
              </w:rPr>
            </w:pPr>
            <w:r>
              <w:rPr>
                <w:bCs/>
                <w:color w:val="000000"/>
              </w:rPr>
              <w:t>LP1,j——室内j声源i倍频带的声压级，dB；</w:t>
            </w:r>
          </w:p>
          <w:p>
            <w:pPr>
              <w:adjustRightInd w:val="0"/>
              <w:snapToGrid w:val="0"/>
              <w:spacing w:line="360" w:lineRule="auto"/>
              <w:ind w:firstLine="1200" w:firstLineChars="500"/>
              <w:rPr>
                <w:bCs/>
                <w:color w:val="000000"/>
              </w:rPr>
            </w:pPr>
            <w:r>
              <w:rPr>
                <w:bCs/>
                <w:color w:val="000000"/>
              </w:rPr>
              <w:t>N——室内声源总数；</w:t>
            </w:r>
          </w:p>
          <w:p>
            <w:pPr>
              <w:adjustRightInd w:val="0"/>
              <w:snapToGrid w:val="0"/>
              <w:spacing w:line="360" w:lineRule="auto"/>
              <w:ind w:firstLine="480" w:firstLineChars="200"/>
              <w:rPr>
                <w:bCs/>
                <w:color w:val="000000"/>
              </w:rPr>
            </w:pPr>
            <w:r>
              <w:rPr>
                <w:bCs/>
                <w:color w:val="000000"/>
              </w:rPr>
              <w:t>在室内近似为扩散声场时，按下式计算出靠近室外围护结构处的声压级：</w:t>
            </w:r>
          </w:p>
          <w:p>
            <w:pPr>
              <w:adjustRightInd w:val="0"/>
              <w:snapToGrid w:val="0"/>
              <w:spacing w:line="360" w:lineRule="auto"/>
              <w:ind w:firstLine="480" w:firstLineChars="200"/>
              <w:jc w:val="center"/>
              <w:rPr>
                <w:bCs/>
                <w:color w:val="000000"/>
              </w:rPr>
            </w:pPr>
            <w:r>
              <w:rPr>
                <w:color w:val="000000"/>
              </w:rPr>
              <w:drawing>
                <wp:inline distT="0" distB="0" distL="114300" distR="114300">
                  <wp:extent cx="2029460" cy="321310"/>
                  <wp:effectExtent l="0" t="0" r="2540" b="8890"/>
                  <wp:docPr id="2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4"/>
                          <pic:cNvPicPr>
                            <a:picLocks noChangeAspect="1"/>
                          </pic:cNvPicPr>
                        </pic:nvPicPr>
                        <pic:blipFill>
                          <a:blip r:embed="rId21"/>
                          <a:stretch>
                            <a:fillRect/>
                          </a:stretch>
                        </pic:blipFill>
                        <pic:spPr>
                          <a:xfrm>
                            <a:off x="0" y="0"/>
                            <a:ext cx="2029460" cy="321310"/>
                          </a:xfrm>
                          <a:prstGeom prst="rect">
                            <a:avLst/>
                          </a:prstGeom>
                          <a:noFill/>
                          <a:ln>
                            <a:noFill/>
                          </a:ln>
                        </pic:spPr>
                      </pic:pic>
                    </a:graphicData>
                  </a:graphic>
                </wp:inline>
              </w:drawing>
            </w:r>
          </w:p>
          <w:p>
            <w:pPr>
              <w:adjustRightInd w:val="0"/>
              <w:snapToGrid w:val="0"/>
              <w:spacing w:line="360" w:lineRule="auto"/>
              <w:ind w:firstLine="480" w:firstLineChars="200"/>
              <w:rPr>
                <w:bCs/>
                <w:color w:val="000000"/>
              </w:rPr>
            </w:pPr>
            <w:r>
              <w:rPr>
                <w:bCs/>
                <w:color w:val="000000"/>
              </w:rPr>
              <w:t>式中：LP2,i（T）——靠近围护结构处室外N个声源i倍频带的叠加声压级，dB；</w:t>
            </w:r>
          </w:p>
          <w:p>
            <w:pPr>
              <w:adjustRightInd w:val="0"/>
              <w:snapToGrid w:val="0"/>
              <w:spacing w:line="360" w:lineRule="auto"/>
              <w:ind w:firstLine="1200" w:firstLineChars="500"/>
              <w:rPr>
                <w:bCs/>
                <w:color w:val="000000"/>
              </w:rPr>
            </w:pPr>
            <w:r>
              <w:rPr>
                <w:bCs/>
                <w:color w:val="000000"/>
              </w:rPr>
              <w:t>TLi——围护结构i倍频带的隔声量，dB；</w:t>
            </w:r>
          </w:p>
          <w:p>
            <w:pPr>
              <w:adjustRightInd w:val="0"/>
              <w:snapToGrid w:val="0"/>
              <w:spacing w:line="360" w:lineRule="auto"/>
              <w:ind w:firstLine="480" w:firstLineChars="200"/>
              <w:rPr>
                <w:bCs/>
                <w:color w:val="000000"/>
              </w:rPr>
            </w:pPr>
            <w:r>
              <w:rPr>
                <w:bCs/>
                <w:color w:val="000000"/>
              </w:rPr>
              <w:t>将室外声源的声压级和透过面积换算成等效的室外声源，计算出中心位置于透声面积（S）处的等效声源的倍频带声功率级，见下式：</w:t>
            </w:r>
          </w:p>
          <w:p>
            <w:pPr>
              <w:adjustRightInd w:val="0"/>
              <w:snapToGrid w:val="0"/>
              <w:spacing w:line="360" w:lineRule="auto"/>
              <w:ind w:firstLine="480" w:firstLineChars="200"/>
              <w:jc w:val="center"/>
              <w:rPr>
                <w:bCs/>
                <w:color w:val="000000"/>
              </w:rPr>
            </w:pPr>
            <w:r>
              <w:rPr>
                <w:color w:val="000000"/>
              </w:rPr>
              <w:drawing>
                <wp:inline distT="0" distB="0" distL="114300" distR="114300">
                  <wp:extent cx="1623695" cy="257175"/>
                  <wp:effectExtent l="0" t="0" r="1905" b="9525"/>
                  <wp:docPr id="3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5"/>
                          <pic:cNvPicPr>
                            <a:picLocks noChangeAspect="1"/>
                          </pic:cNvPicPr>
                        </pic:nvPicPr>
                        <pic:blipFill>
                          <a:blip r:embed="rId22"/>
                          <a:stretch>
                            <a:fillRect/>
                          </a:stretch>
                        </pic:blipFill>
                        <pic:spPr>
                          <a:xfrm>
                            <a:off x="0" y="0"/>
                            <a:ext cx="1623695" cy="257175"/>
                          </a:xfrm>
                          <a:prstGeom prst="rect">
                            <a:avLst/>
                          </a:prstGeom>
                          <a:noFill/>
                          <a:ln>
                            <a:noFill/>
                          </a:ln>
                        </pic:spPr>
                      </pic:pic>
                    </a:graphicData>
                  </a:graphic>
                </wp:inline>
              </w:drawing>
            </w:r>
          </w:p>
          <w:p>
            <w:pPr>
              <w:adjustRightInd w:val="0"/>
              <w:snapToGrid w:val="0"/>
              <w:spacing w:line="360" w:lineRule="auto"/>
              <w:ind w:firstLine="480" w:firstLineChars="200"/>
              <w:rPr>
                <w:bCs/>
                <w:color w:val="000000"/>
              </w:rPr>
            </w:pPr>
            <w:r>
              <w:rPr>
                <w:bCs/>
                <w:color w:val="000000"/>
              </w:rPr>
              <w:t>然后按室外声源预测方法计算预测点处的A声级。</w:t>
            </w:r>
          </w:p>
          <w:p>
            <w:pPr>
              <w:adjustRightInd w:val="0"/>
              <w:snapToGrid w:val="0"/>
              <w:spacing w:line="360" w:lineRule="auto"/>
              <w:ind w:firstLine="480" w:firstLineChars="200"/>
              <w:rPr>
                <w:bCs/>
                <w:color w:val="000000"/>
              </w:rPr>
            </w:pPr>
            <w:r>
              <w:rPr>
                <w:bCs/>
                <w:color w:val="000000"/>
              </w:rPr>
              <w:t>（3）计算总声压级</w:t>
            </w:r>
          </w:p>
          <w:p>
            <w:pPr>
              <w:adjustRightInd w:val="0"/>
              <w:snapToGrid w:val="0"/>
              <w:spacing w:line="360" w:lineRule="auto"/>
              <w:ind w:firstLine="480" w:firstLineChars="200"/>
              <w:rPr>
                <w:bCs/>
                <w:color w:val="000000"/>
              </w:rPr>
            </w:pPr>
            <w:r>
              <w:rPr>
                <w:bCs/>
                <w:color w:val="000000"/>
              </w:rPr>
              <w:t>①多声源声压级的叠加</w:t>
            </w:r>
          </w:p>
          <w:p>
            <w:pPr>
              <w:adjustRightInd w:val="0"/>
              <w:snapToGrid w:val="0"/>
              <w:spacing w:line="360" w:lineRule="auto"/>
              <w:ind w:firstLine="480" w:firstLineChars="200"/>
              <w:rPr>
                <w:bCs/>
                <w:color w:val="000000"/>
              </w:rPr>
            </w:pPr>
            <w:r>
              <w:rPr>
                <w:bCs/>
                <w:color w:val="000000"/>
              </w:rPr>
              <w:t>对两个以上多个声源同时存在时，多点源叠加计算总源强，采用如下公式：</w:t>
            </w:r>
          </w:p>
          <w:p>
            <w:pPr>
              <w:adjustRightInd w:val="0"/>
              <w:snapToGrid w:val="0"/>
              <w:spacing w:line="360" w:lineRule="auto"/>
              <w:ind w:firstLine="480" w:firstLineChars="200"/>
              <w:jc w:val="center"/>
              <w:rPr>
                <w:bCs/>
                <w:color w:val="000000"/>
              </w:rPr>
            </w:pPr>
            <w:r>
              <w:rPr>
                <w:color w:val="000000"/>
              </w:rPr>
              <w:drawing>
                <wp:inline distT="0" distB="0" distL="114300" distR="114300">
                  <wp:extent cx="2465705" cy="454660"/>
                  <wp:effectExtent l="0" t="0" r="10795" b="2540"/>
                  <wp:docPr id="2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6"/>
                          <pic:cNvPicPr>
                            <a:picLocks noChangeAspect="1"/>
                          </pic:cNvPicPr>
                        </pic:nvPicPr>
                        <pic:blipFill>
                          <a:blip r:embed="rId23"/>
                          <a:stretch>
                            <a:fillRect/>
                          </a:stretch>
                        </pic:blipFill>
                        <pic:spPr>
                          <a:xfrm>
                            <a:off x="0" y="0"/>
                            <a:ext cx="2465705" cy="454660"/>
                          </a:xfrm>
                          <a:prstGeom prst="rect">
                            <a:avLst/>
                          </a:prstGeom>
                          <a:noFill/>
                          <a:ln>
                            <a:noFill/>
                          </a:ln>
                        </pic:spPr>
                      </pic:pic>
                    </a:graphicData>
                  </a:graphic>
                </wp:inline>
              </w:drawing>
            </w:r>
          </w:p>
          <w:p>
            <w:pPr>
              <w:adjustRightInd w:val="0"/>
              <w:snapToGrid w:val="0"/>
              <w:spacing w:line="360" w:lineRule="auto"/>
              <w:ind w:firstLine="480" w:firstLineChars="200"/>
              <w:rPr>
                <w:bCs/>
                <w:color w:val="000000"/>
              </w:rPr>
            </w:pPr>
            <w:r>
              <w:rPr>
                <w:bCs/>
                <w:color w:val="000000"/>
              </w:rPr>
              <w:t>式中：Leqg——建设项目声源在预测点的等效声级贡献值，dB(A)；</w:t>
            </w:r>
          </w:p>
          <w:p>
            <w:pPr>
              <w:adjustRightInd w:val="0"/>
              <w:snapToGrid w:val="0"/>
              <w:spacing w:line="360" w:lineRule="auto"/>
              <w:ind w:firstLine="1200" w:firstLineChars="500"/>
              <w:rPr>
                <w:bCs/>
                <w:color w:val="000000"/>
              </w:rPr>
            </w:pPr>
            <w:r>
              <w:rPr>
                <w:bCs/>
                <w:color w:val="000000"/>
              </w:rPr>
              <w:t>LAi——第i个室外声源在预测点产生的A声级，dB(A)；</w:t>
            </w:r>
          </w:p>
          <w:p>
            <w:pPr>
              <w:adjustRightInd w:val="0"/>
              <w:snapToGrid w:val="0"/>
              <w:spacing w:line="360" w:lineRule="auto"/>
              <w:ind w:firstLine="1200" w:firstLineChars="500"/>
              <w:rPr>
                <w:bCs/>
                <w:color w:val="000000"/>
              </w:rPr>
            </w:pPr>
            <w:r>
              <w:rPr>
                <w:bCs/>
                <w:color w:val="000000"/>
              </w:rPr>
              <w:t>LAj——第j个等效室外声源在预测点产生的A声级，dB(A)；</w:t>
            </w:r>
          </w:p>
          <w:p>
            <w:pPr>
              <w:adjustRightInd w:val="0"/>
              <w:snapToGrid w:val="0"/>
              <w:spacing w:line="360" w:lineRule="auto"/>
              <w:ind w:firstLine="1200" w:firstLineChars="500"/>
              <w:rPr>
                <w:bCs/>
                <w:color w:val="000000"/>
              </w:rPr>
            </w:pPr>
            <w:r>
              <w:rPr>
                <w:bCs/>
                <w:color w:val="000000"/>
              </w:rPr>
              <w:t>tj——在T时间内j声源工作时间，S；</w:t>
            </w:r>
          </w:p>
          <w:p>
            <w:pPr>
              <w:adjustRightInd w:val="0"/>
              <w:snapToGrid w:val="0"/>
              <w:spacing w:line="360" w:lineRule="auto"/>
              <w:ind w:firstLine="1200" w:firstLineChars="500"/>
              <w:rPr>
                <w:bCs/>
                <w:color w:val="000000"/>
              </w:rPr>
            </w:pPr>
            <w:r>
              <w:rPr>
                <w:bCs/>
                <w:color w:val="000000"/>
              </w:rPr>
              <w:t>ti——在T时间内i声源工作时间，S；</w:t>
            </w:r>
          </w:p>
          <w:p>
            <w:pPr>
              <w:adjustRightInd w:val="0"/>
              <w:snapToGrid w:val="0"/>
              <w:spacing w:line="360" w:lineRule="auto"/>
              <w:ind w:firstLine="1320" w:firstLineChars="600"/>
              <w:rPr>
                <w:bCs/>
                <w:color w:val="000000"/>
                <w:spacing w:val="-10"/>
              </w:rPr>
            </w:pPr>
            <w:r>
              <w:rPr>
                <w:bCs/>
                <w:color w:val="000000"/>
                <w:spacing w:val="-10"/>
              </w:rPr>
              <w:t>T——用于计算等效声级的时间，S；</w:t>
            </w:r>
          </w:p>
          <w:p>
            <w:pPr>
              <w:adjustRightInd w:val="0"/>
              <w:snapToGrid w:val="0"/>
              <w:spacing w:line="360" w:lineRule="auto"/>
              <w:ind w:firstLine="1320" w:firstLineChars="600"/>
              <w:rPr>
                <w:bCs/>
                <w:color w:val="000000"/>
                <w:spacing w:val="-10"/>
              </w:rPr>
            </w:pPr>
            <w:r>
              <w:rPr>
                <w:bCs/>
                <w:color w:val="000000"/>
                <w:spacing w:val="-10"/>
              </w:rPr>
              <w:t>N——室外声源个数；</w:t>
            </w:r>
          </w:p>
          <w:p>
            <w:pPr>
              <w:adjustRightInd w:val="0"/>
              <w:snapToGrid w:val="0"/>
              <w:spacing w:line="360" w:lineRule="auto"/>
              <w:ind w:firstLine="1320" w:firstLineChars="600"/>
              <w:rPr>
                <w:bCs/>
                <w:color w:val="000000"/>
                <w:spacing w:val="-10"/>
              </w:rPr>
            </w:pPr>
            <w:r>
              <w:rPr>
                <w:bCs/>
                <w:color w:val="000000"/>
                <w:spacing w:val="-10"/>
              </w:rPr>
              <w:t>M——等效室外声源个数。</w:t>
            </w:r>
          </w:p>
          <w:p>
            <w:pPr>
              <w:adjustRightInd w:val="0"/>
              <w:snapToGrid w:val="0"/>
              <w:spacing w:line="360" w:lineRule="auto"/>
              <w:ind w:firstLine="480" w:firstLineChars="200"/>
              <w:rPr>
                <w:bCs/>
                <w:color w:val="000000"/>
              </w:rPr>
            </w:pPr>
            <w:r>
              <w:rPr>
                <w:bCs/>
                <w:color w:val="000000"/>
              </w:rPr>
              <w:t>②预测点的噪声预测值</w:t>
            </w:r>
          </w:p>
          <w:p>
            <w:pPr>
              <w:adjustRightInd w:val="0"/>
              <w:snapToGrid w:val="0"/>
              <w:spacing w:line="360" w:lineRule="auto"/>
              <w:ind w:firstLine="480" w:firstLineChars="200"/>
              <w:rPr>
                <w:bCs/>
                <w:color w:val="000000"/>
              </w:rPr>
            </w:pPr>
            <w:r>
              <w:rPr>
                <w:bCs/>
                <w:color w:val="000000"/>
              </w:rPr>
              <w:t>为预测项目噪声源对周围声环境的影响情况，首先预测噪声源随距离的衰减，然后将噪声源产生的噪声值与区域噪声背景值叠加，即可以预测不同距离的噪声值。叠加公式为：</w:t>
            </w:r>
          </w:p>
          <w:p>
            <w:pPr>
              <w:adjustRightInd w:val="0"/>
              <w:snapToGrid w:val="0"/>
              <w:spacing w:line="360" w:lineRule="auto"/>
              <w:ind w:firstLine="480" w:firstLineChars="200"/>
              <w:jc w:val="center"/>
              <w:rPr>
                <w:bCs/>
                <w:color w:val="000000"/>
                <w:spacing w:val="-10"/>
              </w:rPr>
            </w:pPr>
            <w:r>
              <w:rPr>
                <w:color w:val="000000"/>
              </w:rPr>
              <w:drawing>
                <wp:inline distT="0" distB="0" distL="114300" distR="114300">
                  <wp:extent cx="2040890" cy="364490"/>
                  <wp:effectExtent l="0" t="0" r="3810" b="3810"/>
                  <wp:docPr id="2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7"/>
                          <pic:cNvPicPr>
                            <a:picLocks noChangeAspect="1"/>
                          </pic:cNvPicPr>
                        </pic:nvPicPr>
                        <pic:blipFill>
                          <a:blip r:embed="rId24"/>
                          <a:stretch>
                            <a:fillRect/>
                          </a:stretch>
                        </pic:blipFill>
                        <pic:spPr>
                          <a:xfrm>
                            <a:off x="0" y="0"/>
                            <a:ext cx="2040890" cy="364490"/>
                          </a:xfrm>
                          <a:prstGeom prst="rect">
                            <a:avLst/>
                          </a:prstGeom>
                          <a:noFill/>
                          <a:ln>
                            <a:noFill/>
                          </a:ln>
                        </pic:spPr>
                      </pic:pic>
                    </a:graphicData>
                  </a:graphic>
                </wp:inline>
              </w:drawing>
            </w:r>
          </w:p>
          <w:p>
            <w:pPr>
              <w:adjustRightInd w:val="0"/>
              <w:snapToGrid w:val="0"/>
              <w:spacing w:line="360" w:lineRule="auto"/>
              <w:ind w:firstLine="480" w:firstLineChars="200"/>
              <w:rPr>
                <w:bCs/>
                <w:color w:val="000000"/>
              </w:rPr>
            </w:pPr>
            <w:r>
              <w:rPr>
                <w:bCs/>
                <w:color w:val="000000"/>
              </w:rPr>
              <w:t>式中：Leq——预测等效声级，dB(A)；</w:t>
            </w:r>
          </w:p>
          <w:p>
            <w:pPr>
              <w:adjustRightInd w:val="0"/>
              <w:snapToGrid w:val="0"/>
              <w:spacing w:line="360" w:lineRule="auto"/>
              <w:ind w:firstLine="1200" w:firstLineChars="500"/>
              <w:rPr>
                <w:bCs/>
                <w:color w:val="000000"/>
              </w:rPr>
            </w:pPr>
            <w:r>
              <w:rPr>
                <w:bCs/>
                <w:color w:val="000000"/>
              </w:rPr>
              <w:t>Leqg——建设项目声源在预测点的等效声级贡献值，dB(A)；</w:t>
            </w:r>
          </w:p>
          <w:p>
            <w:pPr>
              <w:adjustRightInd w:val="0"/>
              <w:snapToGrid w:val="0"/>
              <w:spacing w:line="360" w:lineRule="auto"/>
              <w:ind w:firstLine="1200" w:firstLineChars="500"/>
              <w:rPr>
                <w:bCs/>
                <w:color w:val="000000"/>
              </w:rPr>
            </w:pPr>
            <w:r>
              <w:rPr>
                <w:bCs/>
                <w:color w:val="000000"/>
              </w:rPr>
              <w:t>Leqb——预测点的背景值，dB(A)。</w:t>
            </w:r>
          </w:p>
          <w:p>
            <w:pPr>
              <w:adjustRightInd w:val="0"/>
              <w:snapToGrid w:val="0"/>
              <w:spacing w:line="360" w:lineRule="auto"/>
              <w:ind w:firstLine="480" w:firstLineChars="200"/>
              <w:rPr>
                <w:bCs/>
                <w:color w:val="000000"/>
              </w:rPr>
            </w:pPr>
            <w:r>
              <w:rPr>
                <w:bCs/>
                <w:color w:val="000000"/>
              </w:rPr>
              <w:t>（4）预测结果</w:t>
            </w:r>
          </w:p>
          <w:p>
            <w:pPr>
              <w:adjustRightInd w:val="0"/>
              <w:snapToGrid w:val="0"/>
              <w:spacing w:line="360" w:lineRule="auto"/>
              <w:ind w:firstLine="480" w:firstLineChars="200"/>
              <w:rPr>
                <w:bCs/>
                <w:color w:val="000000"/>
              </w:rPr>
            </w:pPr>
            <w:r>
              <w:rPr>
                <w:bCs/>
                <w:color w:val="000000"/>
              </w:rPr>
              <w:t>项目噪声预测结果见</w:t>
            </w:r>
            <w:r>
              <w:rPr>
                <w:rFonts w:hint="eastAsia"/>
                <w:bCs/>
                <w:color w:val="000000"/>
              </w:rPr>
              <w:t>下</w:t>
            </w:r>
            <w:r>
              <w:rPr>
                <w:bCs/>
                <w:color w:val="000000"/>
              </w:rPr>
              <w:t>表。</w:t>
            </w:r>
          </w:p>
          <w:p>
            <w:pPr>
              <w:adjustRightInd w:val="0"/>
              <w:snapToGrid w:val="0"/>
              <w:spacing w:line="360" w:lineRule="auto"/>
              <w:ind w:firstLine="482" w:firstLineChars="200"/>
              <w:jc w:val="center"/>
              <w:rPr>
                <w:b/>
                <w:color w:val="000000"/>
              </w:rPr>
            </w:pPr>
            <w:r>
              <w:rPr>
                <w:b/>
                <w:color w:val="000000"/>
              </w:rPr>
              <w:t>表4-1</w:t>
            </w:r>
            <w:r>
              <w:rPr>
                <w:rFonts w:hint="eastAsia"/>
                <w:b/>
                <w:color w:val="000000"/>
                <w:lang w:val="en-US" w:eastAsia="zh-CN"/>
              </w:rPr>
              <w:t>0</w:t>
            </w:r>
            <w:r>
              <w:rPr>
                <w:b/>
                <w:color w:val="000000"/>
              </w:rPr>
              <w:t xml:space="preserve">  噪声预测结果  单位：dB（A）</w:t>
            </w:r>
          </w:p>
          <w:tbl>
            <w:tblPr>
              <w:tblStyle w:val="24"/>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79"/>
              <w:gridCol w:w="1162"/>
              <w:gridCol w:w="1025"/>
              <w:gridCol w:w="1097"/>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vMerge w:val="restart"/>
                  <w:tcMar>
                    <w:left w:w="0" w:type="dxa"/>
                    <w:right w:w="0" w:type="dxa"/>
                  </w:tcMar>
                  <w:vAlign w:val="center"/>
                </w:tcPr>
                <w:p>
                  <w:pPr>
                    <w:adjustRightInd w:val="0"/>
                    <w:snapToGrid w:val="0"/>
                    <w:jc w:val="center"/>
                    <w:rPr>
                      <w:b/>
                      <w:bCs/>
                      <w:color w:val="000000"/>
                      <w:sz w:val="21"/>
                      <w:szCs w:val="21"/>
                    </w:rPr>
                  </w:pPr>
                  <w:r>
                    <w:rPr>
                      <w:b/>
                      <w:bCs/>
                      <w:color w:val="000000"/>
                      <w:sz w:val="21"/>
                      <w:szCs w:val="21"/>
                    </w:rPr>
                    <w:t>位点</w:t>
                  </w:r>
                </w:p>
              </w:tc>
              <w:tc>
                <w:tcPr>
                  <w:tcW w:w="2541" w:type="dxa"/>
                  <w:gridSpan w:val="2"/>
                  <w:tcMar>
                    <w:left w:w="0" w:type="dxa"/>
                    <w:right w:w="0" w:type="dxa"/>
                  </w:tcMar>
                  <w:vAlign w:val="center"/>
                </w:tcPr>
                <w:p>
                  <w:pPr>
                    <w:adjustRightInd w:val="0"/>
                    <w:snapToGrid w:val="0"/>
                    <w:jc w:val="center"/>
                    <w:rPr>
                      <w:b/>
                      <w:bCs/>
                      <w:color w:val="000000"/>
                      <w:sz w:val="21"/>
                      <w:szCs w:val="21"/>
                    </w:rPr>
                  </w:pPr>
                  <w:r>
                    <w:rPr>
                      <w:b/>
                      <w:bCs/>
                      <w:color w:val="000000"/>
                      <w:sz w:val="21"/>
                      <w:szCs w:val="21"/>
                    </w:rPr>
                    <w:t>贡献值</w:t>
                  </w:r>
                </w:p>
              </w:tc>
              <w:tc>
                <w:tcPr>
                  <w:tcW w:w="2122" w:type="dxa"/>
                  <w:gridSpan w:val="2"/>
                  <w:tcMar>
                    <w:left w:w="0" w:type="dxa"/>
                    <w:right w:w="0" w:type="dxa"/>
                  </w:tcMar>
                  <w:vAlign w:val="center"/>
                </w:tcPr>
                <w:p>
                  <w:pPr>
                    <w:adjustRightInd w:val="0"/>
                    <w:snapToGrid w:val="0"/>
                    <w:jc w:val="center"/>
                    <w:rPr>
                      <w:b/>
                      <w:bCs/>
                      <w:color w:val="000000"/>
                      <w:sz w:val="21"/>
                      <w:szCs w:val="21"/>
                    </w:rPr>
                  </w:pPr>
                  <w:r>
                    <w:rPr>
                      <w:b/>
                      <w:bCs/>
                      <w:color w:val="000000"/>
                      <w:sz w:val="21"/>
                      <w:szCs w:val="21"/>
                    </w:rPr>
                    <w:t>标准值</w:t>
                  </w:r>
                </w:p>
              </w:tc>
              <w:tc>
                <w:tcPr>
                  <w:tcW w:w="1794" w:type="dxa"/>
                  <w:vMerge w:val="restart"/>
                  <w:tcMar>
                    <w:left w:w="0" w:type="dxa"/>
                    <w:right w:w="0" w:type="dxa"/>
                  </w:tcMar>
                  <w:vAlign w:val="center"/>
                </w:tcPr>
                <w:p>
                  <w:pPr>
                    <w:adjustRightInd w:val="0"/>
                    <w:snapToGrid w:val="0"/>
                    <w:jc w:val="center"/>
                    <w:rPr>
                      <w:b/>
                      <w:bCs/>
                      <w:color w:val="000000"/>
                      <w:sz w:val="21"/>
                      <w:szCs w:val="21"/>
                    </w:rPr>
                  </w:pPr>
                  <w:r>
                    <w:rPr>
                      <w:b/>
                      <w:bCs/>
                      <w:color w:val="000000"/>
                      <w:sz w:val="21"/>
                      <w:szCs w:val="21"/>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79" w:type="dxa"/>
                  <w:vMerge w:val="continue"/>
                  <w:tcMar>
                    <w:left w:w="0" w:type="dxa"/>
                    <w:right w:w="0" w:type="dxa"/>
                  </w:tcMar>
                  <w:vAlign w:val="center"/>
                </w:tcPr>
                <w:p>
                  <w:pPr>
                    <w:adjustRightInd w:val="0"/>
                    <w:snapToGrid w:val="0"/>
                    <w:jc w:val="center"/>
                    <w:rPr>
                      <w:color w:val="000000"/>
                      <w:sz w:val="21"/>
                      <w:szCs w:val="21"/>
                    </w:rPr>
                  </w:pPr>
                </w:p>
              </w:tc>
              <w:tc>
                <w:tcPr>
                  <w:tcW w:w="1379" w:type="dxa"/>
                  <w:tcMar>
                    <w:left w:w="0" w:type="dxa"/>
                    <w:right w:w="0" w:type="dxa"/>
                  </w:tcMar>
                  <w:vAlign w:val="center"/>
                </w:tcPr>
                <w:p>
                  <w:pPr>
                    <w:adjustRightInd w:val="0"/>
                    <w:snapToGrid w:val="0"/>
                    <w:jc w:val="center"/>
                    <w:rPr>
                      <w:b/>
                      <w:bCs/>
                      <w:color w:val="000000"/>
                      <w:sz w:val="21"/>
                      <w:szCs w:val="21"/>
                    </w:rPr>
                  </w:pPr>
                  <w:r>
                    <w:rPr>
                      <w:b/>
                      <w:bCs/>
                      <w:color w:val="000000"/>
                      <w:sz w:val="21"/>
                      <w:szCs w:val="21"/>
                    </w:rPr>
                    <w:t>昼间</w:t>
                  </w:r>
                </w:p>
              </w:tc>
              <w:tc>
                <w:tcPr>
                  <w:tcW w:w="1162" w:type="dxa"/>
                  <w:tcMar>
                    <w:left w:w="0" w:type="dxa"/>
                    <w:right w:w="0" w:type="dxa"/>
                  </w:tcMar>
                  <w:vAlign w:val="center"/>
                </w:tcPr>
                <w:p>
                  <w:pPr>
                    <w:adjustRightInd w:val="0"/>
                    <w:snapToGrid w:val="0"/>
                    <w:jc w:val="center"/>
                    <w:rPr>
                      <w:b/>
                      <w:bCs/>
                      <w:color w:val="000000"/>
                      <w:sz w:val="21"/>
                      <w:szCs w:val="21"/>
                    </w:rPr>
                  </w:pPr>
                  <w:r>
                    <w:rPr>
                      <w:b/>
                      <w:bCs/>
                      <w:color w:val="000000"/>
                      <w:sz w:val="21"/>
                      <w:szCs w:val="21"/>
                    </w:rPr>
                    <w:t>夜间</w:t>
                  </w:r>
                </w:p>
              </w:tc>
              <w:tc>
                <w:tcPr>
                  <w:tcW w:w="1025" w:type="dxa"/>
                  <w:tcMar>
                    <w:left w:w="0" w:type="dxa"/>
                    <w:right w:w="0" w:type="dxa"/>
                  </w:tcMar>
                  <w:vAlign w:val="center"/>
                </w:tcPr>
                <w:p>
                  <w:pPr>
                    <w:adjustRightInd w:val="0"/>
                    <w:snapToGrid w:val="0"/>
                    <w:jc w:val="center"/>
                    <w:rPr>
                      <w:b/>
                      <w:bCs/>
                      <w:color w:val="000000"/>
                      <w:sz w:val="21"/>
                      <w:szCs w:val="21"/>
                    </w:rPr>
                  </w:pPr>
                  <w:r>
                    <w:rPr>
                      <w:b/>
                      <w:bCs/>
                      <w:color w:val="000000"/>
                      <w:sz w:val="21"/>
                      <w:szCs w:val="21"/>
                    </w:rPr>
                    <w:t>昼间</w:t>
                  </w:r>
                </w:p>
              </w:tc>
              <w:tc>
                <w:tcPr>
                  <w:tcW w:w="1097" w:type="dxa"/>
                  <w:vAlign w:val="center"/>
                </w:tcPr>
                <w:p>
                  <w:pPr>
                    <w:adjustRightInd w:val="0"/>
                    <w:snapToGrid w:val="0"/>
                    <w:jc w:val="center"/>
                    <w:rPr>
                      <w:b/>
                      <w:bCs/>
                      <w:color w:val="000000"/>
                      <w:sz w:val="21"/>
                      <w:szCs w:val="21"/>
                    </w:rPr>
                  </w:pPr>
                  <w:r>
                    <w:rPr>
                      <w:b/>
                      <w:bCs/>
                      <w:color w:val="000000"/>
                      <w:sz w:val="21"/>
                      <w:szCs w:val="21"/>
                    </w:rPr>
                    <w:t>夜间</w:t>
                  </w:r>
                </w:p>
              </w:tc>
              <w:tc>
                <w:tcPr>
                  <w:tcW w:w="1794" w:type="dxa"/>
                  <w:vMerge w:val="continue"/>
                  <w:tcMar>
                    <w:left w:w="0" w:type="dxa"/>
                    <w:right w:w="0" w:type="dxa"/>
                  </w:tcMar>
                  <w:vAlign w:val="center"/>
                </w:tcPr>
                <w:p>
                  <w:pPr>
                    <w:adjustRightInd w:val="0"/>
                    <w:snapToGrid w:val="0"/>
                    <w:jc w:val="center"/>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tcMar>
                    <w:left w:w="0" w:type="dxa"/>
                    <w:right w:w="0" w:type="dxa"/>
                  </w:tcMar>
                  <w:vAlign w:val="center"/>
                </w:tcPr>
                <w:p>
                  <w:pPr>
                    <w:adjustRightInd w:val="0"/>
                    <w:snapToGrid w:val="0"/>
                    <w:jc w:val="center"/>
                    <w:rPr>
                      <w:color w:val="000000"/>
                      <w:sz w:val="21"/>
                      <w:szCs w:val="21"/>
                    </w:rPr>
                  </w:pPr>
                  <w:r>
                    <w:rPr>
                      <w:color w:val="000000"/>
                      <w:sz w:val="21"/>
                      <w:szCs w:val="21"/>
                    </w:rPr>
                    <w:t>东厂界</w:t>
                  </w:r>
                </w:p>
              </w:tc>
              <w:tc>
                <w:tcPr>
                  <w:tcW w:w="1379" w:type="dxa"/>
                  <w:tcMar>
                    <w:left w:w="0" w:type="dxa"/>
                    <w:right w:w="0" w:type="dxa"/>
                  </w:tcMar>
                  <w:vAlign w:val="center"/>
                </w:tcPr>
                <w:p>
                  <w:pPr>
                    <w:adjustRightInd w:val="0"/>
                    <w:snapToGrid w:val="0"/>
                    <w:jc w:val="center"/>
                    <w:rPr>
                      <w:color w:val="000000"/>
                      <w:sz w:val="21"/>
                      <w:szCs w:val="21"/>
                    </w:rPr>
                  </w:pPr>
                  <w:r>
                    <w:rPr>
                      <w:rFonts w:hint="eastAsia"/>
                      <w:color w:val="000000"/>
                      <w:sz w:val="21"/>
                      <w:szCs w:val="21"/>
                    </w:rPr>
                    <w:t>47.2</w:t>
                  </w:r>
                </w:p>
              </w:tc>
              <w:tc>
                <w:tcPr>
                  <w:tcW w:w="1162" w:type="dxa"/>
                  <w:tcMar>
                    <w:left w:w="0" w:type="dxa"/>
                    <w:right w:w="0" w:type="dxa"/>
                  </w:tcMar>
                  <w:vAlign w:val="center"/>
                </w:tcPr>
                <w:p>
                  <w:pPr>
                    <w:adjustRightInd w:val="0"/>
                    <w:snapToGrid w:val="0"/>
                    <w:jc w:val="center"/>
                    <w:rPr>
                      <w:color w:val="000000"/>
                      <w:sz w:val="21"/>
                      <w:szCs w:val="21"/>
                    </w:rPr>
                  </w:pPr>
                  <w:r>
                    <w:rPr>
                      <w:rFonts w:hint="eastAsia"/>
                      <w:color w:val="000000"/>
                      <w:sz w:val="21"/>
                      <w:szCs w:val="21"/>
                    </w:rPr>
                    <w:t>47.2</w:t>
                  </w:r>
                </w:p>
              </w:tc>
              <w:tc>
                <w:tcPr>
                  <w:tcW w:w="1025" w:type="dxa"/>
                  <w:tcMar>
                    <w:left w:w="0" w:type="dxa"/>
                    <w:right w:w="0" w:type="dxa"/>
                  </w:tcMar>
                  <w:vAlign w:val="center"/>
                </w:tcPr>
                <w:p>
                  <w:pPr>
                    <w:adjustRightInd w:val="0"/>
                    <w:snapToGrid w:val="0"/>
                    <w:jc w:val="center"/>
                    <w:rPr>
                      <w:color w:val="000000"/>
                      <w:sz w:val="21"/>
                      <w:szCs w:val="21"/>
                    </w:rPr>
                  </w:pPr>
                  <w:r>
                    <w:rPr>
                      <w:color w:val="000000"/>
                      <w:sz w:val="21"/>
                      <w:szCs w:val="21"/>
                    </w:rPr>
                    <w:t>65</w:t>
                  </w:r>
                </w:p>
              </w:tc>
              <w:tc>
                <w:tcPr>
                  <w:tcW w:w="1097" w:type="dxa"/>
                  <w:vAlign w:val="center"/>
                </w:tcPr>
                <w:p>
                  <w:pPr>
                    <w:adjustRightInd w:val="0"/>
                    <w:snapToGrid w:val="0"/>
                    <w:jc w:val="center"/>
                    <w:rPr>
                      <w:color w:val="000000"/>
                      <w:sz w:val="21"/>
                      <w:szCs w:val="21"/>
                    </w:rPr>
                  </w:pPr>
                  <w:r>
                    <w:rPr>
                      <w:rFonts w:hint="eastAsia"/>
                      <w:color w:val="000000"/>
                      <w:sz w:val="21"/>
                      <w:szCs w:val="21"/>
                    </w:rPr>
                    <w:t>55</w:t>
                  </w:r>
                </w:p>
              </w:tc>
              <w:tc>
                <w:tcPr>
                  <w:tcW w:w="1794" w:type="dxa"/>
                  <w:tcMar>
                    <w:left w:w="0" w:type="dxa"/>
                    <w:right w:w="0" w:type="dxa"/>
                  </w:tcMar>
                  <w:vAlign w:val="center"/>
                </w:tcPr>
                <w:p>
                  <w:pPr>
                    <w:adjustRightInd w:val="0"/>
                    <w:snapToGrid w:val="0"/>
                    <w:jc w:val="center"/>
                    <w:rPr>
                      <w:color w:val="000000"/>
                      <w:sz w:val="21"/>
                      <w:szCs w:val="21"/>
                    </w:rPr>
                  </w:pPr>
                  <w:r>
                    <w:rPr>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79" w:type="dxa"/>
                  <w:tcMar>
                    <w:left w:w="0" w:type="dxa"/>
                    <w:right w:w="0" w:type="dxa"/>
                  </w:tcMar>
                  <w:vAlign w:val="center"/>
                </w:tcPr>
                <w:p>
                  <w:pPr>
                    <w:adjustRightInd w:val="0"/>
                    <w:snapToGrid w:val="0"/>
                    <w:jc w:val="center"/>
                    <w:rPr>
                      <w:color w:val="000000"/>
                      <w:sz w:val="21"/>
                      <w:szCs w:val="21"/>
                    </w:rPr>
                  </w:pPr>
                  <w:r>
                    <w:rPr>
                      <w:color w:val="000000"/>
                      <w:sz w:val="21"/>
                      <w:szCs w:val="21"/>
                    </w:rPr>
                    <w:t>南厂界</w:t>
                  </w:r>
                </w:p>
              </w:tc>
              <w:tc>
                <w:tcPr>
                  <w:tcW w:w="1379" w:type="dxa"/>
                  <w:tcMar>
                    <w:left w:w="0" w:type="dxa"/>
                    <w:right w:w="0" w:type="dxa"/>
                  </w:tcMar>
                  <w:vAlign w:val="center"/>
                </w:tcPr>
                <w:p>
                  <w:pPr>
                    <w:adjustRightInd w:val="0"/>
                    <w:snapToGrid w:val="0"/>
                    <w:jc w:val="center"/>
                    <w:rPr>
                      <w:color w:val="000000"/>
                      <w:sz w:val="21"/>
                      <w:szCs w:val="21"/>
                    </w:rPr>
                  </w:pPr>
                  <w:r>
                    <w:rPr>
                      <w:rFonts w:hint="eastAsia"/>
                      <w:color w:val="000000"/>
                      <w:sz w:val="21"/>
                      <w:szCs w:val="21"/>
                    </w:rPr>
                    <w:t>51.3</w:t>
                  </w:r>
                </w:p>
              </w:tc>
              <w:tc>
                <w:tcPr>
                  <w:tcW w:w="1162" w:type="dxa"/>
                  <w:tcMar>
                    <w:left w:w="0" w:type="dxa"/>
                    <w:right w:w="0" w:type="dxa"/>
                  </w:tcMar>
                  <w:vAlign w:val="center"/>
                </w:tcPr>
                <w:p>
                  <w:pPr>
                    <w:adjustRightInd w:val="0"/>
                    <w:snapToGrid w:val="0"/>
                    <w:jc w:val="center"/>
                    <w:rPr>
                      <w:color w:val="000000"/>
                      <w:sz w:val="21"/>
                      <w:szCs w:val="21"/>
                    </w:rPr>
                  </w:pPr>
                  <w:r>
                    <w:rPr>
                      <w:rFonts w:hint="eastAsia"/>
                      <w:color w:val="000000"/>
                      <w:sz w:val="21"/>
                      <w:szCs w:val="21"/>
                    </w:rPr>
                    <w:t>51.3</w:t>
                  </w:r>
                </w:p>
              </w:tc>
              <w:tc>
                <w:tcPr>
                  <w:tcW w:w="1025" w:type="dxa"/>
                  <w:tcMar>
                    <w:left w:w="0" w:type="dxa"/>
                    <w:right w:w="0" w:type="dxa"/>
                  </w:tcMar>
                  <w:vAlign w:val="center"/>
                </w:tcPr>
                <w:p>
                  <w:pPr>
                    <w:adjustRightInd w:val="0"/>
                    <w:snapToGrid w:val="0"/>
                    <w:jc w:val="center"/>
                    <w:rPr>
                      <w:color w:val="000000"/>
                      <w:sz w:val="21"/>
                      <w:szCs w:val="21"/>
                    </w:rPr>
                  </w:pPr>
                  <w:r>
                    <w:rPr>
                      <w:color w:val="000000"/>
                      <w:sz w:val="21"/>
                      <w:szCs w:val="21"/>
                    </w:rPr>
                    <w:t>65</w:t>
                  </w:r>
                </w:p>
              </w:tc>
              <w:tc>
                <w:tcPr>
                  <w:tcW w:w="1097" w:type="dxa"/>
                  <w:vAlign w:val="center"/>
                </w:tcPr>
                <w:p>
                  <w:pPr>
                    <w:adjustRightInd w:val="0"/>
                    <w:snapToGrid w:val="0"/>
                    <w:jc w:val="center"/>
                    <w:rPr>
                      <w:color w:val="000000"/>
                      <w:sz w:val="21"/>
                      <w:szCs w:val="21"/>
                    </w:rPr>
                  </w:pPr>
                  <w:r>
                    <w:rPr>
                      <w:rFonts w:hint="eastAsia"/>
                      <w:color w:val="000000"/>
                      <w:sz w:val="21"/>
                      <w:szCs w:val="21"/>
                    </w:rPr>
                    <w:t>55</w:t>
                  </w:r>
                </w:p>
              </w:tc>
              <w:tc>
                <w:tcPr>
                  <w:tcW w:w="1794" w:type="dxa"/>
                  <w:tcMar>
                    <w:left w:w="0" w:type="dxa"/>
                    <w:right w:w="0" w:type="dxa"/>
                  </w:tcMar>
                  <w:vAlign w:val="center"/>
                </w:tcPr>
                <w:p>
                  <w:pPr>
                    <w:adjustRightInd w:val="0"/>
                    <w:snapToGrid w:val="0"/>
                    <w:jc w:val="center"/>
                    <w:rPr>
                      <w:color w:val="000000"/>
                      <w:sz w:val="21"/>
                      <w:szCs w:val="21"/>
                    </w:rPr>
                  </w:pPr>
                  <w:r>
                    <w:rPr>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tcMar>
                    <w:left w:w="0" w:type="dxa"/>
                    <w:right w:w="0" w:type="dxa"/>
                  </w:tcMar>
                  <w:vAlign w:val="center"/>
                </w:tcPr>
                <w:p>
                  <w:pPr>
                    <w:adjustRightInd w:val="0"/>
                    <w:snapToGrid w:val="0"/>
                    <w:jc w:val="center"/>
                    <w:rPr>
                      <w:color w:val="000000"/>
                      <w:sz w:val="21"/>
                      <w:szCs w:val="21"/>
                    </w:rPr>
                  </w:pPr>
                  <w:bookmarkStart w:id="4" w:name="OLE_LINK162" w:colFirst="4" w:colLast="4"/>
                  <w:r>
                    <w:rPr>
                      <w:color w:val="000000"/>
                      <w:sz w:val="21"/>
                      <w:szCs w:val="21"/>
                    </w:rPr>
                    <w:t>西厂界</w:t>
                  </w:r>
                </w:p>
              </w:tc>
              <w:tc>
                <w:tcPr>
                  <w:tcW w:w="1379" w:type="dxa"/>
                  <w:tcMar>
                    <w:left w:w="0" w:type="dxa"/>
                    <w:right w:w="0" w:type="dxa"/>
                  </w:tcMar>
                  <w:vAlign w:val="center"/>
                </w:tcPr>
                <w:p>
                  <w:pPr>
                    <w:adjustRightInd w:val="0"/>
                    <w:snapToGrid w:val="0"/>
                    <w:jc w:val="center"/>
                    <w:rPr>
                      <w:color w:val="000000"/>
                      <w:sz w:val="21"/>
                      <w:szCs w:val="21"/>
                    </w:rPr>
                  </w:pPr>
                  <w:r>
                    <w:rPr>
                      <w:rFonts w:hint="eastAsia"/>
                      <w:color w:val="000000"/>
                      <w:sz w:val="21"/>
                      <w:szCs w:val="21"/>
                    </w:rPr>
                    <w:t>51</w:t>
                  </w:r>
                  <w:r>
                    <w:rPr>
                      <w:color w:val="000000"/>
                      <w:sz w:val="21"/>
                      <w:szCs w:val="21"/>
                    </w:rPr>
                    <w:t>.</w:t>
                  </w:r>
                  <w:r>
                    <w:rPr>
                      <w:rFonts w:hint="eastAsia"/>
                      <w:color w:val="000000"/>
                      <w:sz w:val="21"/>
                      <w:szCs w:val="21"/>
                    </w:rPr>
                    <w:t>6</w:t>
                  </w:r>
                </w:p>
              </w:tc>
              <w:tc>
                <w:tcPr>
                  <w:tcW w:w="1162" w:type="dxa"/>
                  <w:tcMar>
                    <w:left w:w="0" w:type="dxa"/>
                    <w:right w:w="0" w:type="dxa"/>
                  </w:tcMar>
                  <w:vAlign w:val="center"/>
                </w:tcPr>
                <w:p>
                  <w:pPr>
                    <w:adjustRightInd w:val="0"/>
                    <w:snapToGrid w:val="0"/>
                    <w:jc w:val="center"/>
                    <w:rPr>
                      <w:color w:val="000000"/>
                      <w:sz w:val="21"/>
                      <w:szCs w:val="21"/>
                    </w:rPr>
                  </w:pPr>
                  <w:r>
                    <w:rPr>
                      <w:rFonts w:hint="eastAsia"/>
                      <w:color w:val="000000"/>
                      <w:sz w:val="21"/>
                      <w:szCs w:val="21"/>
                    </w:rPr>
                    <w:t>51</w:t>
                  </w:r>
                  <w:r>
                    <w:rPr>
                      <w:color w:val="000000"/>
                      <w:sz w:val="21"/>
                      <w:szCs w:val="21"/>
                    </w:rPr>
                    <w:t>.</w:t>
                  </w:r>
                  <w:r>
                    <w:rPr>
                      <w:rFonts w:hint="eastAsia"/>
                      <w:color w:val="000000"/>
                      <w:sz w:val="21"/>
                      <w:szCs w:val="21"/>
                    </w:rPr>
                    <w:t>6</w:t>
                  </w:r>
                </w:p>
              </w:tc>
              <w:tc>
                <w:tcPr>
                  <w:tcW w:w="1025" w:type="dxa"/>
                  <w:tcMar>
                    <w:left w:w="0" w:type="dxa"/>
                    <w:right w:w="0" w:type="dxa"/>
                  </w:tcMar>
                  <w:vAlign w:val="center"/>
                </w:tcPr>
                <w:p>
                  <w:pPr>
                    <w:adjustRightInd w:val="0"/>
                    <w:snapToGrid w:val="0"/>
                    <w:jc w:val="center"/>
                    <w:rPr>
                      <w:color w:val="000000"/>
                      <w:sz w:val="21"/>
                      <w:szCs w:val="21"/>
                    </w:rPr>
                  </w:pPr>
                  <w:r>
                    <w:rPr>
                      <w:color w:val="000000"/>
                      <w:sz w:val="21"/>
                      <w:szCs w:val="21"/>
                    </w:rPr>
                    <w:t>65</w:t>
                  </w:r>
                </w:p>
              </w:tc>
              <w:tc>
                <w:tcPr>
                  <w:tcW w:w="1097" w:type="dxa"/>
                  <w:vAlign w:val="center"/>
                </w:tcPr>
                <w:p>
                  <w:pPr>
                    <w:adjustRightInd w:val="0"/>
                    <w:snapToGrid w:val="0"/>
                    <w:jc w:val="center"/>
                    <w:rPr>
                      <w:color w:val="000000"/>
                      <w:sz w:val="21"/>
                      <w:szCs w:val="21"/>
                    </w:rPr>
                  </w:pPr>
                  <w:r>
                    <w:rPr>
                      <w:rFonts w:hint="eastAsia"/>
                      <w:color w:val="000000"/>
                      <w:sz w:val="21"/>
                      <w:szCs w:val="21"/>
                    </w:rPr>
                    <w:t>55</w:t>
                  </w:r>
                </w:p>
              </w:tc>
              <w:tc>
                <w:tcPr>
                  <w:tcW w:w="1794" w:type="dxa"/>
                  <w:tcMar>
                    <w:left w:w="0" w:type="dxa"/>
                    <w:right w:w="0" w:type="dxa"/>
                  </w:tcMar>
                  <w:vAlign w:val="center"/>
                </w:tcPr>
                <w:p>
                  <w:pPr>
                    <w:adjustRightInd w:val="0"/>
                    <w:snapToGrid w:val="0"/>
                    <w:jc w:val="center"/>
                    <w:rPr>
                      <w:color w:val="000000"/>
                      <w:sz w:val="21"/>
                      <w:szCs w:val="21"/>
                    </w:rPr>
                  </w:pPr>
                  <w:r>
                    <w:rPr>
                      <w:color w:val="00000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79" w:type="dxa"/>
                  <w:tcMar>
                    <w:left w:w="0" w:type="dxa"/>
                    <w:right w:w="0" w:type="dxa"/>
                  </w:tcMar>
                  <w:vAlign w:val="center"/>
                </w:tcPr>
                <w:p>
                  <w:pPr>
                    <w:adjustRightInd w:val="0"/>
                    <w:snapToGrid w:val="0"/>
                    <w:jc w:val="center"/>
                    <w:rPr>
                      <w:color w:val="000000"/>
                      <w:sz w:val="21"/>
                      <w:szCs w:val="21"/>
                    </w:rPr>
                  </w:pPr>
                  <w:r>
                    <w:rPr>
                      <w:color w:val="000000"/>
                      <w:sz w:val="21"/>
                      <w:szCs w:val="21"/>
                    </w:rPr>
                    <w:t>北厂界</w:t>
                  </w:r>
                </w:p>
              </w:tc>
              <w:tc>
                <w:tcPr>
                  <w:tcW w:w="1379" w:type="dxa"/>
                  <w:tcMar>
                    <w:left w:w="0" w:type="dxa"/>
                    <w:right w:w="0" w:type="dxa"/>
                  </w:tcMar>
                  <w:vAlign w:val="center"/>
                </w:tcPr>
                <w:p>
                  <w:pPr>
                    <w:adjustRightInd w:val="0"/>
                    <w:snapToGrid w:val="0"/>
                    <w:jc w:val="center"/>
                    <w:rPr>
                      <w:color w:val="000000"/>
                      <w:sz w:val="21"/>
                      <w:szCs w:val="21"/>
                    </w:rPr>
                  </w:pPr>
                  <w:r>
                    <w:rPr>
                      <w:rFonts w:hint="eastAsia"/>
                      <w:color w:val="000000"/>
                      <w:sz w:val="21"/>
                      <w:szCs w:val="21"/>
                    </w:rPr>
                    <w:t>45.8</w:t>
                  </w:r>
                </w:p>
              </w:tc>
              <w:tc>
                <w:tcPr>
                  <w:tcW w:w="1162" w:type="dxa"/>
                  <w:tcMar>
                    <w:left w:w="0" w:type="dxa"/>
                    <w:right w:w="0" w:type="dxa"/>
                  </w:tcMar>
                  <w:vAlign w:val="center"/>
                </w:tcPr>
                <w:p>
                  <w:pPr>
                    <w:adjustRightInd w:val="0"/>
                    <w:snapToGrid w:val="0"/>
                    <w:jc w:val="center"/>
                    <w:rPr>
                      <w:color w:val="000000"/>
                      <w:sz w:val="21"/>
                      <w:szCs w:val="21"/>
                    </w:rPr>
                  </w:pPr>
                  <w:r>
                    <w:rPr>
                      <w:rFonts w:hint="eastAsia"/>
                      <w:color w:val="000000"/>
                      <w:sz w:val="21"/>
                      <w:szCs w:val="21"/>
                    </w:rPr>
                    <w:t>45.8</w:t>
                  </w:r>
                </w:p>
              </w:tc>
              <w:tc>
                <w:tcPr>
                  <w:tcW w:w="1025" w:type="dxa"/>
                  <w:tcMar>
                    <w:left w:w="0" w:type="dxa"/>
                    <w:right w:w="0" w:type="dxa"/>
                  </w:tcMar>
                  <w:vAlign w:val="center"/>
                </w:tcPr>
                <w:p>
                  <w:pPr>
                    <w:adjustRightInd w:val="0"/>
                    <w:snapToGrid w:val="0"/>
                    <w:jc w:val="center"/>
                    <w:rPr>
                      <w:color w:val="000000"/>
                      <w:sz w:val="21"/>
                      <w:szCs w:val="21"/>
                    </w:rPr>
                  </w:pPr>
                  <w:r>
                    <w:rPr>
                      <w:color w:val="000000"/>
                      <w:sz w:val="21"/>
                      <w:szCs w:val="21"/>
                    </w:rPr>
                    <w:t>65</w:t>
                  </w:r>
                </w:p>
              </w:tc>
              <w:tc>
                <w:tcPr>
                  <w:tcW w:w="1097" w:type="dxa"/>
                  <w:vAlign w:val="center"/>
                </w:tcPr>
                <w:p>
                  <w:pPr>
                    <w:adjustRightInd w:val="0"/>
                    <w:snapToGrid w:val="0"/>
                    <w:jc w:val="center"/>
                    <w:rPr>
                      <w:color w:val="000000"/>
                      <w:sz w:val="21"/>
                      <w:szCs w:val="21"/>
                    </w:rPr>
                  </w:pPr>
                  <w:r>
                    <w:rPr>
                      <w:rFonts w:hint="eastAsia"/>
                      <w:color w:val="000000"/>
                      <w:sz w:val="21"/>
                      <w:szCs w:val="21"/>
                    </w:rPr>
                    <w:t>55</w:t>
                  </w:r>
                </w:p>
              </w:tc>
              <w:tc>
                <w:tcPr>
                  <w:tcW w:w="1794" w:type="dxa"/>
                  <w:tcMar>
                    <w:left w:w="0" w:type="dxa"/>
                    <w:right w:w="0" w:type="dxa"/>
                  </w:tcMar>
                  <w:vAlign w:val="center"/>
                </w:tcPr>
                <w:p>
                  <w:pPr>
                    <w:adjustRightInd w:val="0"/>
                    <w:snapToGrid w:val="0"/>
                    <w:jc w:val="center"/>
                    <w:rPr>
                      <w:color w:val="000000"/>
                      <w:sz w:val="21"/>
                      <w:szCs w:val="21"/>
                    </w:rPr>
                  </w:pPr>
                  <w:r>
                    <w:rPr>
                      <w:color w:val="000000"/>
                      <w:sz w:val="21"/>
                      <w:szCs w:val="21"/>
                    </w:rPr>
                    <w:t>达标</w:t>
                  </w:r>
                </w:p>
              </w:tc>
            </w:tr>
            <w:bookmarkEnd w:id="4"/>
          </w:tbl>
          <w:p>
            <w:pPr>
              <w:adjustRightInd w:val="0"/>
              <w:snapToGrid w:val="0"/>
              <w:spacing w:line="360" w:lineRule="auto"/>
              <w:ind w:firstLine="480" w:firstLineChars="200"/>
              <w:jc w:val="left"/>
              <w:rPr>
                <w:color w:val="000000"/>
              </w:rPr>
            </w:pPr>
            <w:r>
              <w:t>由上表可见，东侧、南侧、西侧、北侧厂界噪声排放达到《工业企业厂界环境噪声排放标准》（GB12348-2008）中</w:t>
            </w:r>
            <w:r>
              <w:rPr>
                <w:rFonts w:hint="eastAsia"/>
                <w:lang w:val="en-US" w:eastAsia="zh-CN"/>
              </w:rPr>
              <w:t>3</w:t>
            </w:r>
            <w:r>
              <w:t>类标准要求（昼间：</w:t>
            </w:r>
            <w:r>
              <w:rPr>
                <w:rFonts w:hint="eastAsia"/>
              </w:rPr>
              <w:t>6</w:t>
            </w:r>
            <w:r>
              <w:rPr>
                <w:rFonts w:hint="eastAsia"/>
                <w:lang w:val="en-US" w:eastAsia="zh-CN"/>
              </w:rPr>
              <w:t>5</w:t>
            </w:r>
            <w:r>
              <w:t>dB（A）</w:t>
            </w:r>
            <w:r>
              <w:rPr>
                <w:rFonts w:hint="eastAsia"/>
              </w:rPr>
              <w:t>；夜间</w:t>
            </w:r>
            <w:r>
              <w:t>：</w:t>
            </w:r>
            <w:r>
              <w:rPr>
                <w:rFonts w:hint="eastAsia"/>
              </w:rPr>
              <w:t>5</w:t>
            </w:r>
            <w:r>
              <w:rPr>
                <w:rFonts w:hint="eastAsia"/>
                <w:lang w:val="en-US" w:eastAsia="zh-CN"/>
              </w:rPr>
              <w:t>5</w:t>
            </w:r>
            <w:r>
              <w:t>dB（A）</w:t>
            </w:r>
            <w:r>
              <w:rPr>
                <w:rFonts w:hint="eastAsia"/>
              </w:rPr>
              <w:t>）</w:t>
            </w:r>
            <w:r>
              <w:t>。对外环境的影响不大。因此，本项目噪声源噪声值经厂房隔声和距离减震降噪措施后，可保证厂界噪声达标排放，对区域环境的影响较小</w:t>
            </w:r>
            <w:r>
              <w:rPr>
                <w:color w:val="000000"/>
              </w:rPr>
              <w:t>。</w:t>
            </w:r>
          </w:p>
          <w:p>
            <w:pPr>
              <w:adjustRightInd w:val="0"/>
              <w:snapToGrid w:val="0"/>
              <w:spacing w:line="360" w:lineRule="auto"/>
              <w:ind w:firstLine="482" w:firstLineChars="200"/>
              <w:rPr>
                <w:b/>
                <w:color w:val="000000"/>
              </w:rPr>
            </w:pPr>
            <w:r>
              <w:rPr>
                <w:b/>
                <w:color w:val="000000"/>
              </w:rPr>
              <w:t>3、噪声降噪具体措施</w:t>
            </w:r>
          </w:p>
          <w:p>
            <w:pPr>
              <w:adjustRightInd w:val="0"/>
              <w:snapToGrid w:val="0"/>
              <w:spacing w:line="360" w:lineRule="auto"/>
              <w:ind w:firstLine="480" w:firstLineChars="200"/>
              <w:rPr>
                <w:bCs/>
                <w:color w:val="000000"/>
              </w:rPr>
            </w:pPr>
            <w:r>
              <w:rPr>
                <w:bCs/>
                <w:color w:val="000000"/>
              </w:rPr>
              <w:t>本项目生产设备在运行期间均会产生噪声，建设单位采取以下措施来减轻生产设备运行噪声的环境影响。</w:t>
            </w:r>
          </w:p>
          <w:p>
            <w:pPr>
              <w:adjustRightInd w:val="0"/>
              <w:snapToGrid w:val="0"/>
              <w:spacing w:line="360" w:lineRule="auto"/>
              <w:ind w:firstLine="480" w:firstLineChars="200"/>
              <w:rPr>
                <w:bCs/>
              </w:rPr>
            </w:pPr>
            <w:r>
              <w:rPr>
                <w:bCs/>
              </w:rPr>
              <w:t>（1）选用低噪声设备或带隔声、消声的设备，从源头减少噪声的产生。</w:t>
            </w:r>
          </w:p>
          <w:p>
            <w:pPr>
              <w:adjustRightInd w:val="0"/>
              <w:snapToGrid w:val="0"/>
              <w:spacing w:line="360" w:lineRule="auto"/>
              <w:ind w:firstLine="480" w:firstLineChars="200"/>
              <w:rPr>
                <w:bCs/>
              </w:rPr>
            </w:pPr>
            <w:r>
              <w:rPr>
                <w:bCs/>
              </w:rPr>
              <w:t>（2）合理布局设备位置，使高强度的噪声设备远离项目边界及环境敏感点。</w:t>
            </w:r>
          </w:p>
          <w:p>
            <w:pPr>
              <w:adjustRightInd w:val="0"/>
              <w:snapToGrid w:val="0"/>
              <w:spacing w:line="360" w:lineRule="auto"/>
              <w:ind w:firstLine="480" w:firstLineChars="200"/>
              <w:rPr>
                <w:bCs/>
              </w:rPr>
            </w:pPr>
            <w:r>
              <w:rPr>
                <w:bCs/>
              </w:rPr>
              <w:t>（3）设置较为隔声的生产车间。</w:t>
            </w:r>
          </w:p>
          <w:p>
            <w:pPr>
              <w:adjustRightInd w:val="0"/>
              <w:snapToGrid w:val="0"/>
              <w:spacing w:line="360" w:lineRule="auto"/>
              <w:ind w:firstLine="480" w:firstLineChars="200"/>
              <w:rPr>
                <w:bCs/>
              </w:rPr>
            </w:pPr>
            <w:r>
              <w:rPr>
                <w:bCs/>
              </w:rPr>
              <w:t>（4）对噪声值高的设备采取减振、消声、隔声等措施降低噪声值。</w:t>
            </w:r>
          </w:p>
          <w:p>
            <w:pPr>
              <w:adjustRightInd w:val="0"/>
              <w:snapToGrid w:val="0"/>
              <w:spacing w:line="360" w:lineRule="auto"/>
              <w:ind w:firstLine="480" w:firstLineChars="200"/>
              <w:rPr>
                <w:bCs/>
              </w:rPr>
            </w:pPr>
            <w:r>
              <w:rPr>
                <w:bCs/>
              </w:rPr>
              <w:t>（5）定期对生产设备进行保养维修，保证生产设备维持的良好使用状态，并严格遵守生产设备的操作规范。</w:t>
            </w:r>
          </w:p>
          <w:p>
            <w:pPr>
              <w:spacing w:line="360" w:lineRule="auto"/>
              <w:ind w:firstLine="482" w:firstLineChars="200"/>
              <w:rPr>
                <w:b/>
                <w:szCs w:val="32"/>
              </w:rPr>
            </w:pPr>
            <w:r>
              <w:rPr>
                <w:rFonts w:hint="eastAsia"/>
                <w:b/>
                <w:szCs w:val="32"/>
              </w:rPr>
              <w:t>4、</w:t>
            </w:r>
            <w:r>
              <w:rPr>
                <w:b/>
                <w:szCs w:val="32"/>
                <w:lang w:bidi="ar"/>
              </w:rPr>
              <w:t>噪声</w:t>
            </w:r>
            <w:r>
              <w:rPr>
                <w:b/>
                <w:szCs w:val="32"/>
              </w:rPr>
              <w:t>监测计划</w:t>
            </w:r>
          </w:p>
          <w:p>
            <w:pPr>
              <w:spacing w:line="360" w:lineRule="auto"/>
              <w:ind w:firstLine="480" w:firstLineChars="200"/>
              <w:rPr>
                <w:szCs w:val="32"/>
              </w:rPr>
            </w:pPr>
            <w:r>
              <w:rPr>
                <w:bCs/>
                <w:szCs w:val="32"/>
              </w:rPr>
              <w:t xml:space="preserve">根据《排污单位自行监测技术指南 </w:t>
            </w:r>
            <w:r>
              <w:rPr>
                <w:rFonts w:hint="eastAsia"/>
                <w:bCs/>
                <w:szCs w:val="32"/>
              </w:rPr>
              <w:t>总则</w:t>
            </w:r>
            <w:r>
              <w:rPr>
                <w:bCs/>
                <w:szCs w:val="32"/>
              </w:rPr>
              <w:t>》（HJ</w:t>
            </w:r>
            <w:r>
              <w:rPr>
                <w:rFonts w:hint="eastAsia"/>
                <w:bCs/>
                <w:szCs w:val="32"/>
              </w:rPr>
              <w:t>819</w:t>
            </w:r>
            <w:r>
              <w:rPr>
                <w:bCs/>
                <w:szCs w:val="32"/>
              </w:rPr>
              <w:t>-20</w:t>
            </w:r>
            <w:r>
              <w:rPr>
                <w:rFonts w:hint="eastAsia"/>
                <w:bCs/>
                <w:szCs w:val="32"/>
              </w:rPr>
              <w:t>17</w:t>
            </w:r>
            <w:r>
              <w:rPr>
                <w:bCs/>
                <w:szCs w:val="32"/>
              </w:rPr>
              <w:t>），项目噪声监测计划如下所示。</w:t>
            </w:r>
          </w:p>
          <w:p>
            <w:pPr>
              <w:autoSpaceDE w:val="0"/>
              <w:autoSpaceDN w:val="0"/>
              <w:adjustRightInd w:val="0"/>
              <w:spacing w:line="360" w:lineRule="auto"/>
              <w:jc w:val="center"/>
              <w:rPr>
                <w:b/>
                <w:bCs/>
                <w:kern w:val="0"/>
                <w:sz w:val="21"/>
                <w:szCs w:val="21"/>
              </w:rPr>
            </w:pPr>
            <w:r>
              <w:rPr>
                <w:b/>
                <w:bCs/>
                <w:kern w:val="0"/>
                <w:lang w:bidi="ar"/>
              </w:rPr>
              <w:t>表4-</w:t>
            </w:r>
            <w:r>
              <w:rPr>
                <w:rFonts w:hint="eastAsia"/>
                <w:b/>
                <w:bCs/>
                <w:kern w:val="0"/>
                <w:lang w:bidi="ar"/>
              </w:rPr>
              <w:t>1</w:t>
            </w:r>
            <w:r>
              <w:rPr>
                <w:rFonts w:hint="eastAsia"/>
                <w:b/>
                <w:bCs/>
                <w:kern w:val="0"/>
                <w:lang w:val="en-US" w:eastAsia="zh-CN" w:bidi="ar"/>
              </w:rPr>
              <w:t>1</w:t>
            </w:r>
            <w:r>
              <w:rPr>
                <w:b/>
                <w:bCs/>
                <w:kern w:val="0"/>
                <w:lang w:bidi="ar"/>
              </w:rPr>
              <w:t xml:space="preserve">  噪声监测计划表</w:t>
            </w:r>
          </w:p>
          <w:tbl>
            <w:tblPr>
              <w:tblStyle w:val="24"/>
              <w:tblW w:w="7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598"/>
              <w:gridCol w:w="1210"/>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2" w:type="dxa"/>
                  <w:vAlign w:val="center"/>
                </w:tcPr>
                <w:p>
                  <w:pPr>
                    <w:pStyle w:val="49"/>
                    <w:spacing w:line="240" w:lineRule="auto"/>
                    <w:rPr>
                      <w:b/>
                      <w:bCs/>
                      <w:color w:val="000000"/>
                      <w:sz w:val="21"/>
                    </w:rPr>
                  </w:pPr>
                  <w:r>
                    <w:rPr>
                      <w:b/>
                      <w:bCs/>
                      <w:color w:val="000000"/>
                      <w:sz w:val="21"/>
                    </w:rPr>
                    <w:t>监测点位置</w:t>
                  </w:r>
                </w:p>
              </w:tc>
              <w:tc>
                <w:tcPr>
                  <w:tcW w:w="1598" w:type="dxa"/>
                  <w:vAlign w:val="center"/>
                </w:tcPr>
                <w:p>
                  <w:pPr>
                    <w:pStyle w:val="49"/>
                    <w:spacing w:line="240" w:lineRule="auto"/>
                    <w:rPr>
                      <w:b/>
                      <w:bCs/>
                      <w:color w:val="000000"/>
                      <w:sz w:val="21"/>
                    </w:rPr>
                  </w:pPr>
                  <w:r>
                    <w:rPr>
                      <w:b/>
                      <w:bCs/>
                      <w:color w:val="000000"/>
                      <w:sz w:val="21"/>
                    </w:rPr>
                    <w:t>监测</w:t>
                  </w:r>
                  <w:r>
                    <w:rPr>
                      <w:rFonts w:hint="eastAsia"/>
                      <w:b/>
                      <w:bCs/>
                      <w:color w:val="000000"/>
                      <w:sz w:val="21"/>
                    </w:rPr>
                    <w:t>指标</w:t>
                  </w:r>
                </w:p>
              </w:tc>
              <w:tc>
                <w:tcPr>
                  <w:tcW w:w="1210" w:type="dxa"/>
                  <w:vAlign w:val="center"/>
                </w:tcPr>
                <w:p>
                  <w:pPr>
                    <w:pStyle w:val="49"/>
                    <w:spacing w:line="240" w:lineRule="auto"/>
                    <w:rPr>
                      <w:b/>
                      <w:bCs/>
                      <w:color w:val="000000"/>
                      <w:sz w:val="21"/>
                    </w:rPr>
                  </w:pPr>
                  <w:r>
                    <w:rPr>
                      <w:b/>
                      <w:bCs/>
                      <w:color w:val="000000"/>
                      <w:sz w:val="21"/>
                    </w:rPr>
                    <w:t>监测频</w:t>
                  </w:r>
                  <w:r>
                    <w:rPr>
                      <w:rFonts w:hint="eastAsia"/>
                      <w:b/>
                      <w:bCs/>
                      <w:color w:val="000000"/>
                      <w:sz w:val="21"/>
                    </w:rPr>
                    <w:t>次</w:t>
                  </w:r>
                </w:p>
              </w:tc>
              <w:tc>
                <w:tcPr>
                  <w:tcW w:w="3756" w:type="dxa"/>
                  <w:vAlign w:val="center"/>
                </w:tcPr>
                <w:p>
                  <w:pPr>
                    <w:pStyle w:val="49"/>
                    <w:spacing w:line="240" w:lineRule="auto"/>
                    <w:rPr>
                      <w:b/>
                      <w:bCs/>
                      <w:color w:val="000000"/>
                      <w:sz w:val="21"/>
                    </w:rPr>
                  </w:pPr>
                  <w:r>
                    <w:rPr>
                      <w:rFonts w:hint="eastAsia"/>
                      <w:b/>
                      <w:bCs/>
                      <w:color w:val="000000"/>
                      <w:sz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372" w:type="dxa"/>
                  <w:vAlign w:val="center"/>
                </w:tcPr>
                <w:p>
                  <w:pPr>
                    <w:pStyle w:val="49"/>
                    <w:spacing w:line="240" w:lineRule="auto"/>
                    <w:rPr>
                      <w:color w:val="000000"/>
                      <w:sz w:val="21"/>
                    </w:rPr>
                  </w:pPr>
                  <w:r>
                    <w:rPr>
                      <w:color w:val="000000"/>
                      <w:sz w:val="21"/>
                    </w:rPr>
                    <w:t>厂界四周各布设一个噪声监测点</w:t>
                  </w:r>
                </w:p>
              </w:tc>
              <w:tc>
                <w:tcPr>
                  <w:tcW w:w="1598" w:type="dxa"/>
                  <w:vAlign w:val="center"/>
                </w:tcPr>
                <w:p>
                  <w:pPr>
                    <w:pStyle w:val="49"/>
                    <w:spacing w:line="240" w:lineRule="auto"/>
                    <w:rPr>
                      <w:color w:val="000000"/>
                      <w:sz w:val="21"/>
                    </w:rPr>
                  </w:pPr>
                  <w:r>
                    <w:rPr>
                      <w:color w:val="000000"/>
                      <w:sz w:val="21"/>
                    </w:rPr>
                    <w:t>连续等效A声级</w:t>
                  </w:r>
                </w:p>
              </w:tc>
              <w:tc>
                <w:tcPr>
                  <w:tcW w:w="1210" w:type="dxa"/>
                  <w:vAlign w:val="center"/>
                </w:tcPr>
                <w:p>
                  <w:pPr>
                    <w:pStyle w:val="49"/>
                    <w:spacing w:line="240" w:lineRule="auto"/>
                    <w:rPr>
                      <w:color w:val="000000"/>
                      <w:sz w:val="21"/>
                    </w:rPr>
                  </w:pPr>
                  <w:r>
                    <w:rPr>
                      <w:color w:val="000000"/>
                      <w:sz w:val="21"/>
                    </w:rPr>
                    <w:t>每</w:t>
                  </w:r>
                  <w:r>
                    <w:rPr>
                      <w:rFonts w:hint="eastAsia"/>
                      <w:color w:val="000000"/>
                      <w:sz w:val="21"/>
                    </w:rPr>
                    <w:t>季</w:t>
                  </w:r>
                  <w:r>
                    <w:rPr>
                      <w:color w:val="000000"/>
                      <w:sz w:val="21"/>
                    </w:rPr>
                    <w:t>一次</w:t>
                  </w:r>
                </w:p>
              </w:tc>
              <w:tc>
                <w:tcPr>
                  <w:tcW w:w="3756" w:type="dxa"/>
                  <w:vAlign w:val="center"/>
                </w:tcPr>
                <w:p>
                  <w:pPr>
                    <w:pStyle w:val="49"/>
                    <w:spacing w:line="240" w:lineRule="auto"/>
                    <w:rPr>
                      <w:color w:val="000000"/>
                      <w:sz w:val="21"/>
                    </w:rPr>
                  </w:pPr>
                  <w:r>
                    <w:rPr>
                      <w:color w:val="000000"/>
                      <w:sz w:val="21"/>
                    </w:rPr>
                    <w:t>《工业企业厂界环境噪声排放标准》（GB12348-2008）的中</w:t>
                  </w:r>
                  <w:r>
                    <w:rPr>
                      <w:rFonts w:hint="eastAsia"/>
                      <w:color w:val="000000"/>
                      <w:sz w:val="21"/>
                    </w:rPr>
                    <w:t>3</w:t>
                  </w:r>
                  <w:r>
                    <w:rPr>
                      <w:color w:val="000000"/>
                      <w:sz w:val="21"/>
                    </w:rPr>
                    <w:t>类标准</w:t>
                  </w:r>
                </w:p>
              </w:tc>
            </w:tr>
          </w:tbl>
          <w:p>
            <w:pPr>
              <w:spacing w:line="360" w:lineRule="auto"/>
              <w:ind w:firstLine="482" w:firstLineChars="200"/>
              <w:rPr>
                <w:b/>
                <w:bCs/>
              </w:rPr>
            </w:pPr>
            <w:r>
              <w:rPr>
                <w:b/>
                <w:bCs/>
              </w:rPr>
              <w:t>四、固体废物</w:t>
            </w:r>
          </w:p>
          <w:p>
            <w:pPr>
              <w:spacing w:line="360" w:lineRule="auto"/>
              <w:ind w:firstLine="480"/>
              <w:rPr>
                <w:color w:val="auto"/>
              </w:rPr>
            </w:pPr>
            <w:r>
              <w:t>本项目所产生的固体废物为生活垃圾</w:t>
            </w:r>
            <w:r>
              <w:rPr>
                <w:rFonts w:hint="eastAsia"/>
                <w:lang w:eastAsia="zh-CN"/>
              </w:rPr>
              <w:t>、</w:t>
            </w:r>
            <w:r>
              <w:rPr>
                <w:rFonts w:ascii="宋体" w:hAnsi="宋体" w:cs="宋体"/>
              </w:rPr>
              <w:t>一般</w:t>
            </w:r>
            <w:r>
              <w:rPr>
                <w:rFonts w:hint="eastAsia" w:ascii="宋体" w:hAnsi="宋体" w:cs="宋体"/>
                <w:color w:val="auto"/>
              </w:rPr>
              <w:t>固体废物</w:t>
            </w:r>
            <w:r>
              <w:rPr>
                <w:rFonts w:hint="eastAsia" w:ascii="宋体" w:hAnsi="宋体" w:cs="宋体"/>
                <w:color w:val="auto"/>
                <w:lang w:val="en-US" w:eastAsia="zh-CN"/>
              </w:rPr>
              <w:t>和危险废物</w:t>
            </w:r>
            <w:r>
              <w:rPr>
                <w:color w:val="auto"/>
              </w:rPr>
              <w:t>；</w:t>
            </w:r>
            <w:r>
              <w:rPr>
                <w:rFonts w:ascii="宋体" w:hAnsi="宋体" w:cs="宋体"/>
                <w:color w:val="auto"/>
              </w:rPr>
              <w:t>一般</w:t>
            </w:r>
            <w:r>
              <w:rPr>
                <w:rFonts w:hint="eastAsia" w:ascii="宋体" w:hAnsi="宋体" w:cs="宋体"/>
                <w:color w:val="auto"/>
              </w:rPr>
              <w:t>固体废物包括不合格品、废边角料、沉淀池底泥、收集的粉尘</w:t>
            </w:r>
            <w:r>
              <w:rPr>
                <w:rFonts w:hint="eastAsia" w:ascii="宋体" w:hAnsi="宋体" w:cs="宋体"/>
                <w:color w:val="auto"/>
                <w:lang w:eastAsia="zh-CN"/>
              </w:rPr>
              <w:t>；</w:t>
            </w:r>
            <w:r>
              <w:rPr>
                <w:rFonts w:hint="eastAsia" w:ascii="宋体" w:hAnsi="宋体" w:cs="宋体"/>
                <w:color w:val="auto"/>
                <w:lang w:val="en-US" w:eastAsia="zh-CN"/>
              </w:rPr>
              <w:t>危险废物包括废机油、废机油桶</w:t>
            </w:r>
            <w:r>
              <w:rPr>
                <w:rFonts w:hint="eastAsia" w:ascii="宋体" w:hAnsi="宋体" w:cs="宋体"/>
                <w:color w:val="auto"/>
              </w:rPr>
              <w:t>等。</w:t>
            </w:r>
          </w:p>
          <w:p>
            <w:pPr>
              <w:spacing w:line="360" w:lineRule="auto"/>
              <w:ind w:firstLine="480" w:firstLineChars="200"/>
            </w:pPr>
            <w:r>
              <w:rPr>
                <w:lang w:bidi="ar"/>
              </w:rPr>
              <w:t>1、生活垃圾</w:t>
            </w:r>
          </w:p>
          <w:p>
            <w:pPr>
              <w:spacing w:line="360" w:lineRule="auto"/>
              <w:ind w:firstLine="480" w:firstLineChars="200"/>
            </w:pPr>
            <w:r>
              <w:rPr>
                <w:lang w:bidi="ar"/>
              </w:rPr>
              <w:t>厂区定员</w:t>
            </w:r>
            <w:r>
              <w:rPr>
                <w:rFonts w:hint="eastAsia"/>
                <w:lang w:bidi="ar"/>
              </w:rPr>
              <w:t>6</w:t>
            </w:r>
            <w:r>
              <w:rPr>
                <w:lang w:bidi="ar"/>
              </w:rPr>
              <w:t>人，实行</w:t>
            </w:r>
            <w:r>
              <w:rPr>
                <w:rFonts w:hint="eastAsia"/>
                <w:lang w:bidi="ar"/>
              </w:rPr>
              <w:t>2班</w:t>
            </w:r>
            <w:r>
              <w:rPr>
                <w:lang w:bidi="ar"/>
              </w:rPr>
              <w:t>制</w:t>
            </w:r>
            <w:r>
              <w:rPr>
                <w:rFonts w:hint="eastAsia"/>
                <w:lang w:bidi="ar"/>
              </w:rPr>
              <w:t>，年工作320天</w:t>
            </w:r>
            <w:r>
              <w:rPr>
                <w:lang w:bidi="ar"/>
              </w:rPr>
              <w:t>，垃圾产生量按0.5kg/人·d计，则产生量为</w:t>
            </w:r>
            <w:r>
              <w:rPr>
                <w:rFonts w:hint="eastAsia"/>
                <w:lang w:bidi="ar"/>
              </w:rPr>
              <w:t>0.96</w:t>
            </w:r>
            <w:r>
              <w:rPr>
                <w:lang w:bidi="ar"/>
              </w:rPr>
              <w:t>t/a，由当地环卫部门统一清运。</w:t>
            </w:r>
          </w:p>
          <w:p>
            <w:pPr>
              <w:spacing w:line="360" w:lineRule="auto"/>
              <w:ind w:firstLine="480" w:firstLineChars="200"/>
            </w:pPr>
            <w:r>
              <w:rPr>
                <w:lang w:bidi="ar"/>
              </w:rPr>
              <w:t>2、一般固体废物</w:t>
            </w:r>
          </w:p>
          <w:p>
            <w:pPr>
              <w:widowControl/>
              <w:wordWrap w:val="0"/>
              <w:spacing w:line="360" w:lineRule="auto"/>
              <w:ind w:firstLine="480" w:firstLineChars="200"/>
              <w:rPr>
                <w:kern w:val="0"/>
                <w:lang w:bidi="ar"/>
              </w:rPr>
            </w:pPr>
            <w:r>
              <w:rPr>
                <w:rFonts w:hint="eastAsia"/>
                <w:lang w:bidi="ar"/>
              </w:rPr>
              <w:t>（1）不合格产品：生产过程中会产生一定量的不合格产品，不合格产品总量为0.5t/a，依据一般固体废物分类与代码（GB/T39198-2020），不合格产品固废代码为302-001-99，收集后暂存于一般固废暂存库内，统一外售至物资回收公司</w:t>
            </w:r>
            <w:r>
              <w:rPr>
                <w:lang w:bidi="ar"/>
              </w:rPr>
              <w:t>。</w:t>
            </w:r>
          </w:p>
          <w:p>
            <w:pPr>
              <w:autoSpaceDE w:val="0"/>
              <w:autoSpaceDN w:val="0"/>
              <w:adjustRightInd w:val="0"/>
              <w:spacing w:line="360" w:lineRule="auto"/>
              <w:ind w:firstLine="480" w:firstLineChars="200"/>
              <w:rPr>
                <w:lang w:bidi="ar"/>
              </w:rPr>
            </w:pPr>
            <w:r>
              <w:rPr>
                <w:rFonts w:hint="eastAsia"/>
                <w:lang w:bidi="ar"/>
              </w:rPr>
              <w:t>（2）废边角料：成型、切割工序会产生废边角料，产生量约为0.1t/a，依据一般固体废物分类与代码（GB/T39198-2020），不合格产品固废代码为302-002-99，收集后暂存于一般固废暂存库内，回用于生产</w:t>
            </w:r>
            <w:r>
              <w:rPr>
                <w:lang w:bidi="ar"/>
              </w:rPr>
              <w:t>。</w:t>
            </w:r>
          </w:p>
          <w:p>
            <w:pPr>
              <w:autoSpaceDE w:val="0"/>
              <w:autoSpaceDN w:val="0"/>
              <w:adjustRightInd w:val="0"/>
              <w:spacing w:line="360" w:lineRule="auto"/>
              <w:ind w:firstLine="480" w:firstLineChars="200"/>
              <w:rPr>
                <w:lang w:bidi="ar"/>
              </w:rPr>
            </w:pPr>
            <w:r>
              <w:rPr>
                <w:rFonts w:hint="eastAsia"/>
                <w:lang w:bidi="ar"/>
              </w:rPr>
              <w:t>（3）</w:t>
            </w:r>
            <w:r>
              <w:rPr>
                <w:rFonts w:hint="eastAsia" w:ascii="宋体" w:hAnsi="宋体" w:cs="宋体"/>
              </w:rPr>
              <w:t>沉淀池</w:t>
            </w:r>
            <w:r>
              <w:rPr>
                <w:rFonts w:hint="eastAsia"/>
                <w:lang w:bidi="ar"/>
              </w:rPr>
              <w:t>底泥</w:t>
            </w:r>
          </w:p>
          <w:p>
            <w:pPr>
              <w:autoSpaceDE w:val="0"/>
              <w:autoSpaceDN w:val="0"/>
              <w:adjustRightInd w:val="0"/>
              <w:spacing w:line="360" w:lineRule="auto"/>
              <w:ind w:firstLine="480" w:firstLineChars="200"/>
              <w:jc w:val="left"/>
              <w:rPr>
                <w:color w:val="0000FF"/>
                <w:lang w:bidi="ar"/>
              </w:rPr>
            </w:pPr>
            <w:r>
              <w:t>项目沉淀池处理废水过程中产生的</w:t>
            </w:r>
            <w:r>
              <w:rPr>
                <w:rFonts w:hint="eastAsia"/>
              </w:rPr>
              <w:t>底</w:t>
            </w:r>
            <w:r>
              <w:t>泥，产生量约为0.2t/a，自然沥干后暂存于一般固废暂存间，回用于生产，依据一般固体废物分类与代码（GB/T39198-2020），</w:t>
            </w:r>
            <w:r>
              <w:rPr>
                <w:bCs/>
              </w:rPr>
              <w:t>废物代码为302-003-99。</w:t>
            </w:r>
          </w:p>
          <w:p>
            <w:pPr>
              <w:widowControl/>
              <w:wordWrap w:val="0"/>
              <w:spacing w:line="360" w:lineRule="auto"/>
              <w:ind w:firstLine="480" w:firstLineChars="200"/>
              <w:rPr>
                <w:lang w:bidi="ar"/>
              </w:rPr>
            </w:pPr>
            <w:r>
              <w:rPr>
                <w:rFonts w:hint="eastAsia"/>
                <w:lang w:bidi="ar"/>
              </w:rPr>
              <w:t>（4）收集的粉尘</w:t>
            </w:r>
          </w:p>
          <w:p>
            <w:pPr>
              <w:widowControl/>
              <w:wordWrap w:val="0"/>
              <w:spacing w:line="360" w:lineRule="auto"/>
              <w:ind w:firstLine="480" w:firstLineChars="200"/>
              <w:rPr>
                <w:lang w:bidi="ar"/>
              </w:rPr>
            </w:pPr>
            <w:r>
              <w:rPr>
                <w:rFonts w:hint="eastAsia"/>
              </w:rPr>
              <w:t>水泥仓呼吸</w:t>
            </w:r>
            <w:r>
              <w:rPr>
                <w:rFonts w:hint="eastAsia"/>
                <w:bCs/>
              </w:rPr>
              <w:t>粉尘</w:t>
            </w:r>
            <w:r>
              <w:rPr>
                <w:rFonts w:hint="eastAsia"/>
                <w:color w:val="000000"/>
              </w:rPr>
              <w:t>产生量为</w:t>
            </w:r>
            <w:r>
              <w:rPr>
                <w:rFonts w:hint="eastAsia"/>
                <w:bCs/>
              </w:rPr>
              <w:t>4.18吨/年，</w:t>
            </w:r>
            <w:r>
              <w:rPr>
                <w:rFonts w:hint="eastAsia"/>
                <w:color w:val="000000"/>
              </w:rPr>
              <w:t>通过设备自带布袋除尘器处理，收集效率为100%，处理效率为98%，处理的粉尘量为4.0964</w:t>
            </w:r>
            <w:r>
              <w:t>t/a</w:t>
            </w:r>
            <w:r>
              <w:rPr>
                <w:rFonts w:hint="eastAsia"/>
              </w:rPr>
              <w:t>；</w:t>
            </w:r>
          </w:p>
          <w:p>
            <w:pPr>
              <w:widowControl/>
              <w:wordWrap w:val="0"/>
              <w:spacing w:line="360" w:lineRule="auto"/>
              <w:ind w:firstLine="480" w:firstLineChars="200"/>
              <w:rPr>
                <w:lang w:bidi="ar"/>
              </w:rPr>
            </w:pPr>
            <w:r>
              <w:rPr>
                <w:rFonts w:hint="eastAsia"/>
                <w:color w:val="000000"/>
              </w:rPr>
              <w:t>物料混合搅拌粉尘总量为</w:t>
            </w:r>
            <w:r>
              <w:rPr>
                <w:rFonts w:hint="eastAsia"/>
                <w:bCs/>
              </w:rPr>
              <w:t>11.506吨/年，</w:t>
            </w:r>
            <w:r>
              <w:rPr>
                <w:rFonts w:hint="eastAsia"/>
                <w:color w:val="000000"/>
              </w:rPr>
              <w:t>通过设备自带布袋除尘器处理，收集效率为100%，处理效率为98%，处理的粉尘为11.27588</w:t>
            </w:r>
            <w:r>
              <w:t>t/a</w:t>
            </w:r>
            <w:r>
              <w:rPr>
                <w:rFonts w:hint="eastAsia"/>
              </w:rPr>
              <w:t>；</w:t>
            </w:r>
          </w:p>
          <w:p>
            <w:pPr>
              <w:autoSpaceDE w:val="0"/>
              <w:autoSpaceDN w:val="0"/>
              <w:adjustRightInd w:val="0"/>
              <w:spacing w:line="360" w:lineRule="auto"/>
              <w:ind w:firstLine="480" w:firstLineChars="200"/>
              <w:rPr>
                <w:lang w:bidi="ar"/>
              </w:rPr>
            </w:pPr>
            <w:r>
              <w:rPr>
                <w:rFonts w:hint="eastAsia"/>
                <w:lang w:bidi="ar"/>
              </w:rPr>
              <w:t>综上，收集的粉尘量约为15.3723</w:t>
            </w:r>
            <w:r>
              <w:t>t/a</w:t>
            </w:r>
            <w:r>
              <w:rPr>
                <w:rFonts w:hint="eastAsia"/>
              </w:rPr>
              <w:t>，暂存于一般固废暂存间，回用于生产，</w:t>
            </w:r>
            <w:r>
              <w:rPr>
                <w:rFonts w:hint="eastAsia"/>
                <w:lang w:bidi="ar"/>
              </w:rPr>
              <w:t>依据一般固体废物分类与代码（GB/T39198-2020），</w:t>
            </w:r>
            <w:r>
              <w:rPr>
                <w:rFonts w:hint="eastAsia"/>
                <w:bCs/>
              </w:rPr>
              <w:t>废物代码为302-004-99</w:t>
            </w:r>
            <w:r>
              <w:rPr>
                <w:rFonts w:hint="eastAsia"/>
              </w:rPr>
              <w:t>。</w:t>
            </w:r>
          </w:p>
          <w:p>
            <w:pPr>
              <w:widowControl/>
              <w:wordWrap w:val="0"/>
              <w:spacing w:line="360" w:lineRule="auto"/>
              <w:ind w:firstLine="480" w:firstLineChars="200"/>
              <w:rPr>
                <w:rFonts w:hint="default" w:eastAsia="宋体"/>
                <w:lang w:val="en-US" w:eastAsia="zh-CN" w:bidi="ar"/>
              </w:rPr>
            </w:pPr>
            <w:r>
              <w:rPr>
                <w:rFonts w:hint="eastAsia"/>
                <w:lang w:bidi="ar"/>
              </w:rPr>
              <w:t>（</w:t>
            </w:r>
            <w:r>
              <w:rPr>
                <w:rFonts w:hint="eastAsia"/>
                <w:lang w:val="en-US" w:eastAsia="zh-CN" w:bidi="ar"/>
              </w:rPr>
              <w:t>5</w:t>
            </w:r>
            <w:r>
              <w:rPr>
                <w:rFonts w:hint="eastAsia"/>
                <w:lang w:bidi="ar"/>
              </w:rPr>
              <w:t>）</w:t>
            </w:r>
            <w:r>
              <w:rPr>
                <w:rFonts w:hint="eastAsia"/>
                <w:lang w:val="en-US" w:eastAsia="zh-CN" w:bidi="ar"/>
              </w:rPr>
              <w:t>废钢丝条</w:t>
            </w:r>
          </w:p>
          <w:p>
            <w:pPr>
              <w:spacing w:line="360" w:lineRule="auto"/>
              <w:ind w:firstLine="480" w:firstLineChars="200"/>
              <w:rPr>
                <w:rFonts w:hint="default" w:eastAsia="宋体"/>
                <w:lang w:val="en-US" w:eastAsia="zh-CN" w:bidi="ar"/>
              </w:rPr>
            </w:pPr>
            <w:r>
              <w:rPr>
                <w:rFonts w:hint="eastAsia"/>
                <w:lang w:val="en-US" w:eastAsia="zh-CN" w:bidi="ar"/>
              </w:rPr>
              <w:t>项目拉筋时有部分废钢丝条产生，产生量为0.001</w:t>
            </w:r>
            <w:r>
              <w:t>t/a</w:t>
            </w:r>
            <w:r>
              <w:rPr>
                <w:rFonts w:hint="eastAsia"/>
              </w:rPr>
              <w:t>，暂存于一般固废暂存间，</w:t>
            </w:r>
            <w:r>
              <w:rPr>
                <w:rFonts w:hint="eastAsia"/>
                <w:lang w:val="en-US" w:eastAsia="zh-CN"/>
              </w:rPr>
              <w:t>由物资回收部门回收。</w:t>
            </w:r>
            <w:r>
              <w:rPr>
                <w:rFonts w:hint="eastAsia"/>
                <w:lang w:bidi="ar"/>
              </w:rPr>
              <w:t>依据一般固体废物分类与代码（GB/T39198-2020），</w:t>
            </w:r>
            <w:r>
              <w:rPr>
                <w:rFonts w:hint="eastAsia"/>
                <w:bCs/>
              </w:rPr>
              <w:t>废物代码为302-00</w:t>
            </w:r>
            <w:r>
              <w:rPr>
                <w:rFonts w:hint="eastAsia"/>
                <w:bCs/>
                <w:lang w:val="en-US" w:eastAsia="zh-CN"/>
              </w:rPr>
              <w:t>5</w:t>
            </w:r>
            <w:r>
              <w:rPr>
                <w:rFonts w:hint="eastAsia"/>
                <w:bCs/>
              </w:rPr>
              <w:t>-99</w:t>
            </w:r>
            <w:r>
              <w:rPr>
                <w:rFonts w:hint="eastAsia"/>
              </w:rPr>
              <w:t>。</w:t>
            </w:r>
          </w:p>
          <w:p>
            <w:pPr>
              <w:spacing w:line="360" w:lineRule="auto"/>
              <w:ind w:firstLine="480" w:firstLineChars="200"/>
              <w:rPr>
                <w:rFonts w:hint="default" w:eastAsia="宋体"/>
                <w:lang w:val="en-US" w:eastAsia="zh-CN"/>
              </w:rPr>
            </w:pPr>
            <w:r>
              <w:rPr>
                <w:rFonts w:hint="eastAsia"/>
                <w:lang w:val="en-US" w:eastAsia="zh-CN" w:bidi="ar"/>
              </w:rPr>
              <w:t>3</w:t>
            </w:r>
            <w:r>
              <w:rPr>
                <w:lang w:bidi="ar"/>
              </w:rPr>
              <w:t>、</w:t>
            </w:r>
            <w:r>
              <w:rPr>
                <w:rFonts w:hint="eastAsia"/>
                <w:lang w:val="en-US" w:eastAsia="zh-CN" w:bidi="ar"/>
              </w:rPr>
              <w:t>危险废物</w:t>
            </w:r>
          </w:p>
          <w:p>
            <w:pPr>
              <w:spacing w:line="360" w:lineRule="auto"/>
              <w:ind w:firstLine="480" w:firstLineChars="200"/>
              <w:rPr>
                <w:sz w:val="24"/>
                <w:lang w:bidi="ar"/>
              </w:rPr>
            </w:pPr>
            <w:r>
              <w:rPr>
                <w:sz w:val="24"/>
                <w:lang w:bidi="ar"/>
              </w:rPr>
              <w:t>（</w:t>
            </w:r>
            <w:r>
              <w:rPr>
                <w:rFonts w:hint="eastAsia"/>
                <w:sz w:val="24"/>
                <w:lang w:val="en-US" w:eastAsia="zh-CN" w:bidi="ar"/>
              </w:rPr>
              <w:t>1</w:t>
            </w:r>
            <w:r>
              <w:rPr>
                <w:sz w:val="24"/>
                <w:lang w:bidi="ar"/>
              </w:rPr>
              <w:t>）废机油</w:t>
            </w:r>
          </w:p>
          <w:p>
            <w:pPr>
              <w:widowControl/>
              <w:wordWrap w:val="0"/>
              <w:spacing w:line="360" w:lineRule="auto"/>
              <w:ind w:firstLine="480" w:firstLineChars="200"/>
              <w:rPr>
                <w:lang w:bidi="ar"/>
              </w:rPr>
            </w:pPr>
            <w:r>
              <w:rPr>
                <w:sz w:val="24"/>
                <w:lang w:bidi="ar"/>
              </w:rPr>
              <w:t>项目生产过程中产生废机油，经同类项目类比，产生量约为0.</w:t>
            </w:r>
            <w:r>
              <w:rPr>
                <w:rFonts w:hint="eastAsia"/>
                <w:sz w:val="24"/>
                <w:lang w:bidi="ar"/>
              </w:rPr>
              <w:t>01</w:t>
            </w:r>
            <w:r>
              <w:rPr>
                <w:sz w:val="24"/>
                <w:lang w:bidi="ar"/>
              </w:rPr>
              <w:t>t/a。</w:t>
            </w:r>
            <w:r>
              <w:rPr>
                <w:sz w:val="24"/>
              </w:rPr>
              <w:t>根据《国家危险废物名录》（2021版），废机油桶属于危险废物，废物类别为HW08，废物代码为900-2</w:t>
            </w:r>
            <w:r>
              <w:rPr>
                <w:rFonts w:hint="eastAsia"/>
                <w:sz w:val="24"/>
              </w:rPr>
              <w:t>14</w:t>
            </w:r>
            <w:r>
              <w:rPr>
                <w:sz w:val="24"/>
              </w:rPr>
              <w:t>-08</w:t>
            </w:r>
            <w:r>
              <w:rPr>
                <w:rFonts w:hint="eastAsia"/>
                <w:sz w:val="24"/>
              </w:rPr>
              <w:t>，</w:t>
            </w:r>
            <w:r>
              <w:rPr>
                <w:sz w:val="24"/>
                <w:lang w:bidi="ar"/>
              </w:rPr>
              <w:t>经收集后存放于危险废物暂存间，由有资质单位统一处理。</w:t>
            </w:r>
          </w:p>
          <w:p>
            <w:pPr>
              <w:autoSpaceDE w:val="0"/>
              <w:autoSpaceDN w:val="0"/>
              <w:spacing w:line="360" w:lineRule="auto"/>
              <w:ind w:firstLine="480" w:firstLineChars="200"/>
              <w:rPr>
                <w:rStyle w:val="29"/>
                <w:kern w:val="0"/>
                <w:sz w:val="24"/>
              </w:rPr>
            </w:pPr>
            <w:r>
              <w:rPr>
                <w:rStyle w:val="29"/>
                <w:rFonts w:hint="eastAsia"/>
                <w:kern w:val="0"/>
                <w:sz w:val="24"/>
              </w:rPr>
              <w:t>（</w:t>
            </w:r>
            <w:r>
              <w:rPr>
                <w:rStyle w:val="29"/>
                <w:rFonts w:hint="eastAsia"/>
                <w:kern w:val="0"/>
                <w:sz w:val="24"/>
                <w:lang w:val="en-US" w:eastAsia="zh-CN"/>
              </w:rPr>
              <w:t>2</w:t>
            </w:r>
            <w:r>
              <w:rPr>
                <w:rStyle w:val="29"/>
                <w:rFonts w:hint="eastAsia"/>
                <w:kern w:val="0"/>
                <w:sz w:val="24"/>
              </w:rPr>
              <w:t>）废机油桶</w:t>
            </w:r>
          </w:p>
          <w:p>
            <w:pPr>
              <w:autoSpaceDE w:val="0"/>
              <w:autoSpaceDN w:val="0"/>
              <w:adjustRightInd w:val="0"/>
              <w:spacing w:line="360" w:lineRule="auto"/>
              <w:ind w:firstLine="480" w:firstLineChars="200"/>
              <w:rPr>
                <w:sz w:val="24"/>
              </w:rPr>
            </w:pPr>
            <w:r>
              <w:rPr>
                <w:sz w:val="24"/>
              </w:rPr>
              <w:t>项目</w:t>
            </w:r>
            <w:r>
              <w:rPr>
                <w:rFonts w:hint="eastAsia"/>
                <w:sz w:val="24"/>
              </w:rPr>
              <w:t>使用</w:t>
            </w:r>
            <w:r>
              <w:rPr>
                <w:rStyle w:val="29"/>
                <w:rFonts w:hint="eastAsia"/>
                <w:kern w:val="0"/>
                <w:sz w:val="24"/>
              </w:rPr>
              <w:t>机油</w:t>
            </w:r>
            <w:r>
              <w:rPr>
                <w:bCs/>
                <w:sz w:val="24"/>
              </w:rPr>
              <w:t>会</w:t>
            </w:r>
            <w:r>
              <w:rPr>
                <w:rFonts w:hint="eastAsia"/>
                <w:bCs/>
                <w:sz w:val="24"/>
              </w:rPr>
              <w:t>产生废弃的桶</w:t>
            </w:r>
            <w:r>
              <w:rPr>
                <w:bCs/>
                <w:sz w:val="24"/>
              </w:rPr>
              <w:t>，根据企业提供的资料，</w:t>
            </w:r>
            <w:r>
              <w:rPr>
                <w:rStyle w:val="29"/>
                <w:rFonts w:hint="eastAsia"/>
                <w:kern w:val="0"/>
                <w:sz w:val="24"/>
              </w:rPr>
              <w:t>废机油桶</w:t>
            </w:r>
            <w:r>
              <w:rPr>
                <w:bCs/>
                <w:sz w:val="24"/>
              </w:rPr>
              <w:t>的产生量为0.0</w:t>
            </w:r>
            <w:r>
              <w:rPr>
                <w:rFonts w:hint="eastAsia"/>
                <w:bCs/>
                <w:sz w:val="24"/>
              </w:rPr>
              <w:t>2</w:t>
            </w:r>
            <w:r>
              <w:rPr>
                <w:bCs/>
                <w:sz w:val="24"/>
              </w:rPr>
              <w:t>t/a。</w:t>
            </w:r>
            <w:r>
              <w:rPr>
                <w:sz w:val="24"/>
              </w:rPr>
              <w:t>根据《国家危险废物名录》（2021版）</w:t>
            </w:r>
            <w:r>
              <w:rPr>
                <w:sz w:val="24"/>
                <w:lang w:bidi="ar"/>
              </w:rPr>
              <w:t>，废机油桶属于危险固废，危废类别为HW49，危废代码900-041-49，为控制含有或直接沾染危险废物的包装物、容器在运输过程中可能发生的环境风险，应当按照危险废物的有关规定和要求对其贮存、运输等环节进行环境监管，经收集后密封处理，防止泄露，</w:t>
            </w:r>
            <w:r>
              <w:rPr>
                <w:sz w:val="24"/>
              </w:rPr>
              <w:t>定期交由有资质的单位进行处理。</w:t>
            </w:r>
          </w:p>
          <w:p>
            <w:pPr>
              <w:widowControl/>
              <w:wordWrap w:val="0"/>
              <w:spacing w:line="360" w:lineRule="auto"/>
              <w:ind w:firstLine="480" w:firstLineChars="200"/>
              <w:rPr>
                <w:color w:val="000000"/>
                <w:kern w:val="0"/>
                <w:lang w:bidi="ar"/>
              </w:rPr>
            </w:pPr>
            <w:r>
              <w:rPr>
                <w:lang w:bidi="ar"/>
              </w:rPr>
              <w:t>一般固体废物产生情况及危险废物情况见下表：</w:t>
            </w:r>
          </w:p>
          <w:p>
            <w:pPr>
              <w:spacing w:line="360" w:lineRule="auto"/>
              <w:jc w:val="center"/>
              <w:rPr>
                <w:b/>
              </w:rPr>
            </w:pPr>
            <w:r>
              <w:rPr>
                <w:b/>
                <w:lang w:bidi="ar"/>
              </w:rPr>
              <w:t>表4-1</w:t>
            </w:r>
            <w:r>
              <w:rPr>
                <w:rFonts w:hint="eastAsia"/>
                <w:b/>
                <w:lang w:val="en-US" w:eastAsia="zh-CN" w:bidi="ar"/>
              </w:rPr>
              <w:t>2</w:t>
            </w:r>
            <w:r>
              <w:rPr>
                <w:b/>
                <w:lang w:bidi="ar"/>
              </w:rPr>
              <w:t xml:space="preserve">  固废产生情况一览表</w:t>
            </w:r>
          </w:p>
          <w:tbl>
            <w:tblPr>
              <w:tblStyle w:val="24"/>
              <w:tblW w:w="80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45"/>
              <w:gridCol w:w="1215"/>
              <w:gridCol w:w="795"/>
              <w:gridCol w:w="1336"/>
              <w:gridCol w:w="996"/>
              <w:gridCol w:w="1272"/>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1"/>
                      <w:szCs w:val="21"/>
                    </w:rPr>
                  </w:pPr>
                  <w:r>
                    <w:rPr>
                      <w:b/>
                      <w:color w:val="000000"/>
                      <w:sz w:val="21"/>
                      <w:szCs w:val="21"/>
                      <w:lang w:bidi="ar"/>
                    </w:rPr>
                    <w:t>序号</w:t>
                  </w:r>
                </w:p>
              </w:tc>
              <w:tc>
                <w:tcPr>
                  <w:tcW w:w="1045"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名称</w:t>
                  </w:r>
                </w:p>
              </w:tc>
              <w:tc>
                <w:tcPr>
                  <w:tcW w:w="1215"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产生环节</w:t>
                  </w:r>
                </w:p>
              </w:tc>
              <w:tc>
                <w:tcPr>
                  <w:tcW w:w="795"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类别</w:t>
                  </w:r>
                </w:p>
              </w:tc>
              <w:tc>
                <w:tcPr>
                  <w:tcW w:w="1336" w:type="dxa"/>
                  <w:tcBorders>
                    <w:top w:val="single" w:color="auto" w:sz="4" w:space="0"/>
                    <w:left w:val="nil"/>
                    <w:bottom w:val="single" w:color="auto" w:sz="4" w:space="0"/>
                    <w:right w:val="single" w:color="auto" w:sz="4" w:space="0"/>
                  </w:tcBorders>
                  <w:vAlign w:val="center"/>
                </w:tcPr>
                <w:p>
                  <w:pPr>
                    <w:jc w:val="center"/>
                    <w:rPr>
                      <w:b/>
                      <w:color w:val="000000"/>
                      <w:sz w:val="21"/>
                      <w:szCs w:val="21"/>
                      <w:lang w:bidi="ar"/>
                    </w:rPr>
                  </w:pPr>
                  <w:r>
                    <w:rPr>
                      <w:b/>
                      <w:color w:val="000000"/>
                      <w:sz w:val="21"/>
                      <w:szCs w:val="21"/>
                      <w:lang w:bidi="ar"/>
                    </w:rPr>
                    <w:t>类别代码</w:t>
                  </w:r>
                </w:p>
              </w:tc>
              <w:tc>
                <w:tcPr>
                  <w:tcW w:w="996"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产生量（t/a）</w:t>
                  </w:r>
                </w:p>
              </w:tc>
              <w:tc>
                <w:tcPr>
                  <w:tcW w:w="1272"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处理方式</w:t>
                  </w:r>
                </w:p>
              </w:tc>
              <w:tc>
                <w:tcPr>
                  <w:tcW w:w="965" w:type="dxa"/>
                  <w:tcBorders>
                    <w:top w:val="single" w:color="auto" w:sz="4" w:space="0"/>
                    <w:left w:val="nil"/>
                    <w:bottom w:val="single" w:color="auto" w:sz="4" w:space="0"/>
                    <w:right w:val="single" w:color="auto" w:sz="4" w:space="0"/>
                  </w:tcBorders>
                  <w:vAlign w:val="center"/>
                </w:tcPr>
                <w:p>
                  <w:pPr>
                    <w:jc w:val="center"/>
                    <w:rPr>
                      <w:b/>
                      <w:color w:val="000000"/>
                      <w:sz w:val="21"/>
                      <w:szCs w:val="21"/>
                      <w:lang w:bidi="ar"/>
                    </w:rPr>
                  </w:pPr>
                  <w:r>
                    <w:rPr>
                      <w:b/>
                      <w:color w:val="000000"/>
                      <w:sz w:val="21"/>
                      <w:szCs w:val="21"/>
                      <w:lang w:bidi="ar"/>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lang w:bidi="ar"/>
                    </w:rPr>
                    <w:t>1</w:t>
                  </w:r>
                </w:p>
              </w:tc>
              <w:tc>
                <w:tcPr>
                  <w:tcW w:w="1045" w:type="dxa"/>
                  <w:tcBorders>
                    <w:top w:val="single" w:color="auto" w:sz="4" w:space="0"/>
                    <w:left w:val="nil"/>
                    <w:bottom w:val="single" w:color="auto" w:sz="4" w:space="0"/>
                    <w:right w:val="single" w:color="auto" w:sz="4" w:space="0"/>
                  </w:tcBorders>
                  <w:vAlign w:val="center"/>
                </w:tcPr>
                <w:p>
                  <w:pPr>
                    <w:jc w:val="center"/>
                    <w:rPr>
                      <w:color w:val="000000"/>
                      <w:sz w:val="21"/>
                      <w:szCs w:val="21"/>
                    </w:rPr>
                  </w:pPr>
                  <w:r>
                    <w:rPr>
                      <w:color w:val="000000"/>
                      <w:sz w:val="21"/>
                      <w:szCs w:val="21"/>
                      <w:lang w:bidi="ar"/>
                    </w:rPr>
                    <w:t>员工生活垃圾</w:t>
                  </w:r>
                </w:p>
              </w:tc>
              <w:tc>
                <w:tcPr>
                  <w:tcW w:w="1215" w:type="dxa"/>
                  <w:tcBorders>
                    <w:top w:val="single" w:color="auto" w:sz="4" w:space="0"/>
                    <w:left w:val="nil"/>
                    <w:bottom w:val="single" w:color="auto" w:sz="4" w:space="0"/>
                    <w:right w:val="single" w:color="auto" w:sz="4" w:space="0"/>
                  </w:tcBorders>
                  <w:vAlign w:val="center"/>
                </w:tcPr>
                <w:p>
                  <w:pPr>
                    <w:jc w:val="center"/>
                    <w:rPr>
                      <w:color w:val="000000"/>
                      <w:sz w:val="21"/>
                      <w:szCs w:val="21"/>
                    </w:rPr>
                  </w:pPr>
                  <w:r>
                    <w:rPr>
                      <w:color w:val="000000"/>
                      <w:sz w:val="21"/>
                      <w:szCs w:val="21"/>
                      <w:lang w:bidi="ar"/>
                    </w:rPr>
                    <w:t>生活</w:t>
                  </w:r>
                </w:p>
              </w:tc>
              <w:tc>
                <w:tcPr>
                  <w:tcW w:w="795" w:type="dxa"/>
                  <w:tcBorders>
                    <w:top w:val="single" w:color="auto" w:sz="4" w:space="0"/>
                    <w:left w:val="nil"/>
                    <w:bottom w:val="single" w:color="auto" w:sz="4" w:space="0"/>
                    <w:right w:val="single" w:color="auto" w:sz="4" w:space="0"/>
                  </w:tcBorders>
                  <w:vAlign w:val="center"/>
                </w:tcPr>
                <w:p>
                  <w:pPr>
                    <w:jc w:val="center"/>
                    <w:rPr>
                      <w:color w:val="000000"/>
                      <w:sz w:val="21"/>
                      <w:szCs w:val="21"/>
                    </w:rPr>
                  </w:pPr>
                  <w:r>
                    <w:rPr>
                      <w:color w:val="000000"/>
                      <w:sz w:val="21"/>
                      <w:szCs w:val="21"/>
                      <w:lang w:bidi="ar"/>
                    </w:rPr>
                    <w:t>/</w:t>
                  </w:r>
                </w:p>
              </w:tc>
              <w:tc>
                <w:tcPr>
                  <w:tcW w:w="1336" w:type="dxa"/>
                  <w:tcBorders>
                    <w:top w:val="single" w:color="auto" w:sz="4" w:space="0"/>
                    <w:left w:val="nil"/>
                    <w:bottom w:val="single" w:color="auto" w:sz="4" w:space="0"/>
                    <w:right w:val="single" w:color="auto" w:sz="4" w:space="0"/>
                  </w:tcBorders>
                  <w:vAlign w:val="center"/>
                </w:tcPr>
                <w:p>
                  <w:pPr>
                    <w:jc w:val="center"/>
                    <w:rPr>
                      <w:color w:val="000000"/>
                      <w:sz w:val="21"/>
                      <w:szCs w:val="21"/>
                      <w:lang w:bidi="ar"/>
                    </w:rPr>
                  </w:pPr>
                  <w:r>
                    <w:rPr>
                      <w:color w:val="000000"/>
                      <w:sz w:val="21"/>
                      <w:szCs w:val="21"/>
                      <w:lang w:bidi="ar"/>
                    </w:rPr>
                    <w:t>/</w:t>
                  </w:r>
                </w:p>
              </w:tc>
              <w:tc>
                <w:tcPr>
                  <w:tcW w:w="996" w:type="dxa"/>
                  <w:tcBorders>
                    <w:top w:val="single" w:color="auto" w:sz="4" w:space="0"/>
                    <w:left w:val="nil"/>
                    <w:bottom w:val="single" w:color="auto" w:sz="4" w:space="0"/>
                    <w:right w:val="single" w:color="auto" w:sz="4" w:space="0"/>
                  </w:tcBorders>
                  <w:vAlign w:val="center"/>
                </w:tcPr>
                <w:p>
                  <w:pPr>
                    <w:jc w:val="center"/>
                    <w:rPr>
                      <w:color w:val="000000"/>
                      <w:sz w:val="21"/>
                      <w:szCs w:val="21"/>
                    </w:rPr>
                  </w:pPr>
                  <w:r>
                    <w:rPr>
                      <w:rFonts w:hint="eastAsia"/>
                      <w:color w:val="000000"/>
                      <w:sz w:val="21"/>
                      <w:szCs w:val="21"/>
                    </w:rPr>
                    <w:t>0.96</w:t>
                  </w:r>
                </w:p>
              </w:tc>
              <w:tc>
                <w:tcPr>
                  <w:tcW w:w="1272" w:type="dxa"/>
                  <w:tcBorders>
                    <w:top w:val="single" w:color="auto" w:sz="4" w:space="0"/>
                    <w:left w:val="nil"/>
                    <w:bottom w:val="single" w:color="auto" w:sz="4" w:space="0"/>
                    <w:right w:val="single" w:color="auto" w:sz="4" w:space="0"/>
                  </w:tcBorders>
                  <w:vAlign w:val="center"/>
                </w:tcPr>
                <w:p>
                  <w:pPr>
                    <w:jc w:val="center"/>
                    <w:rPr>
                      <w:color w:val="000000"/>
                      <w:sz w:val="21"/>
                      <w:szCs w:val="21"/>
                    </w:rPr>
                  </w:pPr>
                  <w:r>
                    <w:rPr>
                      <w:color w:val="000000"/>
                      <w:sz w:val="21"/>
                      <w:szCs w:val="21"/>
                      <w:lang w:bidi="ar"/>
                    </w:rPr>
                    <w:t>环卫部门清运</w:t>
                  </w:r>
                </w:p>
              </w:tc>
              <w:tc>
                <w:tcPr>
                  <w:tcW w:w="96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sz w:val="21"/>
                      <w:szCs w:val="21"/>
                    </w:rPr>
                  </w:pPr>
                  <w:r>
                    <w:rPr>
                      <w:sz w:val="21"/>
                      <w:szCs w:val="21"/>
                    </w:rPr>
                    <w:t>2</w:t>
                  </w:r>
                </w:p>
              </w:tc>
              <w:tc>
                <w:tcPr>
                  <w:tcW w:w="104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不合格产品</w:t>
                  </w:r>
                </w:p>
              </w:tc>
              <w:tc>
                <w:tcPr>
                  <w:tcW w:w="121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生产</w:t>
                  </w:r>
                </w:p>
              </w:tc>
              <w:tc>
                <w:tcPr>
                  <w:tcW w:w="79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一般固废</w:t>
                  </w:r>
                </w:p>
              </w:tc>
              <w:tc>
                <w:tcPr>
                  <w:tcW w:w="1336" w:type="dxa"/>
                  <w:tcBorders>
                    <w:top w:val="single" w:color="auto" w:sz="4" w:space="0"/>
                    <w:left w:val="nil"/>
                    <w:bottom w:val="single" w:color="auto" w:sz="4" w:space="0"/>
                    <w:right w:val="single" w:color="auto" w:sz="4" w:space="0"/>
                  </w:tcBorders>
                  <w:vAlign w:val="center"/>
                </w:tcPr>
                <w:p>
                  <w:pPr>
                    <w:jc w:val="center"/>
                    <w:rPr>
                      <w:sz w:val="21"/>
                      <w:szCs w:val="21"/>
                      <w:lang w:bidi="ar"/>
                    </w:rPr>
                  </w:pPr>
                  <w:r>
                    <w:rPr>
                      <w:rFonts w:hint="eastAsia"/>
                      <w:sz w:val="21"/>
                      <w:szCs w:val="21"/>
                      <w:lang w:bidi="ar"/>
                    </w:rPr>
                    <w:t>302</w:t>
                  </w:r>
                  <w:r>
                    <w:rPr>
                      <w:sz w:val="21"/>
                      <w:szCs w:val="21"/>
                      <w:lang w:bidi="ar"/>
                    </w:rPr>
                    <w:t>-001-99</w:t>
                  </w:r>
                </w:p>
              </w:tc>
              <w:tc>
                <w:tcPr>
                  <w:tcW w:w="996"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lang w:bidi="ar"/>
                    </w:rPr>
                    <w:t>0.5</w:t>
                  </w:r>
                </w:p>
              </w:tc>
              <w:tc>
                <w:tcPr>
                  <w:tcW w:w="1272"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外售至物资回收公司</w:t>
                  </w:r>
                </w:p>
              </w:tc>
              <w:tc>
                <w:tcPr>
                  <w:tcW w:w="96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bidi="ar"/>
                    </w:rPr>
                  </w:pPr>
                  <w:r>
                    <w:rPr>
                      <w:sz w:val="21"/>
                      <w:szCs w:val="21"/>
                      <w:lang w:bidi="ar"/>
                    </w:rPr>
                    <w:t>3</w:t>
                  </w:r>
                </w:p>
              </w:tc>
              <w:tc>
                <w:tcPr>
                  <w:tcW w:w="104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废</w:t>
                  </w:r>
                  <w:r>
                    <w:rPr>
                      <w:rFonts w:hint="eastAsia"/>
                      <w:sz w:val="21"/>
                      <w:szCs w:val="21"/>
                    </w:rPr>
                    <w:t>边角料</w:t>
                  </w:r>
                </w:p>
              </w:tc>
              <w:tc>
                <w:tcPr>
                  <w:tcW w:w="121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成型、切割</w:t>
                  </w:r>
                </w:p>
              </w:tc>
              <w:tc>
                <w:tcPr>
                  <w:tcW w:w="79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一般固废</w:t>
                  </w:r>
                </w:p>
              </w:tc>
              <w:tc>
                <w:tcPr>
                  <w:tcW w:w="13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lang w:bidi="ar"/>
                    </w:rPr>
                    <w:t>302</w:t>
                  </w:r>
                  <w:r>
                    <w:rPr>
                      <w:sz w:val="21"/>
                      <w:szCs w:val="21"/>
                      <w:lang w:bidi="ar"/>
                    </w:rPr>
                    <w:t>-002-99</w:t>
                  </w:r>
                </w:p>
              </w:tc>
              <w:tc>
                <w:tcPr>
                  <w:tcW w:w="996"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lang w:bidi="ar"/>
                    </w:rPr>
                    <w:t>0.1</w:t>
                  </w:r>
                </w:p>
              </w:tc>
              <w:tc>
                <w:tcPr>
                  <w:tcW w:w="1272"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回用于生产</w:t>
                  </w:r>
                </w:p>
              </w:tc>
              <w:tc>
                <w:tcPr>
                  <w:tcW w:w="96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bidi="ar"/>
                    </w:rPr>
                  </w:pPr>
                  <w:r>
                    <w:rPr>
                      <w:sz w:val="21"/>
                      <w:szCs w:val="21"/>
                      <w:lang w:bidi="ar"/>
                    </w:rPr>
                    <w:t>4</w:t>
                  </w:r>
                </w:p>
              </w:tc>
              <w:tc>
                <w:tcPr>
                  <w:tcW w:w="104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沉淀池</w:t>
                  </w:r>
                  <w:r>
                    <w:rPr>
                      <w:rFonts w:hint="eastAsia"/>
                      <w:sz w:val="21"/>
                      <w:szCs w:val="21"/>
                    </w:rPr>
                    <w:t>底泥</w:t>
                  </w:r>
                </w:p>
              </w:tc>
              <w:tc>
                <w:tcPr>
                  <w:tcW w:w="121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废水处理</w:t>
                  </w:r>
                </w:p>
              </w:tc>
              <w:tc>
                <w:tcPr>
                  <w:tcW w:w="79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一般固废</w:t>
                  </w:r>
                </w:p>
              </w:tc>
              <w:tc>
                <w:tcPr>
                  <w:tcW w:w="13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bCs/>
                      <w:sz w:val="21"/>
                      <w:szCs w:val="21"/>
                    </w:rPr>
                    <w:t>302</w:t>
                  </w:r>
                  <w:r>
                    <w:rPr>
                      <w:bCs/>
                      <w:sz w:val="21"/>
                      <w:szCs w:val="21"/>
                    </w:rPr>
                    <w:t>-003-99</w:t>
                  </w:r>
                </w:p>
              </w:tc>
              <w:tc>
                <w:tcPr>
                  <w:tcW w:w="996"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0.2</w:t>
                  </w:r>
                </w:p>
              </w:tc>
              <w:tc>
                <w:tcPr>
                  <w:tcW w:w="1272"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回用于生产</w:t>
                  </w:r>
                </w:p>
              </w:tc>
              <w:tc>
                <w:tcPr>
                  <w:tcW w:w="96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sz w:val="21"/>
                      <w:szCs w:val="21"/>
                      <w:lang w:bidi="ar"/>
                    </w:rPr>
                  </w:pPr>
                  <w:r>
                    <w:rPr>
                      <w:sz w:val="21"/>
                      <w:szCs w:val="21"/>
                      <w:lang w:bidi="ar"/>
                    </w:rPr>
                    <w:t>5</w:t>
                  </w:r>
                </w:p>
              </w:tc>
              <w:tc>
                <w:tcPr>
                  <w:tcW w:w="1045"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收集的粉尘</w:t>
                  </w:r>
                </w:p>
              </w:tc>
              <w:tc>
                <w:tcPr>
                  <w:tcW w:w="1215"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废气处理</w:t>
                  </w:r>
                </w:p>
              </w:tc>
              <w:tc>
                <w:tcPr>
                  <w:tcW w:w="79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一般固废</w:t>
                  </w:r>
                </w:p>
              </w:tc>
              <w:tc>
                <w:tcPr>
                  <w:tcW w:w="133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bCs/>
                      <w:sz w:val="21"/>
                      <w:szCs w:val="21"/>
                    </w:rPr>
                    <w:t>302</w:t>
                  </w:r>
                  <w:r>
                    <w:rPr>
                      <w:bCs/>
                      <w:sz w:val="21"/>
                      <w:szCs w:val="21"/>
                    </w:rPr>
                    <w:t>-00</w:t>
                  </w:r>
                  <w:r>
                    <w:rPr>
                      <w:rFonts w:hint="eastAsia"/>
                      <w:bCs/>
                      <w:sz w:val="21"/>
                      <w:szCs w:val="21"/>
                    </w:rPr>
                    <w:t>4</w:t>
                  </w:r>
                  <w:r>
                    <w:rPr>
                      <w:bCs/>
                      <w:sz w:val="21"/>
                      <w:szCs w:val="21"/>
                    </w:rPr>
                    <w:t>-99</w:t>
                  </w:r>
                </w:p>
              </w:tc>
              <w:tc>
                <w:tcPr>
                  <w:tcW w:w="996" w:type="dxa"/>
                  <w:tcBorders>
                    <w:top w:val="single" w:color="auto" w:sz="4" w:space="0"/>
                    <w:left w:val="nil"/>
                    <w:bottom w:val="single" w:color="auto" w:sz="4" w:space="0"/>
                    <w:right w:val="single" w:color="auto" w:sz="4" w:space="0"/>
                  </w:tcBorders>
                  <w:vAlign w:val="center"/>
                </w:tcPr>
                <w:p>
                  <w:pPr>
                    <w:jc w:val="center"/>
                    <w:rPr>
                      <w:sz w:val="21"/>
                      <w:szCs w:val="21"/>
                    </w:rPr>
                  </w:pPr>
                  <w:r>
                    <w:rPr>
                      <w:rFonts w:hint="eastAsia"/>
                      <w:sz w:val="21"/>
                      <w:szCs w:val="21"/>
                    </w:rPr>
                    <w:t>15.3723</w:t>
                  </w:r>
                </w:p>
              </w:tc>
              <w:tc>
                <w:tcPr>
                  <w:tcW w:w="1272"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回用于生产</w:t>
                  </w:r>
                </w:p>
              </w:tc>
              <w:tc>
                <w:tcPr>
                  <w:tcW w:w="965" w:type="dxa"/>
                  <w:tcBorders>
                    <w:top w:val="single" w:color="auto" w:sz="4" w:space="0"/>
                    <w:left w:val="nil"/>
                    <w:bottom w:val="single" w:color="auto" w:sz="4" w:space="0"/>
                    <w:right w:val="single" w:color="auto" w:sz="4" w:space="0"/>
                  </w:tcBorders>
                  <w:vAlign w:val="center"/>
                </w:tcPr>
                <w:p>
                  <w:pPr>
                    <w:jc w:val="center"/>
                    <w:rPr>
                      <w:sz w:val="21"/>
                      <w:szCs w:val="21"/>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
                    </w:rPr>
                  </w:pPr>
                  <w:r>
                    <w:rPr>
                      <w:rFonts w:hint="eastAsia"/>
                      <w:sz w:val="21"/>
                      <w:szCs w:val="21"/>
                      <w:lang w:val="en-US" w:eastAsia="zh-CN" w:bidi="ar"/>
                    </w:rPr>
                    <w:t>6</w:t>
                  </w:r>
                </w:p>
              </w:tc>
              <w:tc>
                <w:tcPr>
                  <w:tcW w:w="1045" w:type="dxa"/>
                  <w:tcBorders>
                    <w:top w:val="single" w:color="auto" w:sz="4" w:space="0"/>
                    <w:left w:val="nil"/>
                    <w:bottom w:val="single" w:color="auto" w:sz="4" w:space="0"/>
                    <w:right w:val="single" w:color="auto" w:sz="4" w:space="0"/>
                  </w:tcBorders>
                  <w:vAlign w:val="center"/>
                </w:tcPr>
                <w:p>
                  <w:pPr>
                    <w:jc w:val="center"/>
                    <w:rPr>
                      <w:rFonts w:hint="default" w:eastAsia="宋体"/>
                      <w:sz w:val="21"/>
                      <w:szCs w:val="21"/>
                      <w:lang w:val="en-US" w:eastAsia="zh-CN"/>
                    </w:rPr>
                  </w:pPr>
                  <w:r>
                    <w:rPr>
                      <w:rFonts w:hint="eastAsia"/>
                      <w:sz w:val="21"/>
                      <w:szCs w:val="21"/>
                      <w:lang w:val="en-US" w:eastAsia="zh-CN"/>
                    </w:rPr>
                    <w:t>废钢丝条</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eastAsia="宋体"/>
                      <w:sz w:val="21"/>
                      <w:szCs w:val="21"/>
                      <w:lang w:val="en-US" w:eastAsia="zh-CN"/>
                    </w:rPr>
                  </w:pPr>
                  <w:r>
                    <w:rPr>
                      <w:rFonts w:hint="eastAsia"/>
                      <w:sz w:val="21"/>
                      <w:szCs w:val="21"/>
                      <w:lang w:val="en-US" w:eastAsia="zh-CN"/>
                    </w:rPr>
                    <w:t>拉筋</w:t>
                  </w:r>
                </w:p>
              </w:tc>
              <w:tc>
                <w:tcPr>
                  <w:tcW w:w="79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sz w:val="21"/>
                      <w:szCs w:val="21"/>
                    </w:rPr>
                    <w:t>一般固废</w:t>
                  </w:r>
                </w:p>
              </w:tc>
              <w:tc>
                <w:tcPr>
                  <w:tcW w:w="133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bCs/>
                      <w:sz w:val="21"/>
                      <w:szCs w:val="21"/>
                    </w:rPr>
                    <w:t>302</w:t>
                  </w:r>
                  <w:r>
                    <w:rPr>
                      <w:bCs/>
                      <w:sz w:val="21"/>
                      <w:szCs w:val="21"/>
                    </w:rPr>
                    <w:t>-00</w:t>
                  </w:r>
                  <w:r>
                    <w:rPr>
                      <w:rFonts w:hint="eastAsia"/>
                      <w:bCs/>
                      <w:sz w:val="21"/>
                      <w:szCs w:val="21"/>
                      <w:lang w:val="en-US" w:eastAsia="zh-CN"/>
                    </w:rPr>
                    <w:t>5</w:t>
                  </w:r>
                  <w:r>
                    <w:rPr>
                      <w:bCs/>
                      <w:sz w:val="21"/>
                      <w:szCs w:val="21"/>
                    </w:rPr>
                    <w:t>-99</w:t>
                  </w:r>
                </w:p>
              </w:tc>
              <w:tc>
                <w:tcPr>
                  <w:tcW w:w="996" w:type="dxa"/>
                  <w:tcBorders>
                    <w:top w:val="single" w:color="auto" w:sz="4" w:space="0"/>
                    <w:left w:val="nil"/>
                    <w:bottom w:val="single" w:color="auto" w:sz="4" w:space="0"/>
                    <w:right w:val="single" w:color="auto" w:sz="4" w:space="0"/>
                  </w:tcBorders>
                  <w:vAlign w:val="center"/>
                </w:tcPr>
                <w:p>
                  <w:pPr>
                    <w:jc w:val="center"/>
                    <w:rPr>
                      <w:rFonts w:hint="default" w:eastAsia="宋体"/>
                      <w:sz w:val="21"/>
                      <w:szCs w:val="21"/>
                      <w:lang w:val="en-US" w:eastAsia="zh-CN"/>
                    </w:rPr>
                  </w:pPr>
                  <w:r>
                    <w:rPr>
                      <w:rFonts w:hint="eastAsia"/>
                      <w:sz w:val="21"/>
                      <w:szCs w:val="21"/>
                      <w:lang w:val="en-US" w:eastAsia="zh-CN"/>
                    </w:rPr>
                    <w:t>0.001</w:t>
                  </w:r>
                </w:p>
              </w:tc>
              <w:tc>
                <w:tcPr>
                  <w:tcW w:w="127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sz w:val="21"/>
                      <w:szCs w:val="21"/>
                    </w:rPr>
                    <w:t>外售至物资回收公司</w:t>
                  </w:r>
                </w:p>
              </w:tc>
              <w:tc>
                <w:tcPr>
                  <w:tcW w:w="96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
                    </w:rPr>
                  </w:pPr>
                  <w:r>
                    <w:rPr>
                      <w:rFonts w:hint="eastAsia"/>
                      <w:sz w:val="21"/>
                      <w:szCs w:val="21"/>
                      <w:lang w:val="en-US" w:eastAsia="zh-CN" w:bidi="ar"/>
                    </w:rPr>
                    <w:t>7</w:t>
                  </w:r>
                </w:p>
              </w:tc>
              <w:tc>
                <w:tcPr>
                  <w:tcW w:w="104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废机油</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生产维护</w:t>
                  </w:r>
                </w:p>
              </w:tc>
              <w:tc>
                <w:tcPr>
                  <w:tcW w:w="79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危险废物</w:t>
                  </w:r>
                </w:p>
              </w:tc>
              <w:tc>
                <w:tcPr>
                  <w:tcW w:w="133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sz w:val="21"/>
                      <w:szCs w:val="21"/>
                    </w:rPr>
                    <w:t>HW08</w:t>
                  </w:r>
                  <w:r>
                    <w:rPr>
                      <w:rFonts w:hint="eastAsia"/>
                      <w:sz w:val="21"/>
                      <w:szCs w:val="21"/>
                    </w:rPr>
                    <w:t>；</w:t>
                  </w:r>
                  <w:r>
                    <w:rPr>
                      <w:sz w:val="21"/>
                      <w:szCs w:val="21"/>
                    </w:rPr>
                    <w:t>900-214-08</w:t>
                  </w:r>
                </w:p>
              </w:tc>
              <w:tc>
                <w:tcPr>
                  <w:tcW w:w="99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sz w:val="21"/>
                      <w:szCs w:val="21"/>
                    </w:rPr>
                    <w:t>0.0</w:t>
                  </w:r>
                  <w:r>
                    <w:rPr>
                      <w:rFonts w:hint="eastAsia"/>
                      <w:sz w:val="21"/>
                      <w:szCs w:val="21"/>
                    </w:rPr>
                    <w:t>1</w:t>
                  </w:r>
                  <w:r>
                    <w:rPr>
                      <w:sz w:val="21"/>
                      <w:szCs w:val="21"/>
                    </w:rPr>
                    <w:t>t/a</w:t>
                  </w:r>
                </w:p>
              </w:tc>
              <w:tc>
                <w:tcPr>
                  <w:tcW w:w="127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委托有资质单位处理</w:t>
                  </w:r>
                </w:p>
              </w:tc>
              <w:tc>
                <w:tcPr>
                  <w:tcW w:w="96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4" w:hRule="atLeast"/>
                <w:jc w:val="center"/>
              </w:trPr>
              <w:tc>
                <w:tcPr>
                  <w:tcW w:w="457"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sz w:val="21"/>
                      <w:szCs w:val="21"/>
                      <w:lang w:val="en-US" w:eastAsia="zh-CN" w:bidi="ar"/>
                    </w:rPr>
                  </w:pPr>
                  <w:r>
                    <w:rPr>
                      <w:rFonts w:hint="eastAsia"/>
                      <w:sz w:val="21"/>
                      <w:szCs w:val="21"/>
                      <w:lang w:val="en-US" w:eastAsia="zh-CN" w:bidi="ar"/>
                    </w:rPr>
                    <w:t>8</w:t>
                  </w:r>
                </w:p>
              </w:tc>
              <w:tc>
                <w:tcPr>
                  <w:tcW w:w="104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废机油桶</w:t>
                  </w:r>
                </w:p>
              </w:tc>
              <w:tc>
                <w:tcPr>
                  <w:tcW w:w="121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生产维护</w:t>
                  </w:r>
                </w:p>
              </w:tc>
              <w:tc>
                <w:tcPr>
                  <w:tcW w:w="79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危险废物</w:t>
                  </w:r>
                </w:p>
              </w:tc>
              <w:tc>
                <w:tcPr>
                  <w:tcW w:w="133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sz w:val="21"/>
                      <w:szCs w:val="21"/>
                    </w:rPr>
                    <w:t>HW49</w:t>
                  </w:r>
                  <w:r>
                    <w:rPr>
                      <w:rFonts w:hint="eastAsia"/>
                      <w:sz w:val="21"/>
                      <w:szCs w:val="21"/>
                    </w:rPr>
                    <w:t>；</w:t>
                  </w:r>
                  <w:r>
                    <w:rPr>
                      <w:sz w:val="21"/>
                      <w:szCs w:val="21"/>
                    </w:rPr>
                    <w:t>900-041-49</w:t>
                  </w:r>
                </w:p>
              </w:tc>
              <w:tc>
                <w:tcPr>
                  <w:tcW w:w="996"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cs="Times New Roman"/>
                      <w:kern w:val="2"/>
                      <w:sz w:val="21"/>
                      <w:szCs w:val="21"/>
                      <w:lang w:val="en-US" w:eastAsia="zh-CN" w:bidi="ar-SA"/>
                    </w:rPr>
                  </w:pPr>
                  <w:r>
                    <w:rPr>
                      <w:rFonts w:hint="eastAsia"/>
                      <w:sz w:val="21"/>
                      <w:szCs w:val="21"/>
                    </w:rPr>
                    <w:t>0.02</w:t>
                  </w:r>
                  <w:r>
                    <w:rPr>
                      <w:sz w:val="21"/>
                      <w:szCs w:val="21"/>
                    </w:rPr>
                    <w:t>t/a</w:t>
                  </w:r>
                </w:p>
              </w:tc>
              <w:tc>
                <w:tcPr>
                  <w:tcW w:w="127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rFonts w:hint="eastAsia"/>
                      <w:sz w:val="21"/>
                      <w:szCs w:val="21"/>
                    </w:rPr>
                    <w:t>委托有资质单位处理</w:t>
                  </w:r>
                </w:p>
              </w:tc>
              <w:tc>
                <w:tcPr>
                  <w:tcW w:w="96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SA"/>
                    </w:rPr>
                  </w:pPr>
                  <w:r>
                    <w:rPr>
                      <w:sz w:val="21"/>
                      <w:szCs w:val="21"/>
                    </w:rPr>
                    <w:t>0</w:t>
                  </w:r>
                </w:p>
              </w:tc>
            </w:tr>
          </w:tbl>
          <w:p>
            <w:pPr>
              <w:spacing w:line="300" w:lineRule="auto"/>
              <w:jc w:val="center"/>
              <w:rPr>
                <w:b/>
                <w:sz w:val="24"/>
              </w:rPr>
            </w:pPr>
            <w:r>
              <w:rPr>
                <w:b/>
                <w:sz w:val="24"/>
                <w:lang w:bidi="ar"/>
              </w:rPr>
              <w:t>表4-</w:t>
            </w:r>
            <w:r>
              <w:rPr>
                <w:rFonts w:hint="eastAsia"/>
                <w:b/>
                <w:sz w:val="24"/>
                <w:lang w:val="en-US" w:eastAsia="zh-CN" w:bidi="ar"/>
              </w:rPr>
              <w:t>13</w:t>
            </w:r>
            <w:r>
              <w:rPr>
                <w:b/>
                <w:sz w:val="24"/>
                <w:lang w:bidi="ar"/>
              </w:rPr>
              <w:t xml:space="preserve">  危险废物产生情况一览表</w:t>
            </w:r>
          </w:p>
          <w:tbl>
            <w:tblPr>
              <w:tblStyle w:val="24"/>
              <w:tblW w:w="7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750"/>
              <w:gridCol w:w="825"/>
              <w:gridCol w:w="1380"/>
              <w:gridCol w:w="1144"/>
              <w:gridCol w:w="905"/>
              <w:gridCol w:w="682"/>
              <w:gridCol w:w="65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72"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1"/>
                      <w:szCs w:val="21"/>
                    </w:rPr>
                  </w:pPr>
                  <w:r>
                    <w:rPr>
                      <w:b/>
                      <w:color w:val="000000"/>
                      <w:sz w:val="21"/>
                      <w:szCs w:val="21"/>
                      <w:lang w:bidi="ar"/>
                    </w:rPr>
                    <w:t>序号</w:t>
                  </w:r>
                </w:p>
              </w:tc>
              <w:tc>
                <w:tcPr>
                  <w:tcW w:w="750"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名称</w:t>
                  </w:r>
                </w:p>
              </w:tc>
              <w:tc>
                <w:tcPr>
                  <w:tcW w:w="825"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危险废物类别</w:t>
                  </w:r>
                </w:p>
              </w:tc>
              <w:tc>
                <w:tcPr>
                  <w:tcW w:w="1380"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危险废物代码</w:t>
                  </w:r>
                </w:p>
              </w:tc>
              <w:tc>
                <w:tcPr>
                  <w:tcW w:w="1144"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产生量</w:t>
                  </w:r>
                </w:p>
              </w:tc>
              <w:tc>
                <w:tcPr>
                  <w:tcW w:w="905"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产生工序及装置</w:t>
                  </w:r>
                </w:p>
              </w:tc>
              <w:tc>
                <w:tcPr>
                  <w:tcW w:w="682"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形态</w:t>
                  </w:r>
                </w:p>
              </w:tc>
              <w:tc>
                <w:tcPr>
                  <w:tcW w:w="654"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危险特性</w:t>
                  </w:r>
                </w:p>
              </w:tc>
              <w:tc>
                <w:tcPr>
                  <w:tcW w:w="1024" w:type="dxa"/>
                  <w:tcBorders>
                    <w:top w:val="single" w:color="auto" w:sz="4" w:space="0"/>
                    <w:left w:val="nil"/>
                    <w:bottom w:val="single" w:color="auto" w:sz="4" w:space="0"/>
                    <w:right w:val="single" w:color="auto" w:sz="4" w:space="0"/>
                  </w:tcBorders>
                  <w:vAlign w:val="center"/>
                </w:tcPr>
                <w:p>
                  <w:pPr>
                    <w:jc w:val="center"/>
                    <w:rPr>
                      <w:b/>
                      <w:color w:val="000000"/>
                      <w:sz w:val="21"/>
                      <w:szCs w:val="21"/>
                    </w:rPr>
                  </w:pPr>
                  <w:r>
                    <w:rPr>
                      <w:b/>
                      <w:color w:val="000000"/>
                      <w:sz w:val="21"/>
                      <w:szCs w:val="21"/>
                      <w:lang w:bidi="ar"/>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72"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rPr>
                  </w:pPr>
                  <w:r>
                    <w:rPr>
                      <w:color w:val="000000"/>
                      <w:sz w:val="21"/>
                      <w:szCs w:val="21"/>
                      <w:lang w:bidi="ar"/>
                    </w:rPr>
                    <w:t>1</w:t>
                  </w:r>
                </w:p>
              </w:tc>
              <w:tc>
                <w:tcPr>
                  <w:tcW w:w="75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color w:val="000000"/>
                      <w:kern w:val="2"/>
                      <w:sz w:val="21"/>
                      <w:szCs w:val="21"/>
                      <w:lang w:val="en-US" w:eastAsia="zh-CN" w:bidi="ar"/>
                    </w:rPr>
                  </w:pPr>
                  <w:r>
                    <w:rPr>
                      <w:color w:val="000000"/>
                      <w:sz w:val="21"/>
                      <w:szCs w:val="21"/>
                      <w:lang w:bidi="ar"/>
                    </w:rPr>
                    <w:t>废机油</w:t>
                  </w:r>
                </w:p>
              </w:tc>
              <w:tc>
                <w:tcPr>
                  <w:tcW w:w="82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 w:val="21"/>
                      <w:szCs w:val="21"/>
                      <w:lang w:bidi="ar"/>
                    </w:rPr>
                    <w:t>HW08</w:t>
                  </w:r>
                </w:p>
              </w:tc>
              <w:tc>
                <w:tcPr>
                  <w:tcW w:w="138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color w:val="000000"/>
                      <w:kern w:val="2"/>
                      <w:sz w:val="21"/>
                      <w:szCs w:val="21"/>
                      <w:lang w:val="en-US" w:eastAsia="zh-CN" w:bidi="ar-SA"/>
                    </w:rPr>
                  </w:pPr>
                  <w:r>
                    <w:rPr>
                      <w:color w:val="000000"/>
                      <w:sz w:val="21"/>
                      <w:szCs w:val="21"/>
                    </w:rPr>
                    <w:t>900-214-08</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color w:val="000000"/>
                      <w:kern w:val="2"/>
                      <w:sz w:val="21"/>
                      <w:szCs w:val="21"/>
                      <w:lang w:val="en-US" w:eastAsia="zh-CN" w:bidi="ar"/>
                    </w:rPr>
                  </w:pPr>
                  <w:r>
                    <w:rPr>
                      <w:sz w:val="21"/>
                      <w:szCs w:val="21"/>
                      <w:lang w:bidi="ar"/>
                    </w:rPr>
                    <w:t>0.</w:t>
                  </w:r>
                  <w:r>
                    <w:rPr>
                      <w:rFonts w:hint="eastAsia"/>
                      <w:sz w:val="21"/>
                      <w:szCs w:val="21"/>
                      <w:lang w:bidi="ar"/>
                    </w:rPr>
                    <w:t>01</w:t>
                  </w:r>
                  <w:r>
                    <w:rPr>
                      <w:sz w:val="21"/>
                      <w:szCs w:val="21"/>
                      <w:lang w:bidi="ar"/>
                    </w:rPr>
                    <w:t>t/a</w:t>
                  </w:r>
                </w:p>
              </w:tc>
              <w:tc>
                <w:tcPr>
                  <w:tcW w:w="90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color w:val="000000"/>
                      <w:kern w:val="2"/>
                      <w:sz w:val="21"/>
                      <w:szCs w:val="21"/>
                      <w:lang w:val="en-US" w:eastAsia="zh-CN" w:bidi="ar"/>
                    </w:rPr>
                  </w:pPr>
                  <w:r>
                    <w:rPr>
                      <w:rFonts w:hint="eastAsia"/>
                      <w:sz w:val="21"/>
                      <w:szCs w:val="21"/>
                    </w:rPr>
                    <w:t>生产维护</w:t>
                  </w:r>
                </w:p>
              </w:tc>
              <w:tc>
                <w:tcPr>
                  <w:tcW w:w="68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color w:val="000000"/>
                      <w:kern w:val="2"/>
                      <w:sz w:val="21"/>
                      <w:szCs w:val="21"/>
                      <w:lang w:val="en-US" w:eastAsia="zh-CN" w:bidi="ar"/>
                    </w:rPr>
                  </w:pPr>
                  <w:r>
                    <w:rPr>
                      <w:rFonts w:hint="eastAsia"/>
                      <w:color w:val="000000"/>
                      <w:sz w:val="21"/>
                      <w:szCs w:val="21"/>
                      <w:lang w:bidi="ar"/>
                    </w:rPr>
                    <w:t>液</w:t>
                  </w:r>
                  <w:r>
                    <w:rPr>
                      <w:color w:val="000000"/>
                      <w:sz w:val="21"/>
                      <w:szCs w:val="21"/>
                      <w:lang w:bidi="ar"/>
                    </w:rPr>
                    <w:t>态</w:t>
                  </w:r>
                </w:p>
              </w:tc>
              <w:tc>
                <w:tcPr>
                  <w:tcW w:w="65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color w:val="000000"/>
                      <w:kern w:val="2"/>
                      <w:sz w:val="21"/>
                      <w:szCs w:val="21"/>
                      <w:lang w:val="en-US" w:eastAsia="zh-CN" w:bidi="ar"/>
                    </w:rPr>
                  </w:pPr>
                  <w:r>
                    <w:rPr>
                      <w:color w:val="000000"/>
                      <w:sz w:val="21"/>
                      <w:szCs w:val="21"/>
                      <w:lang w:bidi="ar"/>
                    </w:rPr>
                    <w:t>T</w:t>
                  </w:r>
                  <w:r>
                    <w:rPr>
                      <w:rFonts w:hint="eastAsia"/>
                      <w:color w:val="000000"/>
                      <w:sz w:val="21"/>
                      <w:szCs w:val="21"/>
                      <w:lang w:bidi="ar"/>
                    </w:rPr>
                    <w:t>，</w:t>
                  </w:r>
                  <w:r>
                    <w:rPr>
                      <w:color w:val="000000"/>
                      <w:sz w:val="21"/>
                      <w:szCs w:val="21"/>
                      <w:lang w:bidi="ar"/>
                    </w:rPr>
                    <w:t>I</w:t>
                  </w:r>
                </w:p>
              </w:tc>
              <w:tc>
                <w:tcPr>
                  <w:tcW w:w="1024" w:type="dxa"/>
                  <w:vMerge w:val="restart"/>
                  <w:tcBorders>
                    <w:top w:val="single" w:color="auto" w:sz="4" w:space="0"/>
                    <w:left w:val="nil"/>
                    <w:right w:val="single" w:color="auto" w:sz="4" w:space="0"/>
                  </w:tcBorders>
                  <w:vAlign w:val="center"/>
                </w:tcPr>
                <w:p>
                  <w:pPr>
                    <w:jc w:val="center"/>
                    <w:rPr>
                      <w:color w:val="000000"/>
                      <w:sz w:val="21"/>
                      <w:szCs w:val="21"/>
                      <w:lang w:bidi="ar"/>
                    </w:rPr>
                  </w:pPr>
                  <w:r>
                    <w:rPr>
                      <w:color w:val="000000"/>
                      <w:sz w:val="21"/>
                      <w:szCs w:val="21"/>
                      <w:lang w:bidi="ar"/>
                    </w:rPr>
                    <w:t>暂存在危废暂存间，由有资质单位处理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72" w:type="dxa"/>
                  <w:tcBorders>
                    <w:top w:val="single" w:color="auto" w:sz="4" w:space="0"/>
                    <w:left w:val="single" w:color="auto" w:sz="4" w:space="0"/>
                    <w:bottom w:val="single" w:color="auto" w:sz="4" w:space="0"/>
                    <w:right w:val="single" w:color="auto" w:sz="4" w:space="0"/>
                  </w:tcBorders>
                  <w:vAlign w:val="center"/>
                </w:tcPr>
                <w:p>
                  <w:pPr>
                    <w:jc w:val="center"/>
                    <w:rPr>
                      <w:color w:val="000000"/>
                      <w:sz w:val="21"/>
                      <w:szCs w:val="21"/>
                      <w:lang w:bidi="ar"/>
                    </w:rPr>
                  </w:pPr>
                  <w:r>
                    <w:rPr>
                      <w:color w:val="000000"/>
                      <w:sz w:val="21"/>
                      <w:szCs w:val="21"/>
                      <w:lang w:bidi="ar"/>
                    </w:rPr>
                    <w:t>2</w:t>
                  </w:r>
                </w:p>
              </w:tc>
              <w:tc>
                <w:tcPr>
                  <w:tcW w:w="75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color w:val="000000"/>
                      <w:kern w:val="2"/>
                      <w:sz w:val="21"/>
                      <w:szCs w:val="21"/>
                      <w:lang w:val="en-US" w:eastAsia="zh-CN" w:bidi="ar"/>
                    </w:rPr>
                  </w:pPr>
                  <w:r>
                    <w:rPr>
                      <w:rFonts w:hint="eastAsia"/>
                      <w:sz w:val="21"/>
                      <w:szCs w:val="21"/>
                    </w:rPr>
                    <w:t>废机油桶</w:t>
                  </w:r>
                </w:p>
              </w:tc>
              <w:tc>
                <w:tcPr>
                  <w:tcW w:w="82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
                    </w:rPr>
                  </w:pPr>
                  <w:r>
                    <w:rPr>
                      <w:rFonts w:hint="eastAsia"/>
                      <w:sz w:val="21"/>
                      <w:szCs w:val="21"/>
                      <w:lang w:bidi="ar"/>
                    </w:rPr>
                    <w:t>HW49</w:t>
                  </w:r>
                </w:p>
              </w:tc>
              <w:tc>
                <w:tcPr>
                  <w:tcW w:w="1380"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
                    </w:rPr>
                  </w:pPr>
                  <w:r>
                    <w:rPr>
                      <w:rFonts w:hint="eastAsia"/>
                      <w:sz w:val="21"/>
                      <w:szCs w:val="21"/>
                      <w:lang w:bidi="ar"/>
                    </w:rPr>
                    <w:t>900-041-49</w:t>
                  </w:r>
                </w:p>
              </w:tc>
              <w:tc>
                <w:tcPr>
                  <w:tcW w:w="114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kern w:val="2"/>
                      <w:sz w:val="21"/>
                      <w:szCs w:val="21"/>
                      <w:lang w:val="en-US" w:eastAsia="zh-CN" w:bidi="ar"/>
                    </w:rPr>
                  </w:pPr>
                  <w:r>
                    <w:rPr>
                      <w:rFonts w:hint="eastAsia"/>
                      <w:sz w:val="21"/>
                      <w:szCs w:val="21"/>
                    </w:rPr>
                    <w:t>0.02</w:t>
                  </w:r>
                  <w:r>
                    <w:rPr>
                      <w:sz w:val="21"/>
                      <w:szCs w:val="21"/>
                    </w:rPr>
                    <w:t>t/a</w:t>
                  </w:r>
                </w:p>
              </w:tc>
              <w:tc>
                <w:tcPr>
                  <w:tcW w:w="905" w:type="dxa"/>
                  <w:tcBorders>
                    <w:top w:val="single" w:color="auto" w:sz="4" w:space="0"/>
                    <w:left w:val="nil"/>
                    <w:bottom w:val="single" w:color="auto" w:sz="4" w:space="0"/>
                    <w:right w:val="single" w:color="auto" w:sz="4" w:space="0"/>
                  </w:tcBorders>
                  <w:vAlign w:val="center"/>
                </w:tcPr>
                <w:p>
                  <w:pPr>
                    <w:jc w:val="center"/>
                    <w:outlineLvl w:val="0"/>
                    <w:rPr>
                      <w:rFonts w:ascii="Times New Roman" w:hAnsi="Times New Roman" w:eastAsia="宋体" w:cs="Times New Roman"/>
                      <w:kern w:val="2"/>
                      <w:sz w:val="21"/>
                      <w:szCs w:val="21"/>
                      <w:lang w:val="en-US" w:eastAsia="zh-CN" w:bidi="ar-SA"/>
                    </w:rPr>
                  </w:pPr>
                  <w:r>
                    <w:rPr>
                      <w:rFonts w:hint="eastAsia"/>
                      <w:sz w:val="21"/>
                      <w:szCs w:val="21"/>
                    </w:rPr>
                    <w:t>生产维护</w:t>
                  </w:r>
                </w:p>
              </w:tc>
              <w:tc>
                <w:tcPr>
                  <w:tcW w:w="682" w:type="dxa"/>
                  <w:tcBorders>
                    <w:top w:val="single" w:color="auto" w:sz="4" w:space="0"/>
                    <w:left w:val="nil"/>
                    <w:bottom w:val="single" w:color="auto" w:sz="4" w:space="0"/>
                    <w:right w:val="single" w:color="auto" w:sz="4" w:space="0"/>
                  </w:tcBorders>
                  <w:vAlign w:val="center"/>
                </w:tcPr>
                <w:p>
                  <w:pPr>
                    <w:jc w:val="center"/>
                    <w:outlineLvl w:val="0"/>
                    <w:rPr>
                      <w:rFonts w:ascii="Times New Roman" w:hAnsi="Times New Roman" w:eastAsia="宋体" w:cs="Times New Roman"/>
                      <w:kern w:val="2"/>
                      <w:sz w:val="21"/>
                      <w:szCs w:val="21"/>
                      <w:lang w:val="en-US" w:eastAsia="zh-CN" w:bidi="ar-SA"/>
                    </w:rPr>
                  </w:pPr>
                  <w:r>
                    <w:rPr>
                      <w:color w:val="000000"/>
                      <w:sz w:val="21"/>
                      <w:szCs w:val="21"/>
                      <w:lang w:bidi="ar"/>
                    </w:rPr>
                    <w:t>固态</w:t>
                  </w:r>
                </w:p>
              </w:tc>
              <w:tc>
                <w:tcPr>
                  <w:tcW w:w="654"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color w:val="000000"/>
                      <w:kern w:val="2"/>
                      <w:sz w:val="21"/>
                      <w:szCs w:val="21"/>
                      <w:lang w:val="en-US" w:eastAsia="zh-CN" w:bidi="ar"/>
                    </w:rPr>
                  </w:pPr>
                  <w:r>
                    <w:rPr>
                      <w:rFonts w:hint="eastAsia"/>
                      <w:sz w:val="21"/>
                      <w:szCs w:val="21"/>
                    </w:rPr>
                    <w:t>T/In</w:t>
                  </w:r>
                </w:p>
              </w:tc>
              <w:tc>
                <w:tcPr>
                  <w:tcW w:w="1024" w:type="dxa"/>
                  <w:vMerge w:val="continue"/>
                  <w:tcBorders>
                    <w:left w:val="nil"/>
                    <w:right w:val="single" w:color="auto" w:sz="4" w:space="0"/>
                  </w:tcBorders>
                  <w:vAlign w:val="center"/>
                </w:tcPr>
                <w:p>
                  <w:pPr>
                    <w:jc w:val="center"/>
                    <w:rPr>
                      <w:color w:val="000000"/>
                      <w:sz w:val="21"/>
                      <w:szCs w:val="21"/>
                      <w:lang w:bidi="ar"/>
                    </w:rPr>
                  </w:pPr>
                </w:p>
              </w:tc>
            </w:tr>
          </w:tbl>
          <w:p>
            <w:pPr>
              <w:widowControl/>
              <w:wordWrap w:val="0"/>
              <w:spacing w:line="360" w:lineRule="auto"/>
              <w:ind w:firstLine="480" w:firstLineChars="200"/>
              <w:rPr>
                <w:color w:val="000000"/>
                <w:kern w:val="0"/>
                <w:lang w:bidi="ar"/>
              </w:rPr>
            </w:pPr>
            <w:r>
              <w:rPr>
                <w:color w:val="000000"/>
                <w:kern w:val="0"/>
                <w:lang w:bidi="ar"/>
              </w:rPr>
              <w:t>环境管理要求：</w:t>
            </w:r>
          </w:p>
          <w:p>
            <w:pPr>
              <w:widowControl/>
              <w:wordWrap w:val="0"/>
              <w:spacing w:line="360" w:lineRule="auto"/>
              <w:ind w:firstLine="480" w:firstLineChars="200"/>
              <w:rPr>
                <w:color w:val="000000"/>
                <w:kern w:val="0"/>
                <w:lang w:bidi="ar"/>
              </w:rPr>
            </w:pPr>
            <w:r>
              <w:rPr>
                <w:color w:val="000000"/>
                <w:kern w:val="0"/>
                <w:lang w:bidi="ar"/>
              </w:rPr>
              <w:t>项目一般固体废物存放一般固废暂存间，暂存场地的设置应符合</w:t>
            </w:r>
            <w:r>
              <w:rPr>
                <w:color w:val="000000"/>
              </w:rPr>
              <w:t>《一般工业固体废物贮存和填埋污染控制标准》（GB 18599-2020）</w:t>
            </w:r>
            <w:r>
              <w:rPr>
                <w:color w:val="000000"/>
                <w:kern w:val="0"/>
                <w:lang w:bidi="ar"/>
              </w:rPr>
              <w:t>中的规定。一般固废暂存间</w:t>
            </w:r>
            <w:r>
              <w:rPr>
                <w:rFonts w:hint="eastAsia"/>
                <w:color w:val="000000"/>
              </w:rPr>
              <w:t>位于3#生产车间内北部，建筑面积约为30m</w:t>
            </w:r>
            <w:r>
              <w:rPr>
                <w:rFonts w:hint="eastAsia"/>
                <w:color w:val="000000"/>
                <w:vertAlign w:val="superscript"/>
              </w:rPr>
              <w:t>2</w:t>
            </w:r>
            <w:r>
              <w:rPr>
                <w:rFonts w:hint="eastAsia"/>
                <w:color w:val="000000"/>
              </w:rPr>
              <w:t>，</w:t>
            </w:r>
            <w:r>
              <w:rPr>
                <w:color w:val="000000"/>
                <w:kern w:val="0"/>
                <w:lang w:bidi="ar"/>
              </w:rPr>
              <w:t>一般固废暂存间设置要求做到以下几点：</w:t>
            </w:r>
          </w:p>
          <w:p>
            <w:pPr>
              <w:widowControl/>
              <w:wordWrap w:val="0"/>
              <w:spacing w:line="360" w:lineRule="auto"/>
              <w:ind w:firstLine="480" w:firstLineChars="200"/>
              <w:rPr>
                <w:color w:val="000000"/>
                <w:kern w:val="0"/>
                <w:lang w:bidi="ar"/>
              </w:rPr>
            </w:pPr>
            <w:r>
              <w:rPr>
                <w:color w:val="000000"/>
                <w:kern w:val="0"/>
                <w:lang w:bidi="ar"/>
              </w:rPr>
              <w:t>（1）应选在满足承载力要求的地基上，以避免地基下沉的影响，特别是不均匀或局部下沉的影响。</w:t>
            </w:r>
          </w:p>
          <w:p>
            <w:pPr>
              <w:widowControl/>
              <w:wordWrap w:val="0"/>
              <w:spacing w:line="360" w:lineRule="auto"/>
              <w:ind w:firstLine="480" w:firstLineChars="200"/>
              <w:rPr>
                <w:color w:val="000000"/>
                <w:kern w:val="0"/>
                <w:lang w:bidi="ar"/>
              </w:rPr>
            </w:pPr>
            <w:r>
              <w:rPr>
                <w:color w:val="000000"/>
                <w:kern w:val="0"/>
                <w:lang w:bidi="ar"/>
              </w:rPr>
              <w:t>（2）一般工业固体废物贮存场的选址应符合环境保护法律法规及相关法定规划要求。</w:t>
            </w:r>
          </w:p>
          <w:p>
            <w:pPr>
              <w:widowControl/>
              <w:wordWrap w:val="0"/>
              <w:spacing w:line="360" w:lineRule="auto"/>
              <w:ind w:firstLine="480" w:firstLineChars="200"/>
              <w:rPr>
                <w:color w:val="000000"/>
                <w:kern w:val="0"/>
                <w:lang w:bidi="ar"/>
              </w:rPr>
            </w:pPr>
            <w:r>
              <w:rPr>
                <w:color w:val="000000"/>
                <w:kern w:val="0"/>
                <w:lang w:bidi="ar"/>
              </w:rPr>
              <w:t>（3）一般工业固体废物贮存，禁止危险废物和生活垃圾混入。</w:t>
            </w:r>
          </w:p>
          <w:p>
            <w:pPr>
              <w:widowControl/>
              <w:wordWrap w:val="0"/>
              <w:spacing w:line="360" w:lineRule="auto"/>
              <w:ind w:firstLine="480" w:firstLineChars="200"/>
              <w:rPr>
                <w:color w:val="000000"/>
                <w:kern w:val="0"/>
                <w:lang w:bidi="ar"/>
              </w:rPr>
            </w:pPr>
            <w:r>
              <w:rPr>
                <w:color w:val="000000"/>
                <w:kern w:val="0"/>
                <w:lang w:bidi="ar"/>
              </w:rPr>
              <w:t>（4）贮存的环境保护图形标志，应按GB15562.2规定进行检查和维护。</w:t>
            </w:r>
          </w:p>
          <w:p>
            <w:pPr>
              <w:pStyle w:val="11"/>
              <w:spacing w:before="0" w:after="0" w:line="360" w:lineRule="auto"/>
              <w:ind w:right="0" w:firstLine="480" w:firstLineChars="200"/>
              <w:rPr>
                <w:color w:val="000000"/>
                <w:sz w:val="24"/>
                <w:szCs w:val="24"/>
              </w:rPr>
            </w:pPr>
            <w:r>
              <w:rPr>
                <w:color w:val="000000"/>
                <w:sz w:val="24"/>
                <w:szCs w:val="24"/>
              </w:rPr>
              <w:t>（5）贮存场不得选在生态保护红线区域、永久基本农田集中区域和其他需要特别保护的区域内。</w:t>
            </w:r>
          </w:p>
          <w:p>
            <w:pPr>
              <w:widowControl/>
              <w:wordWrap w:val="0"/>
              <w:spacing w:line="360" w:lineRule="auto"/>
              <w:ind w:firstLine="480" w:firstLineChars="200"/>
              <w:rPr>
                <w:rFonts w:ascii="Times New Roman" w:hAnsi="Times New Roman" w:eastAsia="宋体" w:cs="Times New Roman"/>
                <w:color w:val="000000"/>
                <w:kern w:val="0"/>
                <w:sz w:val="24"/>
                <w:lang w:bidi="ar"/>
              </w:rPr>
            </w:pPr>
            <w:r>
              <w:rPr>
                <w:rFonts w:ascii="Times New Roman" w:hAnsi="Times New Roman" w:eastAsia="宋体" w:cs="Times New Roman"/>
                <w:color w:val="000000"/>
                <w:kern w:val="0"/>
                <w:sz w:val="24"/>
                <w:lang w:bidi="ar"/>
              </w:rPr>
              <w:t>项目危险废物短暂存放，暂存场地的设置应符合</w:t>
            </w:r>
            <w:r>
              <w:rPr>
                <w:rFonts w:ascii="Times New Roman" w:hAnsi="Times New Roman" w:eastAsia="宋体" w:cs="Times New Roman"/>
                <w:color w:val="000000"/>
                <w:sz w:val="24"/>
              </w:rPr>
              <w:t>《危险废物贮存污染控制标准》（GB18957-20</w:t>
            </w:r>
            <w:r>
              <w:rPr>
                <w:rFonts w:hint="eastAsia" w:ascii="Times New Roman" w:hAnsi="Times New Roman" w:eastAsia="宋体" w:cs="Times New Roman"/>
                <w:color w:val="000000"/>
                <w:sz w:val="24"/>
              </w:rPr>
              <w:t>23</w:t>
            </w:r>
            <w:r>
              <w:rPr>
                <w:rFonts w:ascii="Times New Roman" w:hAnsi="Times New Roman" w:eastAsia="宋体" w:cs="Times New Roman"/>
                <w:color w:val="000000"/>
                <w:sz w:val="24"/>
              </w:rPr>
              <w:t>）中有关规定。</w:t>
            </w:r>
            <w:r>
              <w:rPr>
                <w:rFonts w:hint="eastAsia" w:eastAsia="宋体"/>
                <w:color w:val="000000"/>
                <w:kern w:val="0"/>
                <w:lang w:val="en-US" w:eastAsia="zh-CN" w:bidi="ar"/>
              </w:rPr>
              <w:t>危险废物</w:t>
            </w:r>
            <w:r>
              <w:rPr>
                <w:rFonts w:hint="eastAsia"/>
                <w:color w:val="000000"/>
              </w:rPr>
              <w:t>位于3#生产车间内北部，建筑面积约为</w:t>
            </w:r>
            <w:r>
              <w:rPr>
                <w:rFonts w:hint="eastAsia"/>
                <w:color w:val="000000"/>
                <w:lang w:val="en-US" w:eastAsia="zh-CN"/>
              </w:rPr>
              <w:t>10</w:t>
            </w:r>
            <w:r>
              <w:rPr>
                <w:rFonts w:hint="eastAsia"/>
                <w:color w:val="000000"/>
              </w:rPr>
              <w:t>m</w:t>
            </w:r>
            <w:r>
              <w:rPr>
                <w:rFonts w:hint="eastAsia"/>
                <w:color w:val="000000"/>
                <w:vertAlign w:val="superscript"/>
              </w:rPr>
              <w:t>2</w:t>
            </w:r>
            <w:r>
              <w:rPr>
                <w:rFonts w:hint="eastAsia"/>
                <w:color w:val="000000"/>
              </w:rPr>
              <w:t>，</w:t>
            </w:r>
            <w:r>
              <w:rPr>
                <w:rFonts w:ascii="Times New Roman" w:hAnsi="Times New Roman" w:eastAsia="宋体" w:cs="Times New Roman"/>
                <w:color w:val="000000"/>
                <w:kern w:val="0"/>
                <w:sz w:val="24"/>
                <w:lang w:bidi="ar"/>
              </w:rPr>
              <w:t>危废暂存场地设置要求做到以下几点：</w:t>
            </w:r>
          </w:p>
          <w:p>
            <w:pPr>
              <w:widowControl/>
              <w:wordWrap w:val="0"/>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（1）危险废物贮存设施必须按《环境保护图形标志(GB15562.2)》的规定设置警示标志；</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（2）企业须健全危险废物相关管理制度，并严格落实。</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①企业须对危险废物储运场所张贴警示标识，危险废物包装物张贴警示标签；</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②规范危险废物台账记录、建立危险废物收集及储运有关档案，认真填写《危险废物项目区内转运记录表》，作好危险废物台账的记录，记录上须注明危险废物的名称、来源、数量、特性和包装容器的类别、入库日期、存放库位、废物出库日期及接收单位名称等，并即时存档以备查阅。</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（3）危险废物存储和管理的相关要求。</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①必须将危险废物装入容器内密封装运，盛装危险废物的容器应当符合标准，材质要满足相应的强度要求且必须完好无损，容器材质和衬里要与危险废物相容（不相互反应）；</w:t>
            </w:r>
          </w:p>
          <w:p>
            <w:pPr>
              <w:spacing w:line="360" w:lineRule="auto"/>
              <w:ind w:firstLine="480" w:firstLineChars="200"/>
              <w:rPr>
                <w:rFonts w:ascii="Times New Roman" w:hAnsi="Times New Roman" w:eastAsia="宋体" w:cs="Times New Roman"/>
                <w:color w:val="000000"/>
                <w:sz w:val="24"/>
              </w:rPr>
            </w:pPr>
            <w:r>
              <w:rPr>
                <w:rFonts w:ascii="Times New Roman" w:hAnsi="Times New Roman" w:eastAsia="宋体" w:cs="Times New Roman"/>
                <w:color w:val="000000"/>
                <w:sz w:val="24"/>
              </w:rPr>
              <w:t>②危险废物转移过程严格落实《危险废物转移联单管理办法》的相关规定，规范危险废物转移，做好每次外运处置废物的运输登记。</w:t>
            </w:r>
          </w:p>
          <w:p>
            <w:pPr>
              <w:adjustRightInd w:val="0"/>
              <w:snapToGrid w:val="0"/>
              <w:spacing w:line="360" w:lineRule="auto"/>
              <w:ind w:firstLine="480" w:firstLineChars="200"/>
              <w:rPr>
                <w:color w:val="000000"/>
                <w:kern w:val="0"/>
              </w:rPr>
            </w:pPr>
            <w:r>
              <w:rPr>
                <w:rFonts w:ascii="Times New Roman" w:hAnsi="Times New Roman" w:eastAsia="宋体" w:cs="Times New Roman"/>
                <w:color w:val="000000"/>
                <w:kern w:val="0"/>
                <w:sz w:val="24"/>
                <w:lang w:bidi="ar"/>
              </w:rPr>
              <w:t>项目固体废物处置符合</w:t>
            </w:r>
            <w:r>
              <w:rPr>
                <w:rFonts w:ascii="Times New Roman" w:hAnsi="Times New Roman" w:eastAsia="宋体" w:cs="Times New Roman"/>
                <w:color w:val="000000"/>
                <w:sz w:val="24"/>
              </w:rPr>
              <w:t>《一般工业固体废物贮存和填埋污染控制标准》（GB 18599-2020）</w:t>
            </w:r>
            <w:r>
              <w:rPr>
                <w:rFonts w:ascii="Times New Roman" w:hAnsi="Times New Roman" w:eastAsia="宋体" w:cs="Times New Roman"/>
                <w:color w:val="000000"/>
                <w:kern w:val="0"/>
                <w:sz w:val="24"/>
                <w:lang w:bidi="ar"/>
              </w:rPr>
              <w:t>、</w:t>
            </w:r>
            <w:r>
              <w:rPr>
                <w:rFonts w:ascii="Times New Roman" w:hAnsi="Times New Roman" w:eastAsia="宋体" w:cs="Times New Roman"/>
                <w:color w:val="000000"/>
                <w:sz w:val="24"/>
              </w:rPr>
              <w:t>《危险废物贮存污染控制标准》（GB18957-</w:t>
            </w:r>
            <w:r>
              <w:rPr>
                <w:rFonts w:hint="eastAsia" w:ascii="Times New Roman" w:hAnsi="Times New Roman" w:eastAsia="宋体" w:cs="Times New Roman"/>
                <w:color w:val="000000"/>
                <w:sz w:val="24"/>
              </w:rPr>
              <w:t>2023</w:t>
            </w:r>
            <w:r>
              <w:rPr>
                <w:rFonts w:ascii="Times New Roman" w:hAnsi="Times New Roman" w:eastAsia="宋体" w:cs="Times New Roman"/>
                <w:color w:val="000000"/>
                <w:sz w:val="24"/>
              </w:rPr>
              <w:t>）中</w:t>
            </w:r>
            <w:r>
              <w:rPr>
                <w:rFonts w:hint="eastAsia" w:ascii="Times New Roman" w:hAnsi="Times New Roman" w:eastAsia="宋体" w:cs="Times New Roman"/>
                <w:color w:val="000000"/>
                <w:sz w:val="24"/>
              </w:rPr>
              <w:t>相关</w:t>
            </w:r>
            <w:r>
              <w:rPr>
                <w:rFonts w:ascii="Times New Roman" w:hAnsi="Times New Roman" w:eastAsia="宋体" w:cs="Times New Roman"/>
                <w:color w:val="000000"/>
                <w:kern w:val="0"/>
                <w:sz w:val="24"/>
                <w:lang w:bidi="ar"/>
              </w:rPr>
              <w:t>要求，</w:t>
            </w:r>
            <w:r>
              <w:rPr>
                <w:rFonts w:ascii="Times New Roman" w:hAnsi="Times New Roman" w:eastAsia="宋体" w:cs="Times New Roman"/>
                <w:color w:val="000000"/>
                <w:kern w:val="0"/>
                <w:sz w:val="24"/>
              </w:rPr>
              <w:t>各固体废物均能得到妥善解决，对周围环境影响较小。</w:t>
            </w:r>
          </w:p>
          <w:p>
            <w:pPr>
              <w:adjustRightInd w:val="0"/>
              <w:snapToGrid w:val="0"/>
              <w:spacing w:line="360" w:lineRule="auto"/>
              <w:ind w:firstLine="482" w:firstLineChars="200"/>
              <w:rPr>
                <w:b/>
                <w:color w:val="000000"/>
              </w:rPr>
            </w:pPr>
            <w:r>
              <w:rPr>
                <w:rFonts w:hint="eastAsia"/>
                <w:b/>
                <w:color w:val="000000"/>
              </w:rPr>
              <w:t>五</w:t>
            </w:r>
            <w:r>
              <w:rPr>
                <w:b/>
                <w:color w:val="000000"/>
              </w:rPr>
              <w:t>、地下水、土壤</w:t>
            </w:r>
          </w:p>
          <w:p>
            <w:pPr>
              <w:adjustRightInd w:val="0"/>
              <w:snapToGrid w:val="0"/>
              <w:spacing w:line="360" w:lineRule="auto"/>
              <w:ind w:firstLine="480" w:firstLineChars="200"/>
              <w:rPr>
                <w:bCs/>
                <w:color w:val="000000"/>
              </w:rPr>
            </w:pPr>
            <w:r>
              <w:rPr>
                <w:bCs/>
                <w:color w:val="000000"/>
              </w:rPr>
              <w:t>本项目厂界外500米范围内无地下水集中式饮用水水源和热水、矿泉水、温泉等特殊地下水资源，</w:t>
            </w:r>
            <w:r>
              <w:rPr>
                <w:rFonts w:hint="eastAsia"/>
                <w:bCs/>
                <w:color w:val="000000"/>
              </w:rPr>
              <w:t>且本项目为建设项目</w:t>
            </w:r>
            <w:r>
              <w:rPr>
                <w:bCs/>
                <w:color w:val="000000"/>
              </w:rPr>
              <w:t>因此无需考虑地下水污染。</w:t>
            </w:r>
          </w:p>
          <w:p>
            <w:pPr>
              <w:adjustRightInd w:val="0"/>
              <w:snapToGrid w:val="0"/>
              <w:spacing w:line="360" w:lineRule="auto"/>
              <w:ind w:firstLine="480" w:firstLineChars="200"/>
              <w:rPr>
                <w:bCs/>
                <w:color w:val="000000"/>
              </w:rPr>
            </w:pPr>
            <w:r>
              <w:rPr>
                <w:bCs/>
                <w:color w:val="000000"/>
              </w:rPr>
              <w:t>1、污染源及污染途径</w:t>
            </w:r>
          </w:p>
          <w:p>
            <w:pPr>
              <w:adjustRightInd w:val="0"/>
              <w:snapToGrid w:val="0"/>
              <w:spacing w:line="360" w:lineRule="auto"/>
              <w:ind w:firstLine="480" w:firstLineChars="200"/>
              <w:rPr>
                <w:bCs/>
                <w:color w:val="000000"/>
              </w:rPr>
            </w:pPr>
            <w:r>
              <w:rPr>
                <w:bCs/>
                <w:color w:val="000000"/>
              </w:rPr>
              <w:t>（1）污染源：</w:t>
            </w:r>
            <w:r>
              <w:rPr>
                <w:rFonts w:hint="eastAsia"/>
                <w:bCs/>
                <w:color w:val="000000"/>
              </w:rPr>
              <w:t>生活污水、搅拌废水、设备及地面清洗废水</w:t>
            </w:r>
            <w:r>
              <w:rPr>
                <w:bCs/>
                <w:color w:val="000000"/>
              </w:rPr>
              <w:t>。</w:t>
            </w:r>
          </w:p>
          <w:p>
            <w:pPr>
              <w:adjustRightInd w:val="0"/>
              <w:snapToGrid w:val="0"/>
              <w:spacing w:line="360" w:lineRule="auto"/>
              <w:ind w:firstLine="480" w:firstLineChars="200"/>
              <w:rPr>
                <w:bCs/>
                <w:color w:val="000000"/>
              </w:rPr>
            </w:pPr>
            <w:r>
              <w:rPr>
                <w:bCs/>
                <w:color w:val="000000"/>
              </w:rPr>
              <w:t>（2）污染途径</w:t>
            </w:r>
          </w:p>
          <w:p>
            <w:pPr>
              <w:adjustRightInd w:val="0"/>
              <w:snapToGrid w:val="0"/>
              <w:spacing w:line="360" w:lineRule="auto"/>
              <w:ind w:firstLine="480" w:firstLineChars="200"/>
              <w:rPr>
                <w:bCs/>
                <w:color w:val="000000"/>
              </w:rPr>
            </w:pPr>
            <w:r>
              <w:rPr>
                <w:bCs/>
                <w:color w:val="000000"/>
              </w:rPr>
              <w:t>①本项目</w:t>
            </w:r>
            <w:r>
              <w:rPr>
                <w:rFonts w:hint="eastAsia"/>
                <w:bCs/>
                <w:color w:val="000000"/>
              </w:rPr>
              <w:t>生活污水经隔油池+化粪池处理后定期清掏不外排，在做好防渗措施的情况下对环境影响较小</w:t>
            </w:r>
            <w:r>
              <w:rPr>
                <w:bCs/>
                <w:color w:val="000000"/>
              </w:rPr>
              <w:t>。</w:t>
            </w:r>
          </w:p>
          <w:p>
            <w:pPr>
              <w:adjustRightInd w:val="0"/>
              <w:snapToGrid w:val="0"/>
              <w:spacing w:line="360" w:lineRule="auto"/>
              <w:ind w:firstLine="480" w:firstLineChars="200"/>
              <w:rPr>
                <w:bCs/>
                <w:color w:val="000000"/>
              </w:rPr>
            </w:pPr>
            <w:r>
              <w:rPr>
                <w:bCs/>
                <w:color w:val="000000"/>
              </w:rPr>
              <w:t>②本项目搅拌废水、设备及地面清洗废水</w:t>
            </w:r>
            <w:r>
              <w:rPr>
                <w:rFonts w:hint="eastAsia"/>
                <w:bCs/>
                <w:color w:val="000000"/>
              </w:rPr>
              <w:t>经沉淀池处理后回用于，在做好防渗措施的情况下对环境影响较小</w:t>
            </w:r>
            <w:r>
              <w:rPr>
                <w:bCs/>
                <w:color w:val="000000"/>
              </w:rPr>
              <w:t>。</w:t>
            </w:r>
          </w:p>
          <w:p>
            <w:pPr>
              <w:adjustRightInd w:val="0"/>
              <w:snapToGrid w:val="0"/>
              <w:spacing w:line="360" w:lineRule="auto"/>
              <w:ind w:firstLine="480" w:firstLineChars="200"/>
              <w:rPr>
                <w:bCs/>
                <w:color w:val="000000"/>
              </w:rPr>
            </w:pPr>
            <w:r>
              <w:rPr>
                <w:bCs/>
                <w:color w:val="000000"/>
              </w:rPr>
              <w:t>厂区内如若防渗措施不到位，会有废水下渗污染地下水、土壤。</w:t>
            </w:r>
          </w:p>
          <w:p>
            <w:pPr>
              <w:adjustRightInd w:val="0"/>
              <w:snapToGrid w:val="0"/>
              <w:spacing w:line="360" w:lineRule="auto"/>
              <w:ind w:firstLine="480" w:firstLineChars="200"/>
              <w:rPr>
                <w:color w:val="0000FF"/>
              </w:rPr>
            </w:pPr>
            <w:r>
              <w:t>项目在建设过程中，参照《</w:t>
            </w:r>
            <w:r>
              <w:rPr>
                <w:rFonts w:hint="eastAsia"/>
              </w:rPr>
              <w:t>环境影响评价技术导则 地下水环境</w:t>
            </w:r>
            <w:r>
              <w:t>》（</w:t>
            </w:r>
            <w:r>
              <w:rPr>
                <w:rFonts w:hint="eastAsia"/>
              </w:rPr>
              <w:t>HJ610-2016</w:t>
            </w:r>
            <w:r>
              <w:t>）中对防渗层的要求为“防渗层为至少</w:t>
            </w:r>
            <w:r>
              <w:rPr>
                <w:rFonts w:hint="eastAsia"/>
                <w:lang w:val="en-US" w:eastAsia="zh-CN"/>
              </w:rPr>
              <w:t>6</w:t>
            </w:r>
            <w:r>
              <w:t>m厚粘土层（渗透系数≤10</w:t>
            </w:r>
            <w:r>
              <w:rPr>
                <w:vertAlign w:val="superscript"/>
              </w:rPr>
              <w:t>-7</w:t>
            </w:r>
            <w:r>
              <w:t>cm/s），或2mm厚高密度聚乙烯，或至少2mm厚的其他人工材料，渗透系数≤10</w:t>
            </w:r>
            <w:r>
              <w:rPr>
                <w:vertAlign w:val="superscript"/>
              </w:rPr>
              <w:t>-10</w:t>
            </w:r>
            <w:r>
              <w:t>cm/s”。</w:t>
            </w:r>
          </w:p>
          <w:p>
            <w:pPr>
              <w:pStyle w:val="35"/>
              <w:spacing w:line="360" w:lineRule="auto"/>
              <w:rPr>
                <w:color w:val="000000"/>
              </w:rPr>
            </w:pPr>
            <w:r>
              <w:rPr>
                <w:color w:val="000000"/>
              </w:rPr>
              <w:t>根据以上分区情况，对本项目场区防渗分区见下表。</w:t>
            </w:r>
          </w:p>
          <w:p>
            <w:pPr>
              <w:pStyle w:val="35"/>
              <w:spacing w:line="360" w:lineRule="auto"/>
              <w:ind w:firstLine="0" w:firstLineChars="0"/>
              <w:jc w:val="center"/>
              <w:rPr>
                <w:b/>
                <w:bCs/>
                <w:color w:val="000000"/>
              </w:rPr>
            </w:pPr>
            <w:r>
              <w:rPr>
                <w:b/>
                <w:bCs/>
                <w:color w:val="000000"/>
              </w:rPr>
              <w:t>表4-1</w:t>
            </w:r>
            <w:r>
              <w:rPr>
                <w:rFonts w:hint="eastAsia"/>
                <w:b/>
                <w:bCs/>
                <w:color w:val="000000"/>
              </w:rPr>
              <w:t>4</w:t>
            </w:r>
            <w:r>
              <w:rPr>
                <w:b/>
                <w:bCs/>
                <w:color w:val="000000"/>
              </w:rPr>
              <w:t xml:space="preserve">  地下水污染防渗分区参照表</w:t>
            </w:r>
          </w:p>
          <w:tbl>
            <w:tblPr>
              <w:tblStyle w:val="24"/>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515"/>
              <w:gridCol w:w="3534"/>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422" w:type="dxa"/>
                  <w:vAlign w:val="center"/>
                </w:tcPr>
                <w:p>
                  <w:pPr>
                    <w:pStyle w:val="35"/>
                    <w:spacing w:line="240" w:lineRule="auto"/>
                    <w:ind w:firstLine="0" w:firstLineChars="0"/>
                    <w:jc w:val="center"/>
                    <w:rPr>
                      <w:b/>
                      <w:bCs/>
                      <w:sz w:val="21"/>
                      <w:szCs w:val="21"/>
                    </w:rPr>
                  </w:pPr>
                  <w:r>
                    <w:rPr>
                      <w:b/>
                      <w:bCs/>
                      <w:sz w:val="21"/>
                      <w:szCs w:val="21"/>
                    </w:rPr>
                    <w:t>防渗级别</w:t>
                  </w:r>
                </w:p>
              </w:tc>
              <w:tc>
                <w:tcPr>
                  <w:tcW w:w="1515" w:type="dxa"/>
                  <w:vAlign w:val="center"/>
                </w:tcPr>
                <w:p>
                  <w:pPr>
                    <w:pStyle w:val="35"/>
                    <w:spacing w:line="240" w:lineRule="auto"/>
                    <w:ind w:firstLine="0" w:firstLineChars="0"/>
                    <w:jc w:val="center"/>
                    <w:rPr>
                      <w:b/>
                      <w:bCs/>
                      <w:sz w:val="21"/>
                      <w:szCs w:val="21"/>
                    </w:rPr>
                  </w:pPr>
                  <w:r>
                    <w:rPr>
                      <w:b/>
                      <w:bCs/>
                      <w:sz w:val="21"/>
                      <w:szCs w:val="21"/>
                    </w:rPr>
                    <w:t>工作区</w:t>
                  </w:r>
                </w:p>
              </w:tc>
              <w:tc>
                <w:tcPr>
                  <w:tcW w:w="3534" w:type="dxa"/>
                  <w:vAlign w:val="center"/>
                </w:tcPr>
                <w:p>
                  <w:pPr>
                    <w:pStyle w:val="35"/>
                    <w:spacing w:line="240" w:lineRule="auto"/>
                    <w:ind w:firstLine="0" w:firstLineChars="0"/>
                    <w:jc w:val="center"/>
                    <w:rPr>
                      <w:b/>
                      <w:bCs/>
                      <w:sz w:val="21"/>
                      <w:szCs w:val="21"/>
                    </w:rPr>
                  </w:pPr>
                  <w:r>
                    <w:rPr>
                      <w:b/>
                      <w:bCs/>
                      <w:sz w:val="21"/>
                      <w:szCs w:val="21"/>
                    </w:rPr>
                    <w:t>防渗技术要求</w:t>
                  </w:r>
                </w:p>
              </w:tc>
              <w:tc>
                <w:tcPr>
                  <w:tcW w:w="1989" w:type="dxa"/>
                  <w:vAlign w:val="center"/>
                </w:tcPr>
                <w:p>
                  <w:pPr>
                    <w:pStyle w:val="35"/>
                    <w:spacing w:line="240" w:lineRule="auto"/>
                    <w:ind w:firstLine="0" w:firstLineChars="0"/>
                    <w:jc w:val="center"/>
                    <w:rPr>
                      <w:b/>
                      <w:bCs/>
                      <w:sz w:val="21"/>
                      <w:szCs w:val="21"/>
                    </w:rPr>
                  </w:pPr>
                  <w:r>
                    <w:rPr>
                      <w:rFonts w:hint="eastAsia"/>
                      <w:sz w:val="21"/>
                      <w:szCs w:val="21"/>
                    </w:rPr>
                    <w:t>企业拟采用措施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422" w:type="dxa"/>
                  <w:vAlign w:val="center"/>
                </w:tcPr>
                <w:p>
                  <w:pPr>
                    <w:pStyle w:val="35"/>
                    <w:spacing w:line="240" w:lineRule="auto"/>
                    <w:ind w:firstLine="0" w:firstLineChars="0"/>
                    <w:jc w:val="center"/>
                    <w:rPr>
                      <w:sz w:val="21"/>
                      <w:szCs w:val="21"/>
                    </w:rPr>
                  </w:pPr>
                  <w:r>
                    <w:rPr>
                      <w:sz w:val="21"/>
                      <w:szCs w:val="21"/>
                    </w:rPr>
                    <w:t>重点防渗</w:t>
                  </w:r>
                </w:p>
              </w:tc>
              <w:tc>
                <w:tcPr>
                  <w:tcW w:w="1515" w:type="dxa"/>
                  <w:vAlign w:val="center"/>
                </w:tcPr>
                <w:p>
                  <w:pPr>
                    <w:pStyle w:val="35"/>
                    <w:spacing w:line="240" w:lineRule="auto"/>
                    <w:ind w:firstLine="0" w:firstLineChars="0"/>
                    <w:jc w:val="center"/>
                    <w:rPr>
                      <w:sz w:val="21"/>
                      <w:szCs w:val="21"/>
                    </w:rPr>
                  </w:pPr>
                  <w:r>
                    <w:rPr>
                      <w:rFonts w:hint="eastAsia"/>
                      <w:sz w:val="21"/>
                      <w:szCs w:val="21"/>
                    </w:rPr>
                    <w:t>隔油池、化粪池、沉淀池</w:t>
                  </w:r>
                </w:p>
              </w:tc>
              <w:tc>
                <w:tcPr>
                  <w:tcW w:w="3534" w:type="dxa"/>
                  <w:vAlign w:val="center"/>
                </w:tcPr>
                <w:p>
                  <w:pPr>
                    <w:adjustRightInd w:val="0"/>
                    <w:snapToGrid w:val="0"/>
                    <w:jc w:val="center"/>
                    <w:rPr>
                      <w:sz w:val="21"/>
                      <w:szCs w:val="21"/>
                    </w:rPr>
                  </w:pPr>
                  <w:r>
                    <w:rPr>
                      <w:sz w:val="21"/>
                      <w:szCs w:val="21"/>
                    </w:rPr>
                    <w:t>基础必须防渗，防渗层为至少6米厚粘土层（渗透系数≤10</w:t>
                  </w:r>
                  <w:r>
                    <w:rPr>
                      <w:sz w:val="21"/>
                      <w:szCs w:val="21"/>
                      <w:vertAlign w:val="superscript"/>
                    </w:rPr>
                    <w:t>-7</w:t>
                  </w:r>
                  <w:r>
                    <w:rPr>
                      <w:sz w:val="21"/>
                      <w:szCs w:val="21"/>
                    </w:rPr>
                    <w:t>cm/s），或2mm厚高密度聚乙烯，或至少2mm厚的其他人工材料，渗透系数≤10</w:t>
                  </w:r>
                  <w:r>
                    <w:rPr>
                      <w:sz w:val="21"/>
                      <w:szCs w:val="21"/>
                      <w:vertAlign w:val="superscript"/>
                    </w:rPr>
                    <w:t>-10</w:t>
                  </w:r>
                  <w:r>
                    <w:rPr>
                      <w:sz w:val="21"/>
                      <w:szCs w:val="21"/>
                    </w:rPr>
                    <w:t>cm/s</w:t>
                  </w:r>
                </w:p>
              </w:tc>
              <w:tc>
                <w:tcPr>
                  <w:tcW w:w="1989" w:type="dxa"/>
                  <w:vAlign w:val="center"/>
                </w:tcPr>
                <w:p>
                  <w:pPr>
                    <w:adjustRightInd w:val="0"/>
                    <w:snapToGrid w:val="0"/>
                    <w:jc w:val="center"/>
                    <w:rPr>
                      <w:sz w:val="21"/>
                      <w:szCs w:val="21"/>
                    </w:rPr>
                  </w:pPr>
                  <w:r>
                    <w:rPr>
                      <w:rFonts w:hint="eastAsia"/>
                      <w:sz w:val="21"/>
                      <w:szCs w:val="21"/>
                    </w:rPr>
                    <w:t>15cm抗渗混凝土+2mm厚高密度聚乙烯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422" w:type="dxa"/>
                  <w:vAlign w:val="center"/>
                </w:tcPr>
                <w:p>
                  <w:pPr>
                    <w:pStyle w:val="35"/>
                    <w:spacing w:line="240" w:lineRule="auto"/>
                    <w:ind w:firstLine="0" w:firstLineChars="0"/>
                    <w:jc w:val="center"/>
                    <w:rPr>
                      <w:sz w:val="21"/>
                      <w:szCs w:val="21"/>
                    </w:rPr>
                  </w:pPr>
                  <w:r>
                    <w:rPr>
                      <w:sz w:val="21"/>
                      <w:szCs w:val="21"/>
                    </w:rPr>
                    <w:t>一般防渗</w:t>
                  </w:r>
                </w:p>
              </w:tc>
              <w:tc>
                <w:tcPr>
                  <w:tcW w:w="1515" w:type="dxa"/>
                  <w:vAlign w:val="center"/>
                </w:tcPr>
                <w:p>
                  <w:pPr>
                    <w:pStyle w:val="35"/>
                    <w:spacing w:line="240" w:lineRule="auto"/>
                    <w:ind w:firstLine="0" w:firstLineChars="0"/>
                    <w:jc w:val="center"/>
                    <w:rPr>
                      <w:sz w:val="21"/>
                      <w:szCs w:val="21"/>
                    </w:rPr>
                  </w:pPr>
                  <w:r>
                    <w:rPr>
                      <w:sz w:val="21"/>
                      <w:szCs w:val="21"/>
                    </w:rPr>
                    <w:t>生产区、</w:t>
                  </w:r>
                  <w:r>
                    <w:rPr>
                      <w:rFonts w:hint="eastAsia"/>
                      <w:sz w:val="21"/>
                      <w:szCs w:val="21"/>
                    </w:rPr>
                    <w:t>一般固废暂存间、存储区</w:t>
                  </w:r>
                  <w:r>
                    <w:rPr>
                      <w:sz w:val="21"/>
                      <w:szCs w:val="21"/>
                    </w:rPr>
                    <w:t>等</w:t>
                  </w:r>
                </w:p>
              </w:tc>
              <w:tc>
                <w:tcPr>
                  <w:tcW w:w="3534" w:type="dxa"/>
                  <w:vAlign w:val="center"/>
                </w:tcPr>
                <w:p>
                  <w:pPr>
                    <w:pStyle w:val="35"/>
                    <w:spacing w:line="240" w:lineRule="auto"/>
                    <w:ind w:firstLine="0" w:firstLineChars="0"/>
                    <w:jc w:val="center"/>
                    <w:rPr>
                      <w:sz w:val="21"/>
                      <w:szCs w:val="21"/>
                    </w:rPr>
                  </w:pPr>
                  <w:r>
                    <w:rPr>
                      <w:sz w:val="21"/>
                      <w:szCs w:val="21"/>
                    </w:rPr>
                    <w:t>采用天然或人工材料构筑防渗层，防渗层的厚度应相当于渗透系数1.0×10</w:t>
                  </w:r>
                  <w:r>
                    <w:rPr>
                      <w:sz w:val="21"/>
                      <w:szCs w:val="21"/>
                      <w:vertAlign w:val="superscript"/>
                    </w:rPr>
                    <w:t>-7</w:t>
                  </w:r>
                  <w:r>
                    <w:rPr>
                      <w:sz w:val="21"/>
                      <w:szCs w:val="21"/>
                    </w:rPr>
                    <w:t>cm/s和厚度1.5m的粘土层的防渗性能</w:t>
                  </w:r>
                </w:p>
              </w:tc>
              <w:tc>
                <w:tcPr>
                  <w:tcW w:w="1989" w:type="dxa"/>
                  <w:vAlign w:val="center"/>
                </w:tcPr>
                <w:p>
                  <w:pPr>
                    <w:pStyle w:val="35"/>
                    <w:spacing w:line="240" w:lineRule="auto"/>
                    <w:ind w:firstLine="0" w:firstLineChars="0"/>
                    <w:jc w:val="center"/>
                    <w:rPr>
                      <w:sz w:val="21"/>
                      <w:szCs w:val="21"/>
                    </w:rPr>
                  </w:pPr>
                  <w:r>
                    <w:rPr>
                      <w:sz w:val="21"/>
                      <w:szCs w:val="21"/>
                    </w:rPr>
                    <w:t>15cm抗渗混凝土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2" w:type="dxa"/>
                  <w:vAlign w:val="center"/>
                </w:tcPr>
                <w:p>
                  <w:pPr>
                    <w:pStyle w:val="35"/>
                    <w:spacing w:line="240" w:lineRule="auto"/>
                    <w:ind w:firstLine="0" w:firstLineChars="0"/>
                    <w:jc w:val="center"/>
                    <w:rPr>
                      <w:sz w:val="21"/>
                      <w:szCs w:val="21"/>
                    </w:rPr>
                  </w:pPr>
                  <w:r>
                    <w:rPr>
                      <w:sz w:val="21"/>
                      <w:szCs w:val="21"/>
                    </w:rPr>
                    <w:t>简单防渗</w:t>
                  </w:r>
                </w:p>
              </w:tc>
              <w:tc>
                <w:tcPr>
                  <w:tcW w:w="1515" w:type="dxa"/>
                  <w:vAlign w:val="center"/>
                </w:tcPr>
                <w:p>
                  <w:pPr>
                    <w:pStyle w:val="35"/>
                    <w:spacing w:line="240" w:lineRule="auto"/>
                    <w:ind w:firstLine="0" w:firstLineChars="0"/>
                    <w:jc w:val="center"/>
                    <w:rPr>
                      <w:sz w:val="21"/>
                      <w:szCs w:val="21"/>
                    </w:rPr>
                  </w:pPr>
                  <w:r>
                    <w:rPr>
                      <w:sz w:val="21"/>
                      <w:szCs w:val="21"/>
                    </w:rPr>
                    <w:t>办公区</w:t>
                  </w:r>
                </w:p>
              </w:tc>
              <w:tc>
                <w:tcPr>
                  <w:tcW w:w="3534" w:type="dxa"/>
                  <w:vAlign w:val="center"/>
                </w:tcPr>
                <w:p>
                  <w:pPr>
                    <w:pStyle w:val="35"/>
                    <w:spacing w:line="240" w:lineRule="auto"/>
                    <w:ind w:firstLine="0" w:firstLineChars="0"/>
                    <w:jc w:val="center"/>
                    <w:rPr>
                      <w:sz w:val="21"/>
                      <w:szCs w:val="21"/>
                    </w:rPr>
                  </w:pPr>
                  <w:r>
                    <w:rPr>
                      <w:sz w:val="21"/>
                      <w:szCs w:val="21"/>
                    </w:rPr>
                    <w:t>一般地面硬化</w:t>
                  </w:r>
                </w:p>
              </w:tc>
              <w:tc>
                <w:tcPr>
                  <w:tcW w:w="1989" w:type="dxa"/>
                  <w:vAlign w:val="center"/>
                </w:tcPr>
                <w:p>
                  <w:pPr>
                    <w:pStyle w:val="35"/>
                    <w:spacing w:line="240" w:lineRule="auto"/>
                    <w:ind w:firstLine="0" w:firstLineChars="0"/>
                    <w:jc w:val="center"/>
                    <w:rPr>
                      <w:sz w:val="21"/>
                      <w:szCs w:val="21"/>
                    </w:rPr>
                  </w:pPr>
                  <w:r>
                    <w:rPr>
                      <w:sz w:val="21"/>
                      <w:szCs w:val="21"/>
                    </w:rPr>
                    <w:t>一般地面硬化</w:t>
                  </w:r>
                </w:p>
              </w:tc>
            </w:tr>
          </w:tbl>
          <w:p>
            <w:pPr>
              <w:adjustRightInd w:val="0"/>
              <w:snapToGrid w:val="0"/>
              <w:spacing w:line="360" w:lineRule="auto"/>
              <w:ind w:firstLine="482" w:firstLineChars="200"/>
              <w:rPr>
                <w:b/>
                <w:bCs/>
                <w:spacing w:val="-10"/>
              </w:rPr>
            </w:pPr>
            <w:r>
              <w:rPr>
                <w:rFonts w:hint="eastAsia"/>
                <w:b/>
                <w:bCs/>
              </w:rPr>
              <w:t>六</w:t>
            </w:r>
            <w:r>
              <w:rPr>
                <w:b/>
                <w:bCs/>
                <w:spacing w:val="-10"/>
              </w:rPr>
              <w:t>、生态</w:t>
            </w:r>
          </w:p>
          <w:p>
            <w:pPr>
              <w:adjustRightInd w:val="0"/>
              <w:snapToGrid w:val="0"/>
              <w:spacing w:line="360" w:lineRule="auto"/>
              <w:ind w:firstLine="480" w:firstLineChars="200"/>
              <w:jc w:val="left"/>
              <w:rPr>
                <w:bCs/>
                <w:spacing w:val="-10"/>
                <w:szCs w:val="21"/>
              </w:rPr>
            </w:pPr>
            <w:r>
              <w:rPr>
                <w:rFonts w:hint="eastAsia" w:ascii="Times New Roman" w:hAnsi="Times New Roman" w:eastAsia="宋体" w:cs="Times New Roman"/>
                <w:bCs/>
                <w:kern w:val="2"/>
                <w:sz w:val="24"/>
                <w:szCs w:val="24"/>
                <w:lang w:val="en-US" w:eastAsia="zh-CN" w:bidi="ar-SA"/>
              </w:rPr>
              <w:t>项目位于安徽省宿州市泗县草沟镇工业园区06号，用地范围内不含生态环境保护目标，故不对生态环境进行影响分析。</w:t>
            </w:r>
          </w:p>
          <w:p>
            <w:pPr>
              <w:adjustRightInd w:val="0"/>
              <w:snapToGrid w:val="0"/>
              <w:spacing w:line="360" w:lineRule="auto"/>
              <w:ind w:firstLine="482" w:firstLineChars="200"/>
              <w:rPr>
                <w:rFonts w:hint="eastAsia" w:ascii="Times New Roman" w:hAnsi="Times New Roman" w:eastAsia="宋体" w:cs="Times New Roman"/>
                <w:b/>
                <w:bCs w:val="0"/>
                <w:kern w:val="2"/>
                <w:sz w:val="24"/>
                <w:szCs w:val="24"/>
                <w:lang w:val="en-US" w:eastAsia="zh-CN" w:bidi="ar-SA"/>
              </w:rPr>
            </w:pPr>
            <w:r>
              <w:rPr>
                <w:rFonts w:hint="eastAsia" w:ascii="Times New Roman" w:hAnsi="Times New Roman" w:eastAsia="宋体" w:cs="Times New Roman"/>
                <w:b/>
                <w:bCs w:val="0"/>
                <w:kern w:val="2"/>
                <w:sz w:val="24"/>
                <w:szCs w:val="24"/>
                <w:lang w:val="en-US" w:eastAsia="zh-CN" w:bidi="ar-SA"/>
              </w:rPr>
              <w:t>七、环境风险</w:t>
            </w:r>
          </w:p>
          <w:p>
            <w:pPr>
              <w:adjustRightInd w:val="0"/>
              <w:snapToGrid w:val="0"/>
              <w:spacing w:line="360" w:lineRule="auto"/>
              <w:ind w:firstLine="480" w:firstLineChars="200"/>
              <w:rPr>
                <w:rFonts w:ascii="Times New Roman" w:hAnsi="Times New Roman" w:eastAsia="宋体" w:cs="Times New Roman"/>
                <w:bCs/>
                <w:sz w:val="24"/>
              </w:rPr>
            </w:pPr>
            <w:r>
              <w:rPr>
                <w:rFonts w:hint="eastAsia" w:ascii="Times New Roman" w:hAnsi="Times New Roman" w:eastAsia="宋体" w:cs="Times New Roman"/>
                <w:bCs/>
                <w:sz w:val="24"/>
              </w:rPr>
              <w:t>1、风险识别</w:t>
            </w:r>
          </w:p>
          <w:p>
            <w:pPr>
              <w:adjustRightInd w:val="0"/>
              <w:snapToGrid w:val="0"/>
              <w:spacing w:line="360" w:lineRule="auto"/>
              <w:ind w:firstLine="480" w:firstLineChars="200"/>
              <w:rPr>
                <w:rFonts w:ascii="Times New Roman" w:hAnsi="Times New Roman" w:eastAsia="宋体" w:cs="Times New Roman"/>
                <w:sz w:val="24"/>
              </w:rPr>
            </w:pPr>
            <w:r>
              <w:rPr>
                <w:rFonts w:ascii="宋体" w:hAnsi="宋体" w:eastAsia="宋体" w:cs="宋体"/>
                <w:sz w:val="24"/>
              </w:rPr>
              <w:t>对本项目使用的主要原辅材料、燃料、中间产品、副产品、最终产品、污染物、火灾和爆炸伴生/次生物等进行物质的危险性识别。</w:t>
            </w:r>
            <w:r>
              <w:rPr>
                <w:rFonts w:hint="eastAsia" w:ascii="Times New Roman" w:hAnsi="Times New Roman" w:eastAsia="宋体" w:cs="Times New Roman"/>
                <w:bCs/>
                <w:sz w:val="24"/>
              </w:rPr>
              <w:t>对照《建设项目环境风险评价技术导则》（HJ169-2018）附录B</w:t>
            </w:r>
            <w:r>
              <w:rPr>
                <w:rFonts w:ascii="Times New Roman" w:hAnsi="Times New Roman" w:eastAsia="宋体" w:cs="Times New Roman"/>
                <w:sz w:val="24"/>
              </w:rPr>
              <w:t>计算所涉及的每种危险物质在厂界内的最大存在总量与其在《建设项目环境风险评价技术导则》（HJ169-2018）附录B中对应临界量的比值Q。在不同厂区的同一种物质，按其在厂界内的最大存在总量计算。</w:t>
            </w:r>
          </w:p>
          <w:p>
            <w:pPr>
              <w:spacing w:line="360" w:lineRule="auto"/>
              <w:ind w:firstLine="480"/>
              <w:rPr>
                <w:rFonts w:ascii="Times New Roman" w:hAnsi="Times New Roman" w:eastAsia="宋体" w:cs="Times New Roman"/>
                <w:sz w:val="24"/>
              </w:rPr>
            </w:pPr>
            <w:r>
              <w:rPr>
                <w:rFonts w:ascii="Times New Roman" w:hAnsi="Times New Roman" w:eastAsia="宋体" w:cs="Times New Roman"/>
                <w:sz w:val="24"/>
              </w:rPr>
              <w:t>当只涉及一种危险物质时，计算该物质的总量与其临界量比值，即为Q；</w:t>
            </w:r>
          </w:p>
          <w:p>
            <w:pPr>
              <w:spacing w:line="360" w:lineRule="auto"/>
              <w:ind w:firstLine="480"/>
              <w:rPr>
                <w:rFonts w:ascii="Times New Roman" w:hAnsi="Times New Roman" w:eastAsia="宋体" w:cs="Times New Roman"/>
                <w:sz w:val="24"/>
              </w:rPr>
            </w:pPr>
            <w:r>
              <w:rPr>
                <w:rFonts w:ascii="Times New Roman" w:hAnsi="Times New Roman" w:eastAsia="宋体" w:cs="Times New Roman"/>
                <w:sz w:val="24"/>
              </w:rPr>
              <w:t>当存在多种危险物质时，则按下式计算物质总量与其临界量比值Q；</w:t>
            </w:r>
          </w:p>
          <w:p>
            <w:pPr>
              <w:adjustRightInd w:val="0"/>
              <w:snapToGrid w:val="0"/>
              <w:spacing w:line="360" w:lineRule="auto"/>
              <w:jc w:val="center"/>
              <w:rPr>
                <w:rFonts w:ascii="Times New Roman" w:hAnsi="Times New Roman" w:eastAsia="宋体" w:cs="Times New Roman"/>
                <w:sz w:val="24"/>
              </w:rPr>
            </w:pPr>
            <w:r>
              <w:rPr>
                <w:rFonts w:ascii="Times New Roman" w:hAnsi="Times New Roman" w:eastAsia="宋体" w:cs="Times New Roman"/>
                <w:sz w:val="24"/>
              </w:rPr>
              <w:drawing>
                <wp:inline distT="0" distB="0" distL="114300" distR="114300">
                  <wp:extent cx="1675130" cy="453390"/>
                  <wp:effectExtent l="0" t="0" r="635" b="635"/>
                  <wp:docPr id="1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8"/>
                          <pic:cNvPicPr>
                            <a:picLocks noChangeAspect="1"/>
                          </pic:cNvPicPr>
                        </pic:nvPicPr>
                        <pic:blipFill>
                          <a:blip r:embed="rId25"/>
                          <a:stretch>
                            <a:fillRect/>
                          </a:stretch>
                        </pic:blipFill>
                        <pic:spPr>
                          <a:xfrm>
                            <a:off x="0" y="0"/>
                            <a:ext cx="1675130" cy="453390"/>
                          </a:xfrm>
                          <a:prstGeom prst="rect">
                            <a:avLst/>
                          </a:prstGeom>
                          <a:noFill/>
                          <a:ln>
                            <a:noFill/>
                          </a:ln>
                        </pic:spPr>
                      </pic:pic>
                    </a:graphicData>
                  </a:graphic>
                </wp:inline>
              </w:drawing>
            </w:r>
          </w:p>
          <w:p>
            <w:pPr>
              <w:spacing w:line="360" w:lineRule="auto"/>
              <w:ind w:firstLine="480"/>
              <w:rPr>
                <w:rFonts w:ascii="Times New Roman" w:hAnsi="Times New Roman" w:eastAsia="宋体" w:cs="Times New Roman"/>
                <w:sz w:val="24"/>
              </w:rPr>
            </w:pPr>
            <w:r>
              <w:rPr>
                <w:rFonts w:ascii="Times New Roman" w:hAnsi="Times New Roman" w:eastAsia="宋体" w:cs="Times New Roman"/>
                <w:sz w:val="24"/>
              </w:rPr>
              <w:t>式中：q</w:t>
            </w:r>
            <w:r>
              <w:rPr>
                <w:rFonts w:ascii="Times New Roman" w:hAnsi="Times New Roman" w:eastAsia="宋体" w:cs="Times New Roman"/>
                <w:sz w:val="24"/>
                <w:vertAlign w:val="subscript"/>
              </w:rPr>
              <w:t>1</w:t>
            </w:r>
            <w:r>
              <w:rPr>
                <w:rFonts w:ascii="Times New Roman" w:hAnsi="Times New Roman" w:eastAsia="宋体" w:cs="Times New Roman"/>
                <w:sz w:val="24"/>
              </w:rPr>
              <w:t>,q</w:t>
            </w:r>
            <w:r>
              <w:rPr>
                <w:rFonts w:ascii="Times New Roman" w:hAnsi="Times New Roman" w:eastAsia="宋体" w:cs="Times New Roman"/>
                <w:sz w:val="24"/>
                <w:vertAlign w:val="subscript"/>
              </w:rPr>
              <w:t>2</w:t>
            </w:r>
            <w:r>
              <w:rPr>
                <w:rFonts w:ascii="Times New Roman" w:hAnsi="Times New Roman" w:eastAsia="宋体" w:cs="Times New Roman"/>
                <w:sz w:val="24"/>
              </w:rPr>
              <w:t>…q</w:t>
            </w:r>
            <w:r>
              <w:rPr>
                <w:rFonts w:ascii="Times New Roman" w:hAnsi="Times New Roman" w:eastAsia="宋体" w:cs="Times New Roman"/>
                <w:sz w:val="24"/>
                <w:vertAlign w:val="subscript"/>
              </w:rPr>
              <w:t>n</w:t>
            </w:r>
            <w:r>
              <w:rPr>
                <w:rFonts w:ascii="Times New Roman" w:hAnsi="Times New Roman" w:eastAsia="宋体" w:cs="Times New Roman"/>
                <w:sz w:val="24"/>
              </w:rPr>
              <w:t>——每种危险物质实际存在量，t。</w:t>
            </w:r>
          </w:p>
          <w:p>
            <w:pPr>
              <w:spacing w:line="360" w:lineRule="auto"/>
              <w:ind w:firstLine="480" w:firstLineChars="200"/>
              <w:rPr>
                <w:bCs/>
                <w:color w:val="FF0000"/>
              </w:rPr>
            </w:pPr>
            <w:r>
              <w:rPr>
                <w:rFonts w:ascii="Times New Roman" w:hAnsi="Times New Roman" w:eastAsia="宋体" w:cs="Times New Roman"/>
                <w:sz w:val="24"/>
              </w:rPr>
              <w:t>Q</w:t>
            </w:r>
            <w:r>
              <w:rPr>
                <w:rFonts w:ascii="Times New Roman" w:hAnsi="Times New Roman" w:eastAsia="宋体" w:cs="Times New Roman"/>
                <w:sz w:val="24"/>
                <w:vertAlign w:val="subscript"/>
              </w:rPr>
              <w:t>1</w:t>
            </w:r>
            <w:r>
              <w:rPr>
                <w:rFonts w:ascii="Times New Roman" w:hAnsi="Times New Roman" w:eastAsia="宋体" w:cs="Times New Roman"/>
                <w:sz w:val="24"/>
              </w:rPr>
              <w:t>,Q</w:t>
            </w:r>
            <w:r>
              <w:rPr>
                <w:rFonts w:ascii="Times New Roman" w:hAnsi="Times New Roman" w:eastAsia="宋体" w:cs="Times New Roman"/>
                <w:sz w:val="24"/>
                <w:vertAlign w:val="subscript"/>
              </w:rPr>
              <w:t>2</w:t>
            </w:r>
            <w:r>
              <w:rPr>
                <w:rFonts w:ascii="Times New Roman" w:hAnsi="Times New Roman" w:eastAsia="宋体" w:cs="Times New Roman"/>
                <w:sz w:val="24"/>
              </w:rPr>
              <w:t>…Q</w:t>
            </w:r>
            <w:r>
              <w:rPr>
                <w:rFonts w:ascii="Times New Roman" w:hAnsi="Times New Roman" w:eastAsia="宋体" w:cs="Times New Roman"/>
                <w:sz w:val="24"/>
                <w:vertAlign w:val="subscript"/>
              </w:rPr>
              <w:t>n</w:t>
            </w:r>
            <w:r>
              <w:rPr>
                <w:rFonts w:ascii="Times New Roman" w:hAnsi="Times New Roman" w:eastAsia="宋体" w:cs="Times New Roman"/>
                <w:sz w:val="24"/>
              </w:rPr>
              <w:t>——与各危险物质相对应的生产场所或贮存区的临界量，t</w:t>
            </w:r>
            <w:r>
              <w:rPr>
                <w:rFonts w:hint="eastAsia" w:ascii="Times New Roman" w:hAnsi="Times New Roman" w:eastAsia="宋体" w:cs="Times New Roman"/>
                <w:bCs/>
                <w:kern w:val="2"/>
                <w:sz w:val="24"/>
                <w:szCs w:val="24"/>
                <w:lang w:val="en-US" w:eastAsia="zh-CN" w:bidi="ar-SA"/>
              </w:rPr>
              <w:t>。</w:t>
            </w:r>
          </w:p>
          <w:p>
            <w:pPr>
              <w:widowControl w:val="0"/>
              <w:spacing w:line="360" w:lineRule="auto"/>
              <w:jc w:val="center"/>
              <w:rPr>
                <w:rFonts w:ascii="Times New Roman" w:hAnsi="Times New Roman" w:eastAsia="宋体" w:cs="Times New Roman"/>
                <w:b/>
                <w:bCs/>
                <w:kern w:val="2"/>
                <w:sz w:val="24"/>
                <w:szCs w:val="20"/>
                <w:lang w:val="en-US" w:eastAsia="zh-CN" w:bidi="ar-SA"/>
              </w:rPr>
            </w:pPr>
            <w:r>
              <w:rPr>
                <w:rFonts w:ascii="Times New Roman" w:hAnsi="Times New Roman" w:eastAsia="宋体" w:cs="Times New Roman"/>
                <w:b/>
                <w:bCs/>
                <w:kern w:val="2"/>
                <w:sz w:val="24"/>
                <w:szCs w:val="20"/>
                <w:lang w:val="en-US" w:eastAsia="zh-CN" w:bidi="ar-SA"/>
              </w:rPr>
              <w:t>表</w:t>
            </w:r>
            <w:r>
              <w:rPr>
                <w:rFonts w:hint="eastAsia" w:ascii="Times New Roman" w:hAnsi="Times New Roman" w:eastAsia="宋体" w:cs="Times New Roman"/>
                <w:b/>
                <w:bCs/>
                <w:kern w:val="2"/>
                <w:sz w:val="24"/>
                <w:szCs w:val="20"/>
                <w:lang w:val="en-US" w:eastAsia="zh-CN" w:bidi="ar-SA"/>
              </w:rPr>
              <w:t xml:space="preserve">4-15 </w:t>
            </w:r>
            <w:r>
              <w:rPr>
                <w:rFonts w:ascii="Times New Roman" w:hAnsi="Times New Roman" w:eastAsia="宋体" w:cs="Times New Roman"/>
                <w:b/>
                <w:bCs/>
                <w:kern w:val="2"/>
                <w:sz w:val="24"/>
                <w:szCs w:val="20"/>
                <w:lang w:val="en-US" w:eastAsia="zh-CN" w:bidi="ar-SA"/>
              </w:rPr>
              <w:t>项目危险物质数量与临界量分析</w:t>
            </w:r>
          </w:p>
          <w:tbl>
            <w:tblPr>
              <w:tblStyle w:val="24"/>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170"/>
              <w:gridCol w:w="1589"/>
              <w:gridCol w:w="1589"/>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Times New Roman" w:hAnsi="Times New Roman" w:eastAsia="宋体" w:cs="Times New Roman"/>
                      <w:b/>
                      <w:bCs/>
                      <w:sz w:val="21"/>
                      <w:szCs w:val="21"/>
                    </w:rPr>
                  </w:pPr>
                  <w:r>
                    <w:rPr>
                      <w:rFonts w:ascii="Times New Roman" w:hAnsi="Times New Roman" w:eastAsia="宋体" w:cs="Times New Roman"/>
                      <w:b/>
                      <w:bCs/>
                      <w:kern w:val="0"/>
                      <w:sz w:val="21"/>
                      <w:szCs w:val="21"/>
                    </w:rPr>
                    <w:t>序号</w:t>
                  </w:r>
                </w:p>
              </w:tc>
              <w:tc>
                <w:tcPr>
                  <w:tcW w:w="2170" w:type="dxa"/>
                  <w:vAlign w:val="center"/>
                </w:tcPr>
                <w:p>
                  <w:pPr>
                    <w:widowControl/>
                    <w:jc w:val="center"/>
                    <w:rPr>
                      <w:rFonts w:ascii="Times New Roman" w:hAnsi="Times New Roman" w:eastAsia="宋体" w:cs="Times New Roman"/>
                      <w:b/>
                      <w:bCs/>
                      <w:sz w:val="21"/>
                      <w:szCs w:val="21"/>
                    </w:rPr>
                  </w:pPr>
                  <w:r>
                    <w:rPr>
                      <w:rFonts w:ascii="Times New Roman" w:hAnsi="Times New Roman" w:eastAsia="宋体" w:cs="Times New Roman"/>
                      <w:b/>
                      <w:bCs/>
                      <w:kern w:val="0"/>
                      <w:sz w:val="21"/>
                      <w:szCs w:val="21"/>
                    </w:rPr>
                    <w:t>危险化学品名称</w:t>
                  </w:r>
                </w:p>
              </w:tc>
              <w:tc>
                <w:tcPr>
                  <w:tcW w:w="1589" w:type="dxa"/>
                  <w:vAlign w:val="center"/>
                </w:tcPr>
                <w:p>
                  <w:pPr>
                    <w:widowControl/>
                    <w:jc w:val="center"/>
                    <w:rPr>
                      <w:rFonts w:ascii="Times New Roman" w:hAnsi="Times New Roman" w:eastAsia="宋体" w:cs="Times New Roman"/>
                      <w:b/>
                      <w:bCs/>
                      <w:sz w:val="21"/>
                      <w:szCs w:val="21"/>
                    </w:rPr>
                  </w:pPr>
                  <w:r>
                    <w:rPr>
                      <w:rFonts w:ascii="Times New Roman" w:hAnsi="Times New Roman" w:eastAsia="宋体" w:cs="Times New Roman"/>
                      <w:b/>
                      <w:bCs/>
                      <w:kern w:val="0"/>
                      <w:sz w:val="21"/>
                      <w:szCs w:val="21"/>
                    </w:rPr>
                    <w:t>最大贮存量（t）</w:t>
                  </w:r>
                </w:p>
              </w:tc>
              <w:tc>
                <w:tcPr>
                  <w:tcW w:w="1589" w:type="dxa"/>
                  <w:vAlign w:val="center"/>
                </w:tcPr>
                <w:p>
                  <w:pPr>
                    <w:widowControl/>
                    <w:jc w:val="center"/>
                    <w:rPr>
                      <w:rFonts w:ascii="Times New Roman" w:hAnsi="Times New Roman" w:eastAsia="宋体" w:cs="Times New Roman"/>
                      <w:b/>
                      <w:bCs/>
                      <w:sz w:val="21"/>
                      <w:szCs w:val="21"/>
                    </w:rPr>
                  </w:pPr>
                  <w:r>
                    <w:rPr>
                      <w:rFonts w:ascii="Times New Roman" w:hAnsi="Times New Roman" w:eastAsia="宋体" w:cs="Times New Roman"/>
                      <w:b/>
                      <w:bCs/>
                      <w:kern w:val="0"/>
                      <w:sz w:val="21"/>
                      <w:szCs w:val="21"/>
                    </w:rPr>
                    <w:t>临界量（t）</w:t>
                  </w:r>
                </w:p>
              </w:tc>
              <w:tc>
                <w:tcPr>
                  <w:tcW w:w="1590" w:type="dxa"/>
                  <w:vAlign w:val="center"/>
                </w:tcPr>
                <w:p>
                  <w:pPr>
                    <w:widowControl/>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q</w:t>
                  </w:r>
                  <w:r>
                    <w:rPr>
                      <w:rFonts w:ascii="Times New Roman" w:hAnsi="Times New Roman" w:eastAsia="宋体" w:cs="Times New Roman"/>
                      <w:b/>
                      <w:bCs/>
                      <w:sz w:val="21"/>
                      <w:szCs w:val="21"/>
                      <w:vertAlign w:val="subscript"/>
                    </w:rPr>
                    <w:t>i</w:t>
                  </w:r>
                  <w:r>
                    <w:rPr>
                      <w:rFonts w:ascii="Times New Roman" w:hAnsi="Times New Roman" w:eastAsia="宋体" w:cs="Times New Roman"/>
                      <w:b/>
                      <w:bCs/>
                      <w:sz w:val="21"/>
                      <w:szCs w:val="21"/>
                    </w:rPr>
                    <w:t>/Q</w:t>
                  </w:r>
                  <w:r>
                    <w:rPr>
                      <w:rFonts w:ascii="Times New Roman" w:hAnsi="Times New Roman" w:eastAsia="宋体" w:cs="Times New Roman"/>
                      <w:b/>
                      <w:bCs/>
                      <w:sz w:val="21"/>
                      <w:szCs w:val="21"/>
                      <w:vertAlign w:val="subscript"/>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widowControl/>
                    <w:jc w:val="center"/>
                    <w:rPr>
                      <w:rFonts w:ascii="Times New Roman" w:hAnsi="Times New Roman" w:eastAsia="宋体" w:cs="Times New Roman"/>
                      <w:sz w:val="21"/>
                      <w:szCs w:val="21"/>
                    </w:rPr>
                  </w:pPr>
                  <w:r>
                    <w:rPr>
                      <w:rFonts w:ascii="Times New Roman" w:hAnsi="Times New Roman" w:eastAsia="宋体" w:cs="Times New Roman"/>
                      <w:kern w:val="0"/>
                      <w:sz w:val="21"/>
                      <w:szCs w:val="21"/>
                    </w:rPr>
                    <w:t>1</w:t>
                  </w:r>
                </w:p>
              </w:tc>
              <w:tc>
                <w:tcPr>
                  <w:tcW w:w="2170" w:type="dxa"/>
                  <w:vAlign w:val="center"/>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rPr>
                    <w:t>机油</w:t>
                  </w:r>
                </w:p>
              </w:tc>
              <w:tc>
                <w:tcPr>
                  <w:tcW w:w="1589" w:type="dxa"/>
                  <w:vAlign w:val="center"/>
                </w:tcPr>
                <w:p>
                  <w:pPr>
                    <w:widowControl/>
                    <w:jc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0.025</w:t>
                  </w:r>
                </w:p>
              </w:tc>
              <w:tc>
                <w:tcPr>
                  <w:tcW w:w="1589" w:type="dxa"/>
                  <w:vAlign w:val="center"/>
                </w:tcPr>
                <w:p>
                  <w:pPr>
                    <w:widowControl/>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0"/>
                      <w:sz w:val="21"/>
                      <w:szCs w:val="21"/>
                    </w:rPr>
                    <w:t>2</w:t>
                  </w:r>
                  <w:r>
                    <w:rPr>
                      <w:rFonts w:ascii="Times New Roman" w:hAnsi="Times New Roman" w:eastAsia="宋体" w:cs="Times New Roman"/>
                      <w:kern w:val="0"/>
                      <w:sz w:val="21"/>
                      <w:szCs w:val="21"/>
                    </w:rPr>
                    <w:t>500</w:t>
                  </w:r>
                </w:p>
              </w:tc>
              <w:tc>
                <w:tcPr>
                  <w:tcW w:w="1590" w:type="dxa"/>
                  <w:vAlign w:val="center"/>
                </w:tcPr>
                <w:p>
                  <w:pPr>
                    <w:widowControl/>
                    <w:jc w:val="center"/>
                    <w:rPr>
                      <w:rFonts w:ascii="Times New Roman" w:hAnsi="Times New Roman" w:eastAsia="宋体" w:cs="Times New Roman"/>
                      <w:kern w:val="0"/>
                      <w:sz w:val="21"/>
                      <w:szCs w:val="21"/>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0.00001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6" w:type="dxa"/>
                  <w:gridSpan w:val="4"/>
                  <w:vAlign w:val="center"/>
                </w:tcPr>
                <w:p>
                  <w:pPr>
                    <w:widowControl/>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合计</w:t>
                  </w:r>
                </w:p>
              </w:tc>
              <w:tc>
                <w:tcPr>
                  <w:tcW w:w="159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2"/>
                      <w:sz w:val="22"/>
                      <w:szCs w:val="22"/>
                      <w:u w:val="none"/>
                      <w:lang w:val="en-US" w:eastAsia="zh-CN" w:bidi="ar-SA"/>
                    </w:rPr>
                    <w:t>0.00001</w:t>
                  </w:r>
                </w:p>
              </w:tc>
            </w:tr>
          </w:tbl>
          <w:p>
            <w:pPr>
              <w:spacing w:line="360" w:lineRule="auto"/>
              <w:ind w:firstLine="459"/>
              <w:rPr>
                <w:rFonts w:ascii="Times New Roman" w:hAnsi="Times New Roman" w:eastAsia="宋体" w:cs="Times New Roman"/>
                <w:sz w:val="24"/>
              </w:rPr>
            </w:pPr>
            <w:r>
              <w:rPr>
                <w:rFonts w:ascii="Times New Roman" w:hAnsi="Times New Roman" w:eastAsia="宋体" w:cs="Times New Roman"/>
                <w:sz w:val="24"/>
              </w:rPr>
              <w:t>根据《建设项目环境风险评价技术导则》（HJ169-2018）规定，风险评价的等级划分是基于项目涉及的物质和工艺系统的危险性及其所在地的环境敏感性确定环境风险潜势，按下表确定评价工作等级。</w:t>
            </w:r>
          </w:p>
          <w:p>
            <w:pPr>
              <w:spacing w:line="360" w:lineRule="auto"/>
              <w:ind w:firstLine="27"/>
              <w:jc w:val="center"/>
              <w:rPr>
                <w:rFonts w:ascii="Times New Roman" w:hAnsi="Times New Roman" w:eastAsia="宋体" w:cs="Times New Roman"/>
                <w:b/>
                <w:bCs/>
                <w:sz w:val="24"/>
              </w:rPr>
            </w:pPr>
            <w:r>
              <w:rPr>
                <w:rFonts w:ascii="Times New Roman" w:hAnsi="Times New Roman" w:eastAsia="宋体" w:cs="Times New Roman"/>
                <w:b/>
                <w:bCs/>
                <w:sz w:val="24"/>
              </w:rPr>
              <w:t>表4</w:t>
            </w:r>
            <w:r>
              <w:rPr>
                <w:rFonts w:hint="eastAsia" w:ascii="Times New Roman" w:hAnsi="Times New Roman" w:eastAsia="宋体" w:cs="Times New Roman"/>
                <w:b/>
                <w:bCs/>
                <w:sz w:val="24"/>
              </w:rPr>
              <w:t>-</w:t>
            </w:r>
            <w:r>
              <w:rPr>
                <w:rFonts w:hint="eastAsia" w:ascii="Times New Roman" w:hAnsi="Times New Roman" w:eastAsia="宋体" w:cs="Times New Roman"/>
                <w:b/>
                <w:bCs/>
                <w:sz w:val="24"/>
                <w:lang w:val="en-US" w:eastAsia="zh-CN"/>
              </w:rPr>
              <w:t>16</w:t>
            </w:r>
            <w:r>
              <w:rPr>
                <w:rFonts w:ascii="Times New Roman" w:hAnsi="Times New Roman" w:eastAsia="宋体" w:cs="Times New Roman"/>
                <w:b/>
                <w:bCs/>
                <w:sz w:val="24"/>
              </w:rPr>
              <w:t xml:space="preserve">  环境风险评价工作等级划分</w:t>
            </w:r>
          </w:p>
          <w:tbl>
            <w:tblPr>
              <w:tblStyle w:val="24"/>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1241"/>
              <w:gridCol w:w="1572"/>
              <w:gridCol w:w="1633"/>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0" w:type="dxa"/>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环境风险潜势</w:t>
                  </w:r>
                </w:p>
              </w:tc>
              <w:tc>
                <w:tcPr>
                  <w:tcW w:w="1328" w:type="dxa"/>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Ⅳ、Ⅳ</w:t>
                  </w:r>
                  <w:r>
                    <w:rPr>
                      <w:rFonts w:ascii="Times New Roman" w:hAnsi="Times New Roman" w:eastAsia="宋体" w:cs="Times New Roman"/>
                      <w:kern w:val="0"/>
                      <w:sz w:val="21"/>
                      <w:szCs w:val="21"/>
                      <w:vertAlign w:val="superscript"/>
                      <w:lang w:val="en-US" w:eastAsia="zh-CN" w:bidi="ar-SA"/>
                    </w:rPr>
                    <w:t>+</w:t>
                  </w:r>
                </w:p>
              </w:tc>
              <w:tc>
                <w:tcPr>
                  <w:tcW w:w="1687" w:type="dxa"/>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Ⅲ</w:t>
                  </w:r>
                </w:p>
              </w:tc>
              <w:tc>
                <w:tcPr>
                  <w:tcW w:w="1754" w:type="dxa"/>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Ⅱ</w:t>
                  </w:r>
                </w:p>
              </w:tc>
              <w:tc>
                <w:tcPr>
                  <w:tcW w:w="1583" w:type="dxa"/>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70" w:type="dxa"/>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评价工作等级</w:t>
                  </w:r>
                </w:p>
              </w:tc>
              <w:tc>
                <w:tcPr>
                  <w:tcW w:w="1328" w:type="dxa"/>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一</w:t>
                  </w:r>
                </w:p>
              </w:tc>
              <w:tc>
                <w:tcPr>
                  <w:tcW w:w="1687" w:type="dxa"/>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二</w:t>
                  </w:r>
                </w:p>
              </w:tc>
              <w:tc>
                <w:tcPr>
                  <w:tcW w:w="1754" w:type="dxa"/>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三</w:t>
                  </w:r>
                </w:p>
              </w:tc>
              <w:tc>
                <w:tcPr>
                  <w:tcW w:w="1583" w:type="dxa"/>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简单分析</w:t>
                  </w:r>
                  <w:r>
                    <w:rPr>
                      <w:rFonts w:ascii="Times New Roman" w:hAnsi="Times New Roman" w:eastAsia="宋体" w:cs="Times New Roman"/>
                      <w:kern w:val="0"/>
                      <w:sz w:val="21"/>
                      <w:szCs w:val="21"/>
                      <w:vertAlign w:val="superscript"/>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2" w:type="dxa"/>
                  <w:gridSpan w:val="5"/>
                  <w:vAlign w:val="center"/>
                </w:tcPr>
                <w:p>
                  <w:pPr>
                    <w:widowControl w:val="0"/>
                    <w:spacing w:after="0"/>
                    <w:ind w:left="0" w:leftChars="0"/>
                    <w:jc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 w:val="21"/>
                      <w:szCs w:val="21"/>
                      <w:lang w:val="en-US" w:eastAsia="zh-CN" w:bidi="ar-SA"/>
                    </w:rPr>
                    <w:t>a是相对于详细评价工作内容而言，在描述风险物质、环境影响途径、环境危害后果、风险防范措施等方面给出定性的说明。</w:t>
                  </w:r>
                </w:p>
              </w:tc>
            </w:tr>
          </w:tbl>
          <w:p>
            <w:pPr>
              <w:adjustRightInd w:val="0"/>
              <w:snapToGrid w:val="0"/>
              <w:spacing w:line="360" w:lineRule="auto"/>
              <w:ind w:firstLine="480" w:firstLineChars="200"/>
              <w:rPr>
                <w:rFonts w:ascii="Times New Roman" w:hAnsi="Times New Roman" w:eastAsia="宋体" w:cs="Times New Roman"/>
                <w:bCs/>
                <w:sz w:val="24"/>
              </w:rPr>
            </w:pPr>
            <w:r>
              <w:rPr>
                <w:rFonts w:ascii="Times New Roman" w:hAnsi="Times New Roman" w:eastAsia="宋体" w:cs="Times New Roman"/>
                <w:sz w:val="24"/>
              </w:rPr>
              <w:t>本项目属于</w:t>
            </w:r>
            <w:r>
              <w:rPr>
                <w:rFonts w:ascii="宋体" w:hAnsi="宋体" w:eastAsia="宋体" w:cs="宋体"/>
                <w:sz w:val="24"/>
              </w:rPr>
              <w:t>轻度</w:t>
            </w:r>
            <w:r>
              <w:rPr>
                <w:rFonts w:ascii="Times New Roman" w:hAnsi="Times New Roman" w:eastAsia="宋体" w:cs="Times New Roman"/>
                <w:sz w:val="24"/>
              </w:rPr>
              <w:t>关注的危险物质与临界量比值为Q=</w:t>
            </w:r>
            <w:r>
              <w:rPr>
                <w:rFonts w:hint="eastAsia" w:ascii="Times New Roman" w:hAnsi="Times New Roman" w:eastAsia="宋体" w:cs="Times New Roman"/>
                <w:sz w:val="24"/>
                <w:lang w:val="en-US" w:eastAsia="zh-CN"/>
              </w:rPr>
              <w:t>0.00001</w:t>
            </w:r>
            <w:r>
              <w:rPr>
                <w:rFonts w:hint="eastAsia" w:ascii="Times New Roman" w:hAnsi="Times New Roman" w:eastAsia="宋体" w:cs="Times New Roman"/>
                <w:sz w:val="24"/>
              </w:rPr>
              <w:t>&lt;</w:t>
            </w:r>
            <w:r>
              <w:rPr>
                <w:rFonts w:ascii="Times New Roman" w:hAnsi="Times New Roman" w:eastAsia="宋体" w:cs="Times New Roman"/>
                <w:sz w:val="24"/>
              </w:rPr>
              <w:t>1，本项目</w:t>
            </w:r>
            <w:r>
              <w:rPr>
                <w:rFonts w:ascii="宋体" w:hAnsi="宋体" w:eastAsia="宋体" w:cs="宋体"/>
                <w:sz w:val="24"/>
              </w:rPr>
              <w:t>风险潜势为Ⅰ</w:t>
            </w:r>
            <w:r>
              <w:rPr>
                <w:rFonts w:hint="eastAsia" w:ascii="宋体" w:hAnsi="宋体" w:eastAsia="宋体" w:cs="宋体"/>
                <w:sz w:val="24"/>
              </w:rPr>
              <w:t>,对其进行简单分析，</w:t>
            </w:r>
            <w:r>
              <w:rPr>
                <w:rFonts w:ascii="宋体" w:hAnsi="宋体" w:eastAsia="宋体" w:cs="宋体"/>
                <w:sz w:val="24"/>
              </w:rPr>
              <w:t>不构成重大危险源</w:t>
            </w:r>
            <w:r>
              <w:rPr>
                <w:rFonts w:ascii="Times New Roman" w:hAnsi="Times New Roman" w:eastAsia="宋体" w:cs="Times New Roman"/>
                <w:sz w:val="24"/>
              </w:rPr>
              <w:t>。</w:t>
            </w:r>
          </w:p>
          <w:p>
            <w:pPr>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2、事故风险可能性分析</w:t>
            </w:r>
          </w:p>
          <w:p>
            <w:pPr>
              <w:spacing w:line="360" w:lineRule="auto"/>
              <w:ind w:firstLine="480"/>
              <w:rPr>
                <w:rFonts w:ascii="Times New Roman" w:hAnsi="Times New Roman" w:eastAsia="宋体" w:cs="Times New Roman"/>
                <w:sz w:val="24"/>
              </w:rPr>
            </w:pPr>
            <w:r>
              <w:rPr>
                <w:rFonts w:ascii="Times New Roman" w:hAnsi="Times New Roman" w:eastAsia="宋体" w:cs="Times New Roman"/>
                <w:sz w:val="24"/>
              </w:rPr>
              <w:t>①</w:t>
            </w:r>
            <w:r>
              <w:rPr>
                <w:rFonts w:hint="eastAsia" w:ascii="Times New Roman" w:hAnsi="Times New Roman" w:eastAsia="宋体" w:cs="Times New Roman"/>
                <w:sz w:val="24"/>
              </w:rPr>
              <w:t>原辅材料、燃料等物品的存放和使用过程中存在泄漏、燃烧的风险，可能引起较大的环境风险。</w:t>
            </w:r>
          </w:p>
          <w:p>
            <w:pPr>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②危险废物的暂存条件不达标，危险废物处置不及时，可能引起较大的环境风险。</w:t>
            </w:r>
          </w:p>
          <w:p>
            <w:pPr>
              <w:adjustRightInd w:val="0"/>
              <w:snapToGrid w:val="0"/>
              <w:spacing w:line="360" w:lineRule="auto"/>
              <w:ind w:firstLine="440" w:firstLineChars="200"/>
              <w:rPr>
                <w:rFonts w:ascii="Times New Roman" w:hAnsi="Times New Roman" w:eastAsia="宋体" w:cs="Times New Roman"/>
                <w:sz w:val="24"/>
              </w:rPr>
            </w:pPr>
            <w:r>
              <w:rPr>
                <w:rFonts w:hint="eastAsia" w:ascii="Times New Roman" w:hAnsi="Times New Roman" w:eastAsia="宋体" w:cs="Times New Roman"/>
                <w:bCs/>
                <w:spacing w:val="-10"/>
                <w:sz w:val="24"/>
              </w:rPr>
              <w:t>3、</w:t>
            </w:r>
            <w:r>
              <w:rPr>
                <w:rFonts w:hint="eastAsia" w:ascii="Times New Roman" w:hAnsi="Times New Roman" w:eastAsia="宋体" w:cs="Times New Roman"/>
                <w:sz w:val="24"/>
              </w:rPr>
              <w:t>环境风险防范措施及应急要求</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①</w:t>
            </w:r>
            <w:r>
              <w:rPr>
                <w:rFonts w:hint="eastAsia" w:ascii="Times New Roman" w:hAnsi="Times New Roman" w:eastAsia="宋体" w:cs="Times New Roman"/>
                <w:sz w:val="24"/>
              </w:rPr>
              <w:t>本项目油类</w:t>
            </w:r>
            <w:r>
              <w:rPr>
                <w:rFonts w:ascii="宋体" w:hAnsi="宋体" w:eastAsia="宋体" w:cs="宋体"/>
                <w:sz w:val="24"/>
              </w:rPr>
              <w:t>单独</w:t>
            </w:r>
            <w:r>
              <w:rPr>
                <w:rFonts w:hint="eastAsia" w:ascii="Times New Roman" w:hAnsi="Times New Roman" w:eastAsia="宋体" w:cs="Times New Roman"/>
                <w:sz w:val="24"/>
              </w:rPr>
              <w:t>存放液体物料仓库，并且液体物料仓库</w:t>
            </w:r>
            <w:r>
              <w:rPr>
                <w:rFonts w:ascii="宋体" w:hAnsi="宋体" w:eastAsia="宋体" w:cs="宋体"/>
                <w:sz w:val="24"/>
              </w:rPr>
              <w:t>做了重点防渗，同时</w:t>
            </w:r>
            <w:r>
              <w:rPr>
                <w:rFonts w:hint="eastAsia" w:ascii="Times New Roman" w:hAnsi="Times New Roman" w:eastAsia="宋体" w:cs="Times New Roman"/>
                <w:sz w:val="24"/>
              </w:rPr>
              <w:t>油类放置于托盘上贮存，</w:t>
            </w:r>
            <w:r>
              <w:rPr>
                <w:rFonts w:ascii="宋体" w:hAnsi="宋体" w:eastAsia="宋体" w:cs="宋体"/>
                <w:sz w:val="24"/>
              </w:rPr>
              <w:t>若意外发生泄漏时</w:t>
            </w:r>
            <w:r>
              <w:rPr>
                <w:rFonts w:hint="eastAsia" w:ascii="宋体" w:hAnsi="宋体" w:eastAsia="宋体" w:cs="宋体"/>
                <w:sz w:val="24"/>
              </w:rPr>
              <w:t>，</w:t>
            </w:r>
            <w:r>
              <w:rPr>
                <w:rFonts w:ascii="宋体" w:hAnsi="宋体" w:eastAsia="宋体" w:cs="宋体"/>
                <w:sz w:val="24"/>
              </w:rPr>
              <w:t>因为有托盘的保护</w:t>
            </w:r>
            <w:r>
              <w:rPr>
                <w:rFonts w:hint="eastAsia" w:ascii="Times New Roman" w:hAnsi="Times New Roman" w:eastAsia="宋体" w:cs="Times New Roman"/>
                <w:sz w:val="24"/>
              </w:rPr>
              <w:t>，</w:t>
            </w:r>
            <w:r>
              <w:rPr>
                <w:rFonts w:ascii="宋体" w:hAnsi="宋体" w:eastAsia="宋体" w:cs="宋体"/>
                <w:sz w:val="24"/>
              </w:rPr>
              <w:t>所以</w:t>
            </w:r>
            <w:r>
              <w:rPr>
                <w:rFonts w:hint="eastAsia" w:ascii="Times New Roman" w:hAnsi="Times New Roman" w:eastAsia="宋体" w:cs="Times New Roman"/>
                <w:sz w:val="24"/>
              </w:rPr>
              <w:t>不会对周围环境造成影响。</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②</w:t>
            </w:r>
            <w:r>
              <w:rPr>
                <w:rFonts w:ascii="宋体" w:hAnsi="宋体" w:eastAsia="宋体" w:cs="宋体"/>
                <w:sz w:val="24"/>
              </w:rPr>
              <w:t>公司对仓库设置专门的仓库管理人员进行管理</w:t>
            </w:r>
            <w:r>
              <w:rPr>
                <w:rFonts w:hint="eastAsia" w:ascii="宋体" w:hAnsi="宋体" w:eastAsia="宋体" w:cs="宋体"/>
                <w:sz w:val="24"/>
              </w:rPr>
              <w:t>，</w:t>
            </w:r>
            <w:r>
              <w:rPr>
                <w:rFonts w:ascii="宋体" w:hAnsi="宋体" w:eastAsia="宋体" w:cs="宋体"/>
                <w:sz w:val="24"/>
              </w:rPr>
              <w:t>发生意外泄露事故后，公司仓库管理人员应第一时间进行处理</w:t>
            </w:r>
            <w:r>
              <w:rPr>
                <w:rFonts w:hint="eastAsia" w:ascii="Times New Roman" w:hAnsi="Times New Roman" w:eastAsia="宋体" w:cs="Times New Roman"/>
                <w:sz w:val="24"/>
              </w:rPr>
              <w:t>。</w:t>
            </w:r>
          </w:p>
          <w:p>
            <w:pPr>
              <w:spacing w:line="360" w:lineRule="auto"/>
              <w:ind w:firstLine="480" w:firstLineChars="200"/>
              <w:rPr>
                <w:rFonts w:ascii="Times New Roman" w:hAnsi="Times New Roman" w:eastAsia="宋体" w:cs="Times New Roman"/>
                <w:sz w:val="24"/>
              </w:rPr>
            </w:pPr>
            <w:r>
              <w:rPr>
                <w:rFonts w:ascii="宋体" w:hAnsi="宋体" w:eastAsia="宋体" w:cs="宋体"/>
                <w:sz w:val="24"/>
              </w:rPr>
              <w:t>③</w:t>
            </w:r>
            <w:r>
              <w:rPr>
                <w:rFonts w:ascii="Times New Roman" w:hAnsi="Times New Roman" w:eastAsia="宋体" w:cs="Times New Roman"/>
                <w:sz w:val="24"/>
              </w:rPr>
              <w:t>建设单位须制订环境突发事故应急预案，一旦突发环境风险事故，必须立即按应急预案提到的紧急处理、救援、监测方案等进行紧急救援，救援人员采取相应的防护措施，以避免造成人员伤亡事故。</w:t>
            </w:r>
          </w:p>
          <w:p>
            <w:pPr>
              <w:spacing w:line="360" w:lineRule="auto"/>
              <w:ind w:firstLine="480"/>
              <w:rPr>
                <w:rFonts w:ascii="Times New Roman" w:hAnsi="Times New Roman" w:eastAsia="宋体" w:cs="Times New Roman"/>
                <w:sz w:val="24"/>
              </w:rPr>
            </w:pPr>
            <w:r>
              <w:rPr>
                <w:rFonts w:hint="eastAsia" w:ascii="Times New Roman" w:hAnsi="Times New Roman" w:eastAsia="宋体" w:cs="Times New Roman"/>
                <w:sz w:val="24"/>
              </w:rPr>
              <w:t>4、结论分析</w:t>
            </w:r>
          </w:p>
          <w:p>
            <w:pPr>
              <w:adjustRightInd w:val="0"/>
              <w:snapToGrid w:val="0"/>
              <w:spacing w:line="360" w:lineRule="auto"/>
              <w:ind w:firstLine="480" w:firstLineChars="200"/>
              <w:jc w:val="left"/>
              <w:rPr>
                <w:rFonts w:hint="eastAsia" w:ascii="宋体" w:hAnsi="宋体" w:cs="宋体"/>
                <w:b/>
                <w:bCs/>
              </w:rPr>
            </w:pPr>
            <w:r>
              <w:rPr>
                <w:rFonts w:ascii="Times New Roman" w:hAnsi="Times New Roman" w:eastAsia="宋体" w:cs="Times New Roman"/>
                <w:sz w:val="24"/>
              </w:rPr>
              <w:t>综上所述，本项目运营期</w:t>
            </w:r>
            <w:r>
              <w:rPr>
                <w:rFonts w:hint="eastAsia" w:ascii="Times New Roman" w:hAnsi="Times New Roman" w:eastAsia="宋体" w:cs="Times New Roman"/>
                <w:sz w:val="24"/>
              </w:rPr>
              <w:t>原辅材料、燃料的贮存和危险废物的暂存</w:t>
            </w:r>
            <w:r>
              <w:rPr>
                <w:rFonts w:ascii="Times New Roman" w:hAnsi="Times New Roman" w:eastAsia="宋体" w:cs="Times New Roman"/>
                <w:sz w:val="24"/>
              </w:rPr>
              <w:t>存在一定潜在事故风险，要加强风险管理，在项目建设过程中认真落实各种风险防范措施，通过相应的技术手段降低风险发生概率，并在风险事故发生后，及时采取风险防范措施及应急预案，可以使风险事故对环境的危害得到有效控制，将事故风险控制在可接受的范围内，故该项目事故风险水平是可以接受的。</w:t>
            </w:r>
          </w:p>
          <w:p>
            <w:pPr>
              <w:adjustRightInd w:val="0"/>
              <w:snapToGrid w:val="0"/>
              <w:spacing w:line="360" w:lineRule="auto"/>
              <w:ind w:firstLine="482" w:firstLineChars="200"/>
              <w:jc w:val="left"/>
              <w:rPr>
                <w:rFonts w:ascii="宋体" w:hAnsi="宋体" w:cs="宋体"/>
                <w:b/>
                <w:bCs/>
              </w:rPr>
            </w:pPr>
            <w:r>
              <w:rPr>
                <w:rFonts w:hint="eastAsia" w:ascii="宋体" w:hAnsi="宋体" w:cs="宋体"/>
                <w:b/>
                <w:bCs/>
              </w:rPr>
              <w:t>八、电磁辐射</w:t>
            </w:r>
          </w:p>
          <w:p>
            <w:pPr>
              <w:pStyle w:val="8"/>
              <w:spacing w:line="360" w:lineRule="auto"/>
              <w:ind w:firstLine="480"/>
              <w:jc w:val="left"/>
              <w:rPr>
                <w:b/>
                <w:bCs/>
                <w:sz w:val="24"/>
              </w:rPr>
            </w:pPr>
            <w:r>
              <w:rPr>
                <w:rFonts w:hint="eastAsia"/>
                <w:bCs/>
                <w:sz w:val="24"/>
              </w:rPr>
              <w:t>项目不属于新建或改建、扩建广播电台、差转台、电视塔台、卫星地球上行站、雷达等电磁辐射类项目，无需开展电磁辐射影响评价</w:t>
            </w:r>
            <w:r>
              <w:rPr>
                <w:bCs/>
                <w:sz w:val="24"/>
              </w:rPr>
              <w:t>，故不对该部分内容进行分析。</w:t>
            </w:r>
          </w:p>
          <w:p>
            <w:pPr>
              <w:pStyle w:val="8"/>
              <w:spacing w:line="360" w:lineRule="auto"/>
              <w:ind w:firstLine="482"/>
              <w:rPr>
                <w:b/>
                <w:bCs/>
                <w:sz w:val="24"/>
              </w:rPr>
            </w:pPr>
            <w:r>
              <w:rPr>
                <w:rFonts w:hint="eastAsia"/>
                <w:b/>
                <w:bCs/>
                <w:sz w:val="24"/>
              </w:rPr>
              <w:t>九</w:t>
            </w:r>
            <w:r>
              <w:rPr>
                <w:b/>
                <w:bCs/>
                <w:sz w:val="24"/>
              </w:rPr>
              <w:t>、相关环境管理要求</w:t>
            </w:r>
          </w:p>
          <w:p>
            <w:pPr>
              <w:autoSpaceDE w:val="0"/>
              <w:autoSpaceDN w:val="0"/>
              <w:adjustRightInd w:val="0"/>
              <w:spacing w:line="360" w:lineRule="auto"/>
              <w:ind w:firstLine="480" w:firstLineChars="200"/>
              <w:rPr>
                <w:bCs/>
                <w:kern w:val="0"/>
              </w:rPr>
            </w:pPr>
            <w:r>
              <w:rPr>
                <w:bCs/>
                <w:kern w:val="0"/>
                <w:lang w:bidi="ar"/>
              </w:rPr>
              <w:t>1</w:t>
            </w:r>
            <w:r>
              <w:rPr>
                <w:rFonts w:hint="eastAsia"/>
                <w:bCs/>
                <w:kern w:val="0"/>
                <w:lang w:bidi="ar"/>
              </w:rPr>
              <w:t>、</w:t>
            </w:r>
            <w:r>
              <w:rPr>
                <w:bCs/>
                <w:kern w:val="0"/>
                <w:lang w:bidi="ar"/>
              </w:rPr>
              <w:t>环境管理</w:t>
            </w:r>
          </w:p>
          <w:p>
            <w:pPr>
              <w:autoSpaceDE w:val="0"/>
              <w:autoSpaceDN w:val="0"/>
              <w:adjustRightInd w:val="0"/>
              <w:spacing w:line="360" w:lineRule="auto"/>
              <w:ind w:firstLine="480" w:firstLineChars="200"/>
              <w:rPr>
                <w:b/>
                <w:bCs/>
              </w:rPr>
            </w:pPr>
            <w:r>
              <w:rPr>
                <w:lang w:bidi="ar"/>
              </w:rPr>
              <w:t>根据项目的实际情况，在工程投入运营后，环境管理机构由物业管理部门负责，下设环境管理小组对拟建项目环境管理和环境监控负责，并受项目主管单位及</w:t>
            </w:r>
            <w:r>
              <w:rPr>
                <w:rFonts w:hint="eastAsia"/>
                <w:lang w:bidi="ar"/>
              </w:rPr>
              <w:t>生态环保部门</w:t>
            </w:r>
            <w:r>
              <w:rPr>
                <w:lang w:bidi="ar"/>
              </w:rPr>
              <w:t>的监督和指导。</w:t>
            </w:r>
          </w:p>
          <w:p>
            <w:pPr>
              <w:pStyle w:val="8"/>
              <w:spacing w:line="360" w:lineRule="auto"/>
              <w:ind w:firstLine="480"/>
              <w:rPr>
                <w:sz w:val="24"/>
              </w:rPr>
            </w:pPr>
            <w:r>
              <w:rPr>
                <w:rFonts w:hint="eastAsia"/>
                <w:sz w:val="24"/>
              </w:rPr>
              <w:t>2</w:t>
            </w:r>
            <w:r>
              <w:rPr>
                <w:sz w:val="24"/>
              </w:rPr>
              <w:t>、排污口规范化设置</w:t>
            </w:r>
          </w:p>
          <w:p>
            <w:pPr>
              <w:spacing w:line="360" w:lineRule="auto"/>
              <w:ind w:firstLine="482"/>
            </w:pPr>
            <w:r>
              <w:rPr>
                <w:lang w:bidi="ar"/>
              </w:rPr>
              <w:t>项目废气、废水排放口及固废暂存处需按照国家相关规定进行建设，并设置相关识标牌，排污口图形符号见下表。</w:t>
            </w:r>
          </w:p>
          <w:p>
            <w:pPr>
              <w:spacing w:line="360" w:lineRule="auto"/>
              <w:jc w:val="center"/>
              <w:rPr>
                <w:b/>
                <w:bCs/>
              </w:rPr>
            </w:pPr>
            <w:r>
              <w:rPr>
                <w:b/>
                <w:bCs/>
              </w:rPr>
              <w:t>表4-</w:t>
            </w:r>
            <w:r>
              <w:rPr>
                <w:rFonts w:hint="eastAsia"/>
                <w:b/>
                <w:bCs/>
              </w:rPr>
              <w:t>1</w:t>
            </w:r>
            <w:r>
              <w:rPr>
                <w:rFonts w:hint="eastAsia"/>
                <w:b/>
                <w:bCs/>
                <w:lang w:val="en-US" w:eastAsia="zh-CN"/>
              </w:rPr>
              <w:t>7</w:t>
            </w:r>
            <w:r>
              <w:rPr>
                <w:rFonts w:hint="eastAsia"/>
                <w:b/>
                <w:bCs/>
              </w:rPr>
              <w:t xml:space="preserve"> </w:t>
            </w:r>
            <w:r>
              <w:rPr>
                <w:b/>
                <w:bCs/>
              </w:rPr>
              <w:t xml:space="preserve">  排污口图形符号（提示标志）一览表</w:t>
            </w:r>
          </w:p>
          <w:tbl>
            <w:tblPr>
              <w:tblStyle w:val="24"/>
              <w:tblW w:w="4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18"/>
              <w:gridCol w:w="1616"/>
              <w:gridCol w:w="1526"/>
              <w:gridCol w:w="2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55" w:type="pct"/>
                  <w:vAlign w:val="center"/>
                </w:tcPr>
                <w:p>
                  <w:pPr>
                    <w:jc w:val="center"/>
                    <w:rPr>
                      <w:b/>
                      <w:sz w:val="21"/>
                      <w:szCs w:val="21"/>
                    </w:rPr>
                  </w:pPr>
                  <w:r>
                    <w:rPr>
                      <w:b/>
                      <w:sz w:val="21"/>
                      <w:szCs w:val="21"/>
                    </w:rPr>
                    <w:t>序号</w:t>
                  </w:r>
                </w:p>
              </w:tc>
              <w:tc>
                <w:tcPr>
                  <w:tcW w:w="1034" w:type="pct"/>
                  <w:vAlign w:val="center"/>
                </w:tcPr>
                <w:p>
                  <w:pPr>
                    <w:jc w:val="center"/>
                    <w:rPr>
                      <w:b/>
                      <w:sz w:val="21"/>
                      <w:szCs w:val="21"/>
                    </w:rPr>
                  </w:pPr>
                  <w:r>
                    <w:rPr>
                      <w:b/>
                      <w:sz w:val="21"/>
                      <w:szCs w:val="21"/>
                    </w:rPr>
                    <w:t>提示图形符号</w:t>
                  </w:r>
                </w:p>
              </w:tc>
              <w:tc>
                <w:tcPr>
                  <w:tcW w:w="1033" w:type="pct"/>
                  <w:vAlign w:val="center"/>
                </w:tcPr>
                <w:p>
                  <w:pPr>
                    <w:jc w:val="center"/>
                    <w:rPr>
                      <w:b/>
                      <w:sz w:val="21"/>
                      <w:szCs w:val="21"/>
                    </w:rPr>
                  </w:pPr>
                  <w:r>
                    <w:rPr>
                      <w:b/>
                      <w:sz w:val="21"/>
                      <w:szCs w:val="21"/>
                    </w:rPr>
                    <w:t>警告图形符号</w:t>
                  </w:r>
                </w:p>
              </w:tc>
              <w:tc>
                <w:tcPr>
                  <w:tcW w:w="975" w:type="pct"/>
                  <w:vAlign w:val="center"/>
                </w:tcPr>
                <w:p>
                  <w:pPr>
                    <w:jc w:val="center"/>
                    <w:rPr>
                      <w:b/>
                      <w:sz w:val="21"/>
                      <w:szCs w:val="21"/>
                    </w:rPr>
                  </w:pPr>
                  <w:r>
                    <w:rPr>
                      <w:b/>
                      <w:sz w:val="21"/>
                      <w:szCs w:val="21"/>
                    </w:rPr>
                    <w:t>名称</w:t>
                  </w:r>
                </w:p>
              </w:tc>
              <w:tc>
                <w:tcPr>
                  <w:tcW w:w="1500" w:type="pct"/>
                  <w:vAlign w:val="center"/>
                </w:tcPr>
                <w:p>
                  <w:pPr>
                    <w:jc w:val="center"/>
                    <w:rPr>
                      <w:b/>
                      <w:sz w:val="21"/>
                      <w:szCs w:val="21"/>
                    </w:rPr>
                  </w:pPr>
                  <w:r>
                    <w:rPr>
                      <w:b/>
                      <w:sz w:val="21"/>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455" w:type="pct"/>
                  <w:vAlign w:val="center"/>
                </w:tcPr>
                <w:p>
                  <w:pPr>
                    <w:jc w:val="center"/>
                    <w:rPr>
                      <w:sz w:val="21"/>
                      <w:szCs w:val="21"/>
                    </w:rPr>
                  </w:pPr>
                  <w:r>
                    <w:rPr>
                      <w:sz w:val="21"/>
                      <w:szCs w:val="21"/>
                    </w:rPr>
                    <w:t>1</w:t>
                  </w:r>
                </w:p>
              </w:tc>
              <w:tc>
                <w:tcPr>
                  <w:tcW w:w="1034" w:type="pct"/>
                  <w:vAlign w:val="center"/>
                </w:tcPr>
                <w:p>
                  <w:pPr>
                    <w:jc w:val="center"/>
                    <w:rPr>
                      <w:sz w:val="21"/>
                      <w:szCs w:val="21"/>
                    </w:rPr>
                  </w:pPr>
                  <w:r>
                    <w:rPr>
                      <w:sz w:val="21"/>
                    </w:rPr>
                    <w:drawing>
                      <wp:inline distT="0" distB="0" distL="114300" distR="114300">
                        <wp:extent cx="575945" cy="578485"/>
                        <wp:effectExtent l="0" t="0" r="1905" b="7620"/>
                        <wp:docPr id="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3"/>
                                <pic:cNvPicPr>
                                  <a:picLocks noChangeAspect="1"/>
                                </pic:cNvPicPr>
                              </pic:nvPicPr>
                              <pic:blipFill>
                                <a:blip r:embed="rId26"/>
                                <a:stretch>
                                  <a:fillRect/>
                                </a:stretch>
                              </pic:blipFill>
                              <pic:spPr>
                                <a:xfrm>
                                  <a:off x="0" y="0"/>
                                  <a:ext cx="575945" cy="578485"/>
                                </a:xfrm>
                                <a:prstGeom prst="rect">
                                  <a:avLst/>
                                </a:prstGeom>
                                <a:noFill/>
                                <a:ln>
                                  <a:noFill/>
                                </a:ln>
                              </pic:spPr>
                            </pic:pic>
                          </a:graphicData>
                        </a:graphic>
                      </wp:inline>
                    </w:drawing>
                  </w:r>
                </w:p>
              </w:tc>
              <w:tc>
                <w:tcPr>
                  <w:tcW w:w="1033" w:type="pct"/>
                  <w:vAlign w:val="center"/>
                </w:tcPr>
                <w:p>
                  <w:pPr>
                    <w:jc w:val="center"/>
                    <w:rPr>
                      <w:sz w:val="21"/>
                      <w:szCs w:val="21"/>
                    </w:rPr>
                  </w:pPr>
                  <w:r>
                    <w:rPr>
                      <w:sz w:val="21"/>
                    </w:rPr>
                    <w:drawing>
                      <wp:inline distT="0" distB="0" distL="114300" distR="114300">
                        <wp:extent cx="616585" cy="552450"/>
                        <wp:effectExtent l="0" t="0" r="2540" b="635"/>
                        <wp:docPr id="17"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4"/>
                                <pic:cNvPicPr>
                                  <a:picLocks noChangeAspect="1"/>
                                </pic:cNvPicPr>
                              </pic:nvPicPr>
                              <pic:blipFill>
                                <a:blip r:embed="rId27"/>
                                <a:stretch>
                                  <a:fillRect/>
                                </a:stretch>
                              </pic:blipFill>
                              <pic:spPr>
                                <a:xfrm>
                                  <a:off x="0" y="0"/>
                                  <a:ext cx="616585" cy="552450"/>
                                </a:xfrm>
                                <a:prstGeom prst="rect">
                                  <a:avLst/>
                                </a:prstGeom>
                                <a:noFill/>
                                <a:ln>
                                  <a:noFill/>
                                </a:ln>
                              </pic:spPr>
                            </pic:pic>
                          </a:graphicData>
                        </a:graphic>
                      </wp:inline>
                    </w:drawing>
                  </w:r>
                </w:p>
              </w:tc>
              <w:tc>
                <w:tcPr>
                  <w:tcW w:w="975" w:type="pct"/>
                  <w:vAlign w:val="center"/>
                </w:tcPr>
                <w:p>
                  <w:pPr>
                    <w:jc w:val="center"/>
                    <w:rPr>
                      <w:sz w:val="21"/>
                      <w:szCs w:val="21"/>
                    </w:rPr>
                  </w:pPr>
                  <w:r>
                    <w:rPr>
                      <w:sz w:val="21"/>
                      <w:szCs w:val="21"/>
                    </w:rPr>
                    <w:t>废水排放口</w:t>
                  </w:r>
                </w:p>
              </w:tc>
              <w:tc>
                <w:tcPr>
                  <w:tcW w:w="1500" w:type="pct"/>
                  <w:vAlign w:val="center"/>
                </w:tcPr>
                <w:p>
                  <w:pPr>
                    <w:jc w:val="center"/>
                    <w:rPr>
                      <w:sz w:val="21"/>
                      <w:szCs w:val="21"/>
                    </w:rPr>
                  </w:pPr>
                  <w:r>
                    <w:rPr>
                      <w:sz w:val="21"/>
                      <w:szCs w:val="21"/>
                    </w:rPr>
                    <w:t>废水向水体排放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55" w:type="pct"/>
                  <w:vAlign w:val="center"/>
                </w:tcPr>
                <w:p>
                  <w:pPr>
                    <w:jc w:val="center"/>
                    <w:rPr>
                      <w:sz w:val="21"/>
                      <w:szCs w:val="21"/>
                    </w:rPr>
                  </w:pPr>
                  <w:r>
                    <w:rPr>
                      <w:sz w:val="21"/>
                      <w:szCs w:val="21"/>
                    </w:rPr>
                    <w:t>2</w:t>
                  </w:r>
                </w:p>
              </w:tc>
              <w:tc>
                <w:tcPr>
                  <w:tcW w:w="1034" w:type="pct"/>
                  <w:vAlign w:val="center"/>
                </w:tcPr>
                <w:p>
                  <w:pPr>
                    <w:jc w:val="center"/>
                    <w:rPr>
                      <w:sz w:val="21"/>
                      <w:szCs w:val="21"/>
                    </w:rPr>
                  </w:pPr>
                  <w:r>
                    <w:rPr>
                      <w:sz w:val="21"/>
                    </w:rPr>
                    <w:drawing>
                      <wp:inline distT="0" distB="0" distL="114300" distR="114300">
                        <wp:extent cx="571500" cy="569595"/>
                        <wp:effectExtent l="0" t="0" r="6350" b="0"/>
                        <wp:docPr id="1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5"/>
                                <pic:cNvPicPr>
                                  <a:picLocks noChangeAspect="1"/>
                                </pic:cNvPicPr>
                              </pic:nvPicPr>
                              <pic:blipFill>
                                <a:blip r:embed="rId28"/>
                                <a:stretch>
                                  <a:fillRect/>
                                </a:stretch>
                              </pic:blipFill>
                              <pic:spPr>
                                <a:xfrm>
                                  <a:off x="0" y="0"/>
                                  <a:ext cx="571500" cy="569595"/>
                                </a:xfrm>
                                <a:prstGeom prst="rect">
                                  <a:avLst/>
                                </a:prstGeom>
                                <a:noFill/>
                                <a:ln>
                                  <a:noFill/>
                                </a:ln>
                              </pic:spPr>
                            </pic:pic>
                          </a:graphicData>
                        </a:graphic>
                      </wp:inline>
                    </w:drawing>
                  </w:r>
                </w:p>
              </w:tc>
              <w:tc>
                <w:tcPr>
                  <w:tcW w:w="1033" w:type="pct"/>
                  <w:vAlign w:val="center"/>
                </w:tcPr>
                <w:p>
                  <w:pPr>
                    <w:jc w:val="center"/>
                    <w:rPr>
                      <w:sz w:val="21"/>
                      <w:szCs w:val="21"/>
                    </w:rPr>
                  </w:pPr>
                  <w:r>
                    <w:rPr>
                      <w:sz w:val="21"/>
                    </w:rPr>
                    <w:drawing>
                      <wp:inline distT="0" distB="0" distL="114300" distR="114300">
                        <wp:extent cx="621030" cy="543560"/>
                        <wp:effectExtent l="0" t="0" r="6350" b="1270"/>
                        <wp:docPr id="19"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6"/>
                                <pic:cNvPicPr>
                                  <a:picLocks noChangeAspect="1"/>
                                </pic:cNvPicPr>
                              </pic:nvPicPr>
                              <pic:blipFill>
                                <a:blip r:embed="rId29"/>
                                <a:stretch>
                                  <a:fillRect/>
                                </a:stretch>
                              </pic:blipFill>
                              <pic:spPr>
                                <a:xfrm>
                                  <a:off x="0" y="0"/>
                                  <a:ext cx="621030" cy="543560"/>
                                </a:xfrm>
                                <a:prstGeom prst="rect">
                                  <a:avLst/>
                                </a:prstGeom>
                                <a:noFill/>
                                <a:ln>
                                  <a:noFill/>
                                </a:ln>
                              </pic:spPr>
                            </pic:pic>
                          </a:graphicData>
                        </a:graphic>
                      </wp:inline>
                    </w:drawing>
                  </w:r>
                </w:p>
              </w:tc>
              <w:tc>
                <w:tcPr>
                  <w:tcW w:w="975" w:type="pct"/>
                  <w:vAlign w:val="center"/>
                </w:tcPr>
                <w:p>
                  <w:pPr>
                    <w:jc w:val="center"/>
                    <w:rPr>
                      <w:sz w:val="21"/>
                      <w:szCs w:val="21"/>
                    </w:rPr>
                  </w:pPr>
                  <w:r>
                    <w:rPr>
                      <w:sz w:val="21"/>
                      <w:szCs w:val="21"/>
                    </w:rPr>
                    <w:t>废气排放口</w:t>
                  </w:r>
                </w:p>
              </w:tc>
              <w:tc>
                <w:tcPr>
                  <w:tcW w:w="1500" w:type="pct"/>
                  <w:vAlign w:val="center"/>
                </w:tcPr>
                <w:p>
                  <w:pPr>
                    <w:jc w:val="center"/>
                    <w:rPr>
                      <w:sz w:val="21"/>
                      <w:szCs w:val="21"/>
                    </w:rPr>
                  </w:pPr>
                  <w:r>
                    <w:rPr>
                      <w:sz w:val="21"/>
                      <w:szCs w:val="21"/>
                    </w:rPr>
                    <w:t>废气向大气环境排放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455" w:type="pct"/>
                  <w:vAlign w:val="center"/>
                </w:tcPr>
                <w:p>
                  <w:pPr>
                    <w:jc w:val="center"/>
                    <w:rPr>
                      <w:sz w:val="21"/>
                      <w:szCs w:val="21"/>
                    </w:rPr>
                  </w:pPr>
                  <w:r>
                    <w:rPr>
                      <w:sz w:val="21"/>
                      <w:szCs w:val="21"/>
                    </w:rPr>
                    <w:t>3</w:t>
                  </w:r>
                </w:p>
              </w:tc>
              <w:tc>
                <w:tcPr>
                  <w:tcW w:w="1034" w:type="pct"/>
                  <w:vAlign w:val="center"/>
                </w:tcPr>
                <w:p>
                  <w:pPr>
                    <w:jc w:val="center"/>
                    <w:rPr>
                      <w:sz w:val="21"/>
                      <w:szCs w:val="21"/>
                    </w:rPr>
                  </w:pPr>
                  <w:r>
                    <w:rPr>
                      <w:sz w:val="21"/>
                    </w:rPr>
                    <w:drawing>
                      <wp:inline distT="0" distB="0" distL="114300" distR="114300">
                        <wp:extent cx="573405" cy="551815"/>
                        <wp:effectExtent l="0" t="0" r="4445" b="1270"/>
                        <wp:docPr id="8"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7"/>
                                <pic:cNvPicPr>
                                  <a:picLocks noChangeAspect="1"/>
                                </pic:cNvPicPr>
                              </pic:nvPicPr>
                              <pic:blipFill>
                                <a:blip r:embed="rId30"/>
                                <a:stretch>
                                  <a:fillRect/>
                                </a:stretch>
                              </pic:blipFill>
                              <pic:spPr>
                                <a:xfrm>
                                  <a:off x="0" y="0"/>
                                  <a:ext cx="573405" cy="551815"/>
                                </a:xfrm>
                                <a:prstGeom prst="rect">
                                  <a:avLst/>
                                </a:prstGeom>
                                <a:noFill/>
                                <a:ln>
                                  <a:noFill/>
                                </a:ln>
                              </pic:spPr>
                            </pic:pic>
                          </a:graphicData>
                        </a:graphic>
                      </wp:inline>
                    </w:drawing>
                  </w:r>
                </w:p>
              </w:tc>
              <w:tc>
                <w:tcPr>
                  <w:tcW w:w="1033" w:type="pct"/>
                  <w:vAlign w:val="center"/>
                </w:tcPr>
                <w:p>
                  <w:pPr>
                    <w:jc w:val="center"/>
                    <w:rPr>
                      <w:sz w:val="21"/>
                      <w:szCs w:val="21"/>
                    </w:rPr>
                  </w:pPr>
                  <w:r>
                    <w:rPr>
                      <w:sz w:val="21"/>
                    </w:rPr>
                    <w:drawing>
                      <wp:inline distT="0" distB="0" distL="114300" distR="114300">
                        <wp:extent cx="640715" cy="555625"/>
                        <wp:effectExtent l="0" t="0" r="3175" b="5715"/>
                        <wp:docPr id="9"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8"/>
                                <pic:cNvPicPr>
                                  <a:picLocks noChangeAspect="1"/>
                                </pic:cNvPicPr>
                              </pic:nvPicPr>
                              <pic:blipFill>
                                <a:blip r:embed="rId31"/>
                                <a:stretch>
                                  <a:fillRect/>
                                </a:stretch>
                              </pic:blipFill>
                              <pic:spPr>
                                <a:xfrm>
                                  <a:off x="0" y="0"/>
                                  <a:ext cx="640715" cy="555625"/>
                                </a:xfrm>
                                <a:prstGeom prst="rect">
                                  <a:avLst/>
                                </a:prstGeom>
                                <a:noFill/>
                                <a:ln>
                                  <a:noFill/>
                                </a:ln>
                              </pic:spPr>
                            </pic:pic>
                          </a:graphicData>
                        </a:graphic>
                      </wp:inline>
                    </w:drawing>
                  </w:r>
                </w:p>
              </w:tc>
              <w:tc>
                <w:tcPr>
                  <w:tcW w:w="975" w:type="pct"/>
                  <w:vAlign w:val="center"/>
                </w:tcPr>
                <w:p>
                  <w:pPr>
                    <w:jc w:val="center"/>
                    <w:rPr>
                      <w:sz w:val="21"/>
                      <w:szCs w:val="21"/>
                    </w:rPr>
                  </w:pPr>
                  <w:r>
                    <w:rPr>
                      <w:sz w:val="21"/>
                      <w:szCs w:val="21"/>
                    </w:rPr>
                    <w:t>一般固体废物</w:t>
                  </w:r>
                </w:p>
              </w:tc>
              <w:tc>
                <w:tcPr>
                  <w:tcW w:w="1500" w:type="pct"/>
                  <w:vAlign w:val="center"/>
                </w:tcPr>
                <w:p>
                  <w:pPr>
                    <w:jc w:val="center"/>
                    <w:rPr>
                      <w:sz w:val="21"/>
                      <w:szCs w:val="21"/>
                    </w:rPr>
                  </w:pPr>
                  <w:r>
                    <w:rPr>
                      <w:sz w:val="21"/>
                      <w:szCs w:val="21"/>
                    </w:rPr>
                    <w:t>一般固体废物贮存、</w:t>
                  </w:r>
                  <w:r>
                    <w:rPr>
                      <w:rFonts w:hint="eastAsia"/>
                      <w:sz w:val="21"/>
                      <w:szCs w:val="21"/>
                    </w:rPr>
                    <w:t>处置场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455" w:type="pct"/>
                  <w:vAlign w:val="center"/>
                </w:tcPr>
                <w:p>
                  <w:pPr>
                    <w:jc w:val="center"/>
                    <w:rPr>
                      <w:sz w:val="21"/>
                      <w:szCs w:val="21"/>
                    </w:rPr>
                  </w:pPr>
                  <w:r>
                    <w:rPr>
                      <w:sz w:val="21"/>
                      <w:szCs w:val="21"/>
                    </w:rPr>
                    <w:t>4</w:t>
                  </w:r>
                </w:p>
              </w:tc>
              <w:tc>
                <w:tcPr>
                  <w:tcW w:w="1034" w:type="pct"/>
                  <w:vAlign w:val="center"/>
                </w:tcPr>
                <w:p>
                  <w:pPr>
                    <w:jc w:val="center"/>
                    <w:rPr>
                      <w:sz w:val="21"/>
                      <w:szCs w:val="21"/>
                    </w:rPr>
                  </w:pPr>
                  <w:r>
                    <w:rPr>
                      <w:sz w:val="21"/>
                    </w:rPr>
                    <w:drawing>
                      <wp:inline distT="0" distB="0" distL="114300" distR="114300">
                        <wp:extent cx="565150" cy="567690"/>
                        <wp:effectExtent l="0" t="0" r="4445" b="1905"/>
                        <wp:docPr id="10"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9"/>
                                <pic:cNvPicPr>
                                  <a:picLocks noChangeAspect="1"/>
                                </pic:cNvPicPr>
                              </pic:nvPicPr>
                              <pic:blipFill>
                                <a:blip r:embed="rId32"/>
                                <a:stretch>
                                  <a:fillRect/>
                                </a:stretch>
                              </pic:blipFill>
                              <pic:spPr>
                                <a:xfrm>
                                  <a:off x="0" y="0"/>
                                  <a:ext cx="565150" cy="567690"/>
                                </a:xfrm>
                                <a:prstGeom prst="rect">
                                  <a:avLst/>
                                </a:prstGeom>
                                <a:noFill/>
                                <a:ln>
                                  <a:noFill/>
                                </a:ln>
                              </pic:spPr>
                            </pic:pic>
                          </a:graphicData>
                        </a:graphic>
                      </wp:inline>
                    </w:drawing>
                  </w:r>
                </w:p>
              </w:tc>
              <w:tc>
                <w:tcPr>
                  <w:tcW w:w="1033" w:type="pct"/>
                  <w:vAlign w:val="center"/>
                </w:tcPr>
                <w:p>
                  <w:pPr>
                    <w:jc w:val="center"/>
                    <w:rPr>
                      <w:sz w:val="21"/>
                      <w:szCs w:val="21"/>
                    </w:rPr>
                  </w:pPr>
                  <w:r>
                    <w:rPr>
                      <w:sz w:val="21"/>
                    </w:rPr>
                    <w:drawing>
                      <wp:inline distT="0" distB="0" distL="114300" distR="114300">
                        <wp:extent cx="650240" cy="565785"/>
                        <wp:effectExtent l="0" t="0" r="1905" b="3810"/>
                        <wp:docPr id="2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0"/>
                                <pic:cNvPicPr>
                                  <a:picLocks noChangeAspect="1"/>
                                </pic:cNvPicPr>
                              </pic:nvPicPr>
                              <pic:blipFill>
                                <a:blip r:embed="rId33"/>
                                <a:stretch>
                                  <a:fillRect/>
                                </a:stretch>
                              </pic:blipFill>
                              <pic:spPr>
                                <a:xfrm>
                                  <a:off x="0" y="0"/>
                                  <a:ext cx="650240" cy="565785"/>
                                </a:xfrm>
                                <a:prstGeom prst="rect">
                                  <a:avLst/>
                                </a:prstGeom>
                                <a:noFill/>
                                <a:ln>
                                  <a:noFill/>
                                </a:ln>
                              </pic:spPr>
                            </pic:pic>
                          </a:graphicData>
                        </a:graphic>
                      </wp:inline>
                    </w:drawing>
                  </w:r>
                </w:p>
              </w:tc>
              <w:tc>
                <w:tcPr>
                  <w:tcW w:w="975" w:type="pct"/>
                  <w:vAlign w:val="center"/>
                </w:tcPr>
                <w:p>
                  <w:pPr>
                    <w:jc w:val="center"/>
                    <w:rPr>
                      <w:sz w:val="21"/>
                      <w:szCs w:val="21"/>
                    </w:rPr>
                  </w:pPr>
                  <w:r>
                    <w:rPr>
                      <w:sz w:val="21"/>
                      <w:szCs w:val="21"/>
                    </w:rPr>
                    <w:t>噪声排放源</w:t>
                  </w:r>
                </w:p>
              </w:tc>
              <w:tc>
                <w:tcPr>
                  <w:tcW w:w="1500" w:type="pct"/>
                  <w:vAlign w:val="center"/>
                </w:tcPr>
                <w:p>
                  <w:pPr>
                    <w:jc w:val="center"/>
                    <w:rPr>
                      <w:sz w:val="21"/>
                      <w:szCs w:val="21"/>
                    </w:rPr>
                  </w:pPr>
                  <w:r>
                    <w:rPr>
                      <w:sz w:val="21"/>
                      <w:szCs w:val="21"/>
                    </w:rPr>
                    <w:t>噪声向外环境排放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455" w:type="pct"/>
                  <w:vAlign w:val="center"/>
                </w:tcPr>
                <w:p>
                  <w:pPr>
                    <w:jc w:val="center"/>
                    <w:rPr>
                      <w:sz w:val="21"/>
                      <w:szCs w:val="21"/>
                    </w:rPr>
                  </w:pPr>
                  <w:r>
                    <w:rPr>
                      <w:sz w:val="21"/>
                      <w:szCs w:val="21"/>
                    </w:rPr>
                    <w:t>5</w:t>
                  </w:r>
                </w:p>
              </w:tc>
              <w:tc>
                <w:tcPr>
                  <w:tcW w:w="1034" w:type="pct"/>
                  <w:vAlign w:val="center"/>
                </w:tcPr>
                <w:p>
                  <w:pPr>
                    <w:jc w:val="center"/>
                    <w:rPr>
                      <w:sz w:val="21"/>
                      <w:szCs w:val="21"/>
                    </w:rPr>
                  </w:pPr>
                  <w:r>
                    <w:rPr>
                      <w:rFonts w:hint="eastAsia"/>
                      <w:sz w:val="21"/>
                      <w:szCs w:val="21"/>
                    </w:rPr>
                    <w:t>/</w:t>
                  </w:r>
                </w:p>
              </w:tc>
              <w:tc>
                <w:tcPr>
                  <w:tcW w:w="1033" w:type="pct"/>
                  <w:vAlign w:val="center"/>
                </w:tcPr>
                <w:p>
                  <w:pPr>
                    <w:jc w:val="center"/>
                    <w:rPr>
                      <w:sz w:val="21"/>
                      <w:szCs w:val="21"/>
                    </w:rPr>
                  </w:pPr>
                  <w:r>
                    <w:rPr>
                      <w:rFonts w:hint="eastAsia"/>
                      <w:sz w:val="21"/>
                      <w:szCs w:val="21"/>
                    </w:rPr>
                    <w:drawing>
                      <wp:inline distT="0" distB="0" distL="114300" distR="114300">
                        <wp:extent cx="718820" cy="614045"/>
                        <wp:effectExtent l="0" t="0" r="7620" b="5080"/>
                        <wp:docPr id="38" name="图片 38" descr="ZBIOYXP`1QJ%@DE8BF`U91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ZBIOYXP`1QJ%@DE8BF`U91V"/>
                                <pic:cNvPicPr>
                                  <a:picLocks noChangeAspect="1"/>
                                </pic:cNvPicPr>
                              </pic:nvPicPr>
                              <pic:blipFill>
                                <a:blip r:embed="rId34"/>
                                <a:stretch>
                                  <a:fillRect/>
                                </a:stretch>
                              </pic:blipFill>
                              <pic:spPr>
                                <a:xfrm>
                                  <a:off x="0" y="0"/>
                                  <a:ext cx="718820" cy="614045"/>
                                </a:xfrm>
                                <a:prstGeom prst="rect">
                                  <a:avLst/>
                                </a:prstGeom>
                              </pic:spPr>
                            </pic:pic>
                          </a:graphicData>
                        </a:graphic>
                      </wp:inline>
                    </w:drawing>
                  </w:r>
                </w:p>
              </w:tc>
              <w:tc>
                <w:tcPr>
                  <w:tcW w:w="975" w:type="pct"/>
                  <w:vAlign w:val="center"/>
                </w:tcPr>
                <w:p>
                  <w:pPr>
                    <w:jc w:val="center"/>
                    <w:rPr>
                      <w:sz w:val="21"/>
                      <w:szCs w:val="21"/>
                    </w:rPr>
                  </w:pPr>
                  <w:r>
                    <w:rPr>
                      <w:sz w:val="21"/>
                      <w:szCs w:val="21"/>
                    </w:rPr>
                    <w:t>危险废物</w:t>
                  </w:r>
                </w:p>
              </w:tc>
              <w:tc>
                <w:tcPr>
                  <w:tcW w:w="1500" w:type="pct"/>
                  <w:vAlign w:val="center"/>
                </w:tcPr>
                <w:p>
                  <w:pPr>
                    <w:jc w:val="center"/>
                    <w:rPr>
                      <w:sz w:val="21"/>
                      <w:szCs w:val="21"/>
                    </w:rPr>
                  </w:pPr>
                  <w:r>
                    <w:rPr>
                      <w:sz w:val="21"/>
                      <w:szCs w:val="21"/>
                    </w:rPr>
                    <w:t>危险废物贮存、处置场</w:t>
                  </w:r>
                </w:p>
              </w:tc>
            </w:tr>
          </w:tbl>
          <w:p>
            <w:pPr>
              <w:spacing w:line="360" w:lineRule="auto"/>
              <w:ind w:firstLine="480" w:firstLineChars="200"/>
            </w:pPr>
            <w:r>
              <w:rPr>
                <w:rFonts w:hint="eastAsia"/>
              </w:rPr>
              <w:t>3、</w:t>
            </w:r>
            <w:r>
              <w:t>项目环保治理投资估算</w:t>
            </w:r>
          </w:p>
          <w:p>
            <w:pPr>
              <w:spacing w:line="360" w:lineRule="auto"/>
              <w:ind w:firstLine="480" w:firstLineChars="200"/>
              <w:rPr>
                <w:bCs/>
              </w:rPr>
            </w:pPr>
            <w:r>
              <w:rPr>
                <w:bCs/>
              </w:rPr>
              <w:t>本项目总投资为</w:t>
            </w:r>
            <w:r>
              <w:rPr>
                <w:rFonts w:hint="eastAsia"/>
                <w:bCs/>
              </w:rPr>
              <w:t>130</w:t>
            </w:r>
            <w:r>
              <w:rPr>
                <w:bCs/>
              </w:rPr>
              <w:t>万元，其中环保投资为</w:t>
            </w:r>
            <w:r>
              <w:rPr>
                <w:rFonts w:hint="eastAsia"/>
                <w:bCs/>
              </w:rPr>
              <w:t>20</w:t>
            </w:r>
            <w:r>
              <w:rPr>
                <w:bCs/>
              </w:rPr>
              <w:t>万元，占总投资的</w:t>
            </w:r>
            <w:r>
              <w:rPr>
                <w:rFonts w:hint="eastAsia"/>
                <w:bCs/>
              </w:rPr>
              <w:t>15.38</w:t>
            </w:r>
            <w:r>
              <w:rPr>
                <w:bCs/>
              </w:rPr>
              <w:t>%，环保投资明细详见下表。</w:t>
            </w:r>
          </w:p>
          <w:p>
            <w:pPr>
              <w:spacing w:line="360" w:lineRule="auto"/>
              <w:jc w:val="center"/>
            </w:pPr>
            <w:r>
              <w:rPr>
                <w:b/>
                <w:bCs/>
              </w:rPr>
              <w:t>表</w:t>
            </w:r>
            <w:r>
              <w:rPr>
                <w:rFonts w:hint="eastAsia"/>
                <w:b/>
                <w:bCs/>
              </w:rPr>
              <w:t>4-1</w:t>
            </w:r>
            <w:r>
              <w:rPr>
                <w:rFonts w:hint="eastAsia"/>
                <w:b/>
                <w:bCs/>
                <w:lang w:val="en-US" w:eastAsia="zh-CN"/>
              </w:rPr>
              <w:t>8</w:t>
            </w:r>
            <w:r>
              <w:rPr>
                <w:b/>
                <w:bCs/>
              </w:rPr>
              <w:t xml:space="preserve">  本项目环保措施及投资表  单位：万元</w:t>
            </w:r>
          </w:p>
          <w:tbl>
            <w:tblPr>
              <w:tblStyle w:val="25"/>
              <w:tblW w:w="7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60"/>
              <w:gridCol w:w="1635"/>
              <w:gridCol w:w="3975"/>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Align w:val="center"/>
                </w:tcPr>
                <w:p>
                  <w:pPr>
                    <w:autoSpaceDE w:val="0"/>
                    <w:autoSpaceDN w:val="0"/>
                    <w:adjustRightInd w:val="0"/>
                    <w:jc w:val="center"/>
                    <w:rPr>
                      <w:b/>
                      <w:bCs/>
                      <w:sz w:val="21"/>
                      <w:szCs w:val="21"/>
                    </w:rPr>
                  </w:pPr>
                  <w:r>
                    <w:rPr>
                      <w:rFonts w:hint="eastAsia"/>
                      <w:b/>
                      <w:kern w:val="0"/>
                      <w:sz w:val="21"/>
                      <w:szCs w:val="21"/>
                      <w:lang w:bidi="ar"/>
                    </w:rPr>
                    <w:t>序号</w:t>
                  </w:r>
                </w:p>
              </w:tc>
              <w:tc>
                <w:tcPr>
                  <w:tcW w:w="960" w:type="dxa"/>
                  <w:vAlign w:val="center"/>
                </w:tcPr>
                <w:p>
                  <w:pPr>
                    <w:autoSpaceDE w:val="0"/>
                    <w:autoSpaceDN w:val="0"/>
                    <w:adjustRightInd w:val="0"/>
                    <w:jc w:val="center"/>
                    <w:rPr>
                      <w:b/>
                      <w:bCs/>
                      <w:sz w:val="21"/>
                      <w:szCs w:val="21"/>
                    </w:rPr>
                  </w:pPr>
                  <w:r>
                    <w:rPr>
                      <w:rFonts w:hint="eastAsia"/>
                      <w:b/>
                      <w:kern w:val="0"/>
                      <w:sz w:val="21"/>
                      <w:szCs w:val="21"/>
                      <w:lang w:bidi="ar"/>
                    </w:rPr>
                    <w:t>类型</w:t>
                  </w:r>
                </w:p>
              </w:tc>
              <w:tc>
                <w:tcPr>
                  <w:tcW w:w="1635" w:type="dxa"/>
                  <w:vAlign w:val="center"/>
                </w:tcPr>
                <w:p>
                  <w:pPr>
                    <w:autoSpaceDE w:val="0"/>
                    <w:autoSpaceDN w:val="0"/>
                    <w:adjustRightInd w:val="0"/>
                    <w:jc w:val="center"/>
                    <w:rPr>
                      <w:b/>
                      <w:bCs/>
                      <w:sz w:val="21"/>
                      <w:szCs w:val="21"/>
                    </w:rPr>
                  </w:pPr>
                  <w:r>
                    <w:rPr>
                      <w:rFonts w:hint="eastAsia"/>
                      <w:b/>
                      <w:kern w:val="0"/>
                      <w:sz w:val="21"/>
                      <w:szCs w:val="21"/>
                      <w:lang w:bidi="ar"/>
                    </w:rPr>
                    <w:t>项目</w:t>
                  </w:r>
                </w:p>
              </w:tc>
              <w:tc>
                <w:tcPr>
                  <w:tcW w:w="3975" w:type="dxa"/>
                  <w:vAlign w:val="center"/>
                </w:tcPr>
                <w:p>
                  <w:pPr>
                    <w:autoSpaceDE w:val="0"/>
                    <w:autoSpaceDN w:val="0"/>
                    <w:adjustRightInd w:val="0"/>
                    <w:jc w:val="center"/>
                    <w:rPr>
                      <w:b/>
                      <w:bCs/>
                      <w:sz w:val="21"/>
                      <w:szCs w:val="21"/>
                    </w:rPr>
                  </w:pPr>
                  <w:r>
                    <w:rPr>
                      <w:rFonts w:hint="eastAsia"/>
                      <w:b/>
                      <w:kern w:val="0"/>
                      <w:sz w:val="21"/>
                      <w:szCs w:val="21"/>
                      <w:lang w:bidi="ar"/>
                    </w:rPr>
                    <w:t>建设内容</w:t>
                  </w:r>
                </w:p>
              </w:tc>
              <w:tc>
                <w:tcPr>
                  <w:tcW w:w="697" w:type="dxa"/>
                  <w:vAlign w:val="center"/>
                </w:tcPr>
                <w:p>
                  <w:pPr>
                    <w:autoSpaceDE w:val="0"/>
                    <w:autoSpaceDN w:val="0"/>
                    <w:adjustRightInd w:val="0"/>
                    <w:jc w:val="center"/>
                    <w:rPr>
                      <w:b/>
                      <w:bCs/>
                      <w:sz w:val="21"/>
                      <w:szCs w:val="21"/>
                    </w:rPr>
                  </w:pPr>
                  <w:r>
                    <w:rPr>
                      <w:rFonts w:hint="eastAsia"/>
                      <w:b/>
                      <w:kern w:val="0"/>
                      <w:sz w:val="21"/>
                      <w:szCs w:val="21"/>
                      <w:lang w:bidi="ar"/>
                    </w:rPr>
                    <w:t>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restart"/>
                  <w:vAlign w:val="center"/>
                </w:tcPr>
                <w:p>
                  <w:pPr>
                    <w:adjustRightInd w:val="0"/>
                    <w:snapToGrid w:val="0"/>
                    <w:jc w:val="center"/>
                    <w:rPr>
                      <w:sz w:val="21"/>
                      <w:szCs w:val="21"/>
                    </w:rPr>
                  </w:pPr>
                  <w:r>
                    <w:rPr>
                      <w:rFonts w:hint="eastAsia"/>
                      <w:sz w:val="21"/>
                      <w:szCs w:val="21"/>
                    </w:rPr>
                    <w:t>1</w:t>
                  </w:r>
                </w:p>
              </w:tc>
              <w:tc>
                <w:tcPr>
                  <w:tcW w:w="960" w:type="dxa"/>
                  <w:vMerge w:val="restart"/>
                  <w:vAlign w:val="center"/>
                </w:tcPr>
                <w:p>
                  <w:pPr>
                    <w:adjustRightInd w:val="0"/>
                    <w:snapToGrid w:val="0"/>
                    <w:jc w:val="center"/>
                    <w:rPr>
                      <w:bCs/>
                      <w:color w:val="000000" w:themeColor="text1"/>
                      <w:kern w:val="0"/>
                      <w:sz w:val="21"/>
                      <w:szCs w:val="21"/>
                      <w:lang w:bidi="ar"/>
                      <w14:textFill>
                        <w14:solidFill>
                          <w14:schemeClr w14:val="tx1"/>
                        </w14:solidFill>
                      </w14:textFill>
                    </w:rPr>
                  </w:pPr>
                  <w:r>
                    <w:rPr>
                      <w:rFonts w:hint="eastAsia"/>
                      <w:bCs/>
                      <w:color w:val="000000" w:themeColor="text1"/>
                      <w:kern w:val="0"/>
                      <w:sz w:val="21"/>
                      <w:szCs w:val="21"/>
                      <w:lang w:bidi="ar"/>
                      <w14:textFill>
                        <w14:solidFill>
                          <w14:schemeClr w14:val="tx1"/>
                        </w14:solidFill>
                      </w14:textFill>
                    </w:rPr>
                    <w:t>废气</w:t>
                  </w:r>
                </w:p>
              </w:tc>
              <w:tc>
                <w:tcPr>
                  <w:tcW w:w="1635" w:type="dxa"/>
                  <w:vAlign w:val="center"/>
                </w:tcPr>
                <w:p>
                  <w:pPr>
                    <w:adjustRightInd w:val="0"/>
                    <w:snapToGrid w:val="0"/>
                    <w:jc w:val="center"/>
                    <w:rPr>
                      <w:bCs/>
                      <w:kern w:val="0"/>
                      <w:sz w:val="21"/>
                      <w:szCs w:val="21"/>
                      <w:lang w:bidi="ar"/>
                    </w:rPr>
                  </w:pPr>
                  <w:r>
                    <w:rPr>
                      <w:rFonts w:hint="eastAsia"/>
                      <w:bCs/>
                      <w:kern w:val="0"/>
                      <w:sz w:val="21"/>
                      <w:szCs w:val="21"/>
                      <w:lang w:bidi="ar"/>
                    </w:rPr>
                    <w:t>水泥仓呼吸粉尘</w:t>
                  </w:r>
                </w:p>
              </w:tc>
              <w:tc>
                <w:tcPr>
                  <w:tcW w:w="3975" w:type="dxa"/>
                  <w:vAlign w:val="center"/>
                </w:tcPr>
                <w:p>
                  <w:pPr>
                    <w:adjustRightInd w:val="0"/>
                    <w:snapToGrid w:val="0"/>
                    <w:jc w:val="center"/>
                    <w:rPr>
                      <w:kern w:val="0"/>
                      <w:sz w:val="21"/>
                      <w:szCs w:val="21"/>
                    </w:rPr>
                  </w:pPr>
                  <w:r>
                    <w:rPr>
                      <w:rFonts w:hint="eastAsia"/>
                      <w:kern w:val="0"/>
                      <w:sz w:val="21"/>
                      <w:szCs w:val="21"/>
                    </w:rPr>
                    <w:t>布袋除尘器</w:t>
                  </w:r>
                </w:p>
              </w:tc>
              <w:tc>
                <w:tcPr>
                  <w:tcW w:w="697" w:type="dxa"/>
                  <w:vAlign w:val="center"/>
                </w:tcPr>
                <w:p>
                  <w:pPr>
                    <w:adjustRightInd w:val="0"/>
                    <w:snapToGrid w:val="0"/>
                    <w:jc w:val="center"/>
                    <w:rPr>
                      <w:kern w:val="0"/>
                      <w:sz w:val="21"/>
                      <w:szCs w:val="21"/>
                    </w:rPr>
                  </w:pPr>
                  <w:r>
                    <w:rPr>
                      <w:rFonts w:hint="eastAsia"/>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Merge w:val="continue"/>
                  <w:vAlign w:val="center"/>
                </w:tcPr>
                <w:p>
                  <w:pPr>
                    <w:adjustRightInd w:val="0"/>
                    <w:snapToGrid w:val="0"/>
                    <w:jc w:val="center"/>
                    <w:rPr>
                      <w:sz w:val="21"/>
                      <w:szCs w:val="21"/>
                    </w:rPr>
                  </w:pPr>
                </w:p>
              </w:tc>
              <w:tc>
                <w:tcPr>
                  <w:tcW w:w="960" w:type="dxa"/>
                  <w:vMerge w:val="continue"/>
                  <w:vAlign w:val="center"/>
                </w:tcPr>
                <w:p>
                  <w:pPr>
                    <w:adjustRightInd w:val="0"/>
                    <w:snapToGrid w:val="0"/>
                    <w:jc w:val="center"/>
                    <w:rPr>
                      <w:bCs/>
                      <w:color w:val="000000" w:themeColor="text1"/>
                      <w:kern w:val="0"/>
                      <w:sz w:val="21"/>
                      <w:szCs w:val="21"/>
                      <w:lang w:bidi="ar"/>
                      <w14:textFill>
                        <w14:solidFill>
                          <w14:schemeClr w14:val="tx1"/>
                        </w14:solidFill>
                      </w14:textFill>
                    </w:rPr>
                  </w:pPr>
                </w:p>
              </w:tc>
              <w:tc>
                <w:tcPr>
                  <w:tcW w:w="1635" w:type="dxa"/>
                  <w:vAlign w:val="center"/>
                </w:tcPr>
                <w:p>
                  <w:pPr>
                    <w:adjustRightInd w:val="0"/>
                    <w:snapToGrid w:val="0"/>
                    <w:jc w:val="center"/>
                    <w:rPr>
                      <w:bCs/>
                      <w:kern w:val="0"/>
                      <w:sz w:val="21"/>
                      <w:szCs w:val="21"/>
                      <w:lang w:bidi="ar"/>
                    </w:rPr>
                  </w:pPr>
                  <w:r>
                    <w:rPr>
                      <w:rFonts w:hint="eastAsia"/>
                      <w:bCs/>
                      <w:kern w:val="0"/>
                      <w:sz w:val="21"/>
                      <w:szCs w:val="21"/>
                      <w:lang w:bidi="ar"/>
                    </w:rPr>
                    <w:t>物料混合搅拌粉尘</w:t>
                  </w:r>
                </w:p>
              </w:tc>
              <w:tc>
                <w:tcPr>
                  <w:tcW w:w="3975" w:type="dxa"/>
                  <w:vAlign w:val="center"/>
                </w:tcPr>
                <w:p>
                  <w:pPr>
                    <w:adjustRightInd w:val="0"/>
                    <w:snapToGrid w:val="0"/>
                    <w:jc w:val="center"/>
                    <w:rPr>
                      <w:kern w:val="0"/>
                      <w:sz w:val="21"/>
                      <w:szCs w:val="21"/>
                    </w:rPr>
                  </w:pPr>
                  <w:r>
                    <w:rPr>
                      <w:rFonts w:hint="eastAsia"/>
                      <w:kern w:val="0"/>
                      <w:sz w:val="21"/>
                      <w:szCs w:val="21"/>
                    </w:rPr>
                    <w:t>布袋除尘器</w:t>
                  </w:r>
                </w:p>
              </w:tc>
              <w:tc>
                <w:tcPr>
                  <w:tcW w:w="697" w:type="dxa"/>
                  <w:vAlign w:val="center"/>
                </w:tcPr>
                <w:p>
                  <w:pPr>
                    <w:adjustRightInd w:val="0"/>
                    <w:snapToGrid w:val="0"/>
                    <w:jc w:val="center"/>
                    <w:rPr>
                      <w:kern w:val="0"/>
                      <w:sz w:val="21"/>
                      <w:szCs w:val="21"/>
                    </w:rPr>
                  </w:pPr>
                  <w:r>
                    <w:rPr>
                      <w:rFonts w:hint="eastAsia"/>
                      <w:kern w:val="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restart"/>
                  <w:vAlign w:val="center"/>
                </w:tcPr>
                <w:p>
                  <w:pPr>
                    <w:adjustRightInd w:val="0"/>
                    <w:snapToGrid w:val="0"/>
                    <w:jc w:val="center"/>
                    <w:rPr>
                      <w:sz w:val="21"/>
                      <w:szCs w:val="21"/>
                    </w:rPr>
                  </w:pPr>
                  <w:r>
                    <w:rPr>
                      <w:rFonts w:hint="eastAsia"/>
                      <w:sz w:val="21"/>
                      <w:szCs w:val="21"/>
                    </w:rPr>
                    <w:t>2</w:t>
                  </w:r>
                </w:p>
              </w:tc>
              <w:tc>
                <w:tcPr>
                  <w:tcW w:w="960" w:type="dxa"/>
                  <w:vMerge w:val="restart"/>
                  <w:vAlign w:val="center"/>
                </w:tcPr>
                <w:p>
                  <w:pPr>
                    <w:adjustRightInd w:val="0"/>
                    <w:snapToGrid w:val="0"/>
                    <w:jc w:val="center"/>
                    <w:rPr>
                      <w:b/>
                      <w:bCs/>
                      <w:sz w:val="21"/>
                      <w:szCs w:val="21"/>
                    </w:rPr>
                  </w:pPr>
                  <w:r>
                    <w:rPr>
                      <w:rFonts w:hint="eastAsia"/>
                      <w:kern w:val="0"/>
                      <w:sz w:val="21"/>
                      <w:szCs w:val="21"/>
                    </w:rPr>
                    <w:t>废水</w:t>
                  </w:r>
                </w:p>
              </w:tc>
              <w:tc>
                <w:tcPr>
                  <w:tcW w:w="1635" w:type="dxa"/>
                  <w:vAlign w:val="center"/>
                </w:tcPr>
                <w:p>
                  <w:pPr>
                    <w:jc w:val="center"/>
                    <w:rPr>
                      <w:b/>
                      <w:bCs/>
                      <w:sz w:val="21"/>
                      <w:szCs w:val="21"/>
                    </w:rPr>
                  </w:pPr>
                  <w:r>
                    <w:rPr>
                      <w:rFonts w:hint="eastAsia"/>
                      <w:kern w:val="0"/>
                      <w:sz w:val="21"/>
                      <w:szCs w:val="21"/>
                    </w:rPr>
                    <w:t>生活污水</w:t>
                  </w:r>
                </w:p>
              </w:tc>
              <w:tc>
                <w:tcPr>
                  <w:tcW w:w="3975" w:type="dxa"/>
                  <w:vAlign w:val="center"/>
                </w:tcPr>
                <w:p>
                  <w:pPr>
                    <w:adjustRightInd w:val="0"/>
                    <w:snapToGrid w:val="0"/>
                    <w:jc w:val="center"/>
                    <w:rPr>
                      <w:kern w:val="0"/>
                      <w:sz w:val="21"/>
                      <w:szCs w:val="21"/>
                    </w:rPr>
                  </w:pPr>
                  <w:r>
                    <w:rPr>
                      <w:rFonts w:hint="eastAsia"/>
                      <w:kern w:val="0"/>
                      <w:sz w:val="21"/>
                      <w:szCs w:val="21"/>
                    </w:rPr>
                    <w:t>隔油池+化粪池</w:t>
                  </w:r>
                </w:p>
              </w:tc>
              <w:tc>
                <w:tcPr>
                  <w:tcW w:w="697" w:type="dxa"/>
                  <w:vAlign w:val="center"/>
                </w:tcPr>
                <w:p>
                  <w:pPr>
                    <w:adjustRightInd w:val="0"/>
                    <w:snapToGrid w:val="0"/>
                    <w:jc w:val="center"/>
                    <w:rPr>
                      <w:kern w:val="0"/>
                      <w:sz w:val="21"/>
                      <w:szCs w:val="21"/>
                    </w:rPr>
                  </w:pPr>
                  <w:r>
                    <w:rPr>
                      <w:rFonts w:hint="eastAsia"/>
                      <w:bCs/>
                      <w:kern w:val="0"/>
                      <w:sz w:val="21"/>
                      <w:szCs w:val="21"/>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vAlign w:val="center"/>
                </w:tcPr>
                <w:p>
                  <w:pPr>
                    <w:adjustRightInd w:val="0"/>
                    <w:snapToGrid w:val="0"/>
                    <w:jc w:val="center"/>
                    <w:rPr>
                      <w:sz w:val="21"/>
                      <w:szCs w:val="21"/>
                    </w:rPr>
                  </w:pPr>
                </w:p>
              </w:tc>
              <w:tc>
                <w:tcPr>
                  <w:tcW w:w="960" w:type="dxa"/>
                  <w:vMerge w:val="continue"/>
                  <w:vAlign w:val="center"/>
                </w:tcPr>
                <w:p>
                  <w:pPr>
                    <w:adjustRightInd w:val="0"/>
                    <w:snapToGrid w:val="0"/>
                    <w:jc w:val="center"/>
                    <w:rPr>
                      <w:kern w:val="0"/>
                      <w:sz w:val="21"/>
                      <w:szCs w:val="21"/>
                    </w:rPr>
                  </w:pPr>
                </w:p>
              </w:tc>
              <w:tc>
                <w:tcPr>
                  <w:tcW w:w="1635" w:type="dxa"/>
                  <w:vAlign w:val="center"/>
                </w:tcPr>
                <w:p>
                  <w:pPr>
                    <w:jc w:val="center"/>
                    <w:rPr>
                      <w:kern w:val="0"/>
                      <w:sz w:val="21"/>
                      <w:szCs w:val="21"/>
                    </w:rPr>
                  </w:pPr>
                  <w:r>
                    <w:rPr>
                      <w:rFonts w:hint="eastAsia"/>
                      <w:kern w:val="0"/>
                      <w:sz w:val="21"/>
                      <w:szCs w:val="21"/>
                    </w:rPr>
                    <w:t>设备及地面清洗废水</w:t>
                  </w:r>
                </w:p>
              </w:tc>
              <w:tc>
                <w:tcPr>
                  <w:tcW w:w="3975" w:type="dxa"/>
                  <w:vAlign w:val="center"/>
                </w:tcPr>
                <w:p>
                  <w:pPr>
                    <w:adjustRightInd w:val="0"/>
                    <w:snapToGrid w:val="0"/>
                    <w:jc w:val="center"/>
                    <w:rPr>
                      <w:bCs/>
                      <w:kern w:val="0"/>
                      <w:sz w:val="21"/>
                      <w:szCs w:val="21"/>
                      <w:lang w:bidi="ar"/>
                    </w:rPr>
                  </w:pPr>
                  <w:r>
                    <w:rPr>
                      <w:rFonts w:hint="eastAsia"/>
                      <w:bCs/>
                      <w:kern w:val="0"/>
                      <w:sz w:val="21"/>
                      <w:szCs w:val="21"/>
                      <w:lang w:bidi="ar"/>
                    </w:rPr>
                    <w:t>沉淀池</w:t>
                  </w:r>
                </w:p>
              </w:tc>
              <w:tc>
                <w:tcPr>
                  <w:tcW w:w="697" w:type="dxa"/>
                  <w:vAlign w:val="center"/>
                </w:tcPr>
                <w:p>
                  <w:pPr>
                    <w:adjustRightInd w:val="0"/>
                    <w:snapToGrid w:val="0"/>
                    <w:jc w:val="center"/>
                    <w:rPr>
                      <w:rFonts w:hint="eastAsia" w:eastAsia="宋体"/>
                      <w:bCs/>
                      <w:kern w:val="0"/>
                      <w:sz w:val="21"/>
                      <w:szCs w:val="21"/>
                      <w:lang w:val="en-US" w:eastAsia="zh-CN" w:bidi="ar"/>
                    </w:rPr>
                  </w:pPr>
                  <w:r>
                    <w:rPr>
                      <w:rFonts w:hint="eastAsia"/>
                      <w:bCs/>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9" w:type="dxa"/>
                  <w:vAlign w:val="center"/>
                </w:tcPr>
                <w:p>
                  <w:pPr>
                    <w:adjustRightInd w:val="0"/>
                    <w:snapToGrid w:val="0"/>
                    <w:jc w:val="center"/>
                    <w:rPr>
                      <w:sz w:val="21"/>
                      <w:szCs w:val="21"/>
                    </w:rPr>
                  </w:pPr>
                  <w:r>
                    <w:rPr>
                      <w:rFonts w:hint="eastAsia"/>
                      <w:sz w:val="21"/>
                      <w:szCs w:val="21"/>
                    </w:rPr>
                    <w:t>3</w:t>
                  </w:r>
                </w:p>
              </w:tc>
              <w:tc>
                <w:tcPr>
                  <w:tcW w:w="960" w:type="dxa"/>
                  <w:vAlign w:val="center"/>
                </w:tcPr>
                <w:p>
                  <w:pPr>
                    <w:jc w:val="center"/>
                    <w:rPr>
                      <w:kern w:val="0"/>
                      <w:sz w:val="21"/>
                      <w:szCs w:val="21"/>
                    </w:rPr>
                  </w:pPr>
                  <w:r>
                    <w:rPr>
                      <w:rFonts w:hint="eastAsia"/>
                      <w:kern w:val="0"/>
                      <w:sz w:val="21"/>
                      <w:szCs w:val="21"/>
                    </w:rPr>
                    <w:t>噪声</w:t>
                  </w:r>
                </w:p>
              </w:tc>
              <w:tc>
                <w:tcPr>
                  <w:tcW w:w="1635" w:type="dxa"/>
                  <w:vAlign w:val="center"/>
                </w:tcPr>
                <w:p>
                  <w:pPr>
                    <w:jc w:val="center"/>
                    <w:rPr>
                      <w:b/>
                      <w:bCs/>
                      <w:sz w:val="21"/>
                      <w:szCs w:val="21"/>
                    </w:rPr>
                  </w:pPr>
                  <w:r>
                    <w:rPr>
                      <w:rFonts w:hint="eastAsia"/>
                      <w:kern w:val="0"/>
                      <w:sz w:val="21"/>
                      <w:szCs w:val="21"/>
                    </w:rPr>
                    <w:t>设备运转、噪声</w:t>
                  </w:r>
                </w:p>
              </w:tc>
              <w:tc>
                <w:tcPr>
                  <w:tcW w:w="3975" w:type="dxa"/>
                  <w:vAlign w:val="center"/>
                </w:tcPr>
                <w:p>
                  <w:pPr>
                    <w:adjustRightInd w:val="0"/>
                    <w:snapToGrid w:val="0"/>
                    <w:jc w:val="center"/>
                    <w:rPr>
                      <w:kern w:val="0"/>
                      <w:sz w:val="21"/>
                      <w:szCs w:val="21"/>
                    </w:rPr>
                  </w:pPr>
                  <w:r>
                    <w:rPr>
                      <w:rFonts w:hint="eastAsia"/>
                      <w:kern w:val="0"/>
                      <w:sz w:val="21"/>
                      <w:szCs w:val="21"/>
                    </w:rPr>
                    <w:t>减振、隔声</w:t>
                  </w:r>
                </w:p>
              </w:tc>
              <w:tc>
                <w:tcPr>
                  <w:tcW w:w="697" w:type="dxa"/>
                  <w:vAlign w:val="center"/>
                </w:tcPr>
                <w:p>
                  <w:pPr>
                    <w:adjustRightInd w:val="0"/>
                    <w:snapToGrid w:val="0"/>
                    <w:jc w:val="center"/>
                    <w:rPr>
                      <w:rFonts w:hint="eastAsia" w:eastAsia="宋体"/>
                      <w:kern w:val="0"/>
                      <w:sz w:val="21"/>
                      <w:szCs w:val="21"/>
                      <w:lang w:eastAsia="zh-CN"/>
                    </w:rPr>
                  </w:pPr>
                  <w:r>
                    <w:rPr>
                      <w:rFonts w:hint="eastAsia"/>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restart"/>
                  <w:vAlign w:val="center"/>
                </w:tcPr>
                <w:p>
                  <w:pPr>
                    <w:adjustRightInd w:val="0"/>
                    <w:snapToGrid w:val="0"/>
                    <w:jc w:val="center"/>
                    <w:rPr>
                      <w:sz w:val="21"/>
                      <w:szCs w:val="21"/>
                    </w:rPr>
                  </w:pPr>
                  <w:r>
                    <w:rPr>
                      <w:rFonts w:hint="eastAsia"/>
                      <w:sz w:val="21"/>
                      <w:szCs w:val="21"/>
                    </w:rPr>
                    <w:t>4</w:t>
                  </w:r>
                </w:p>
              </w:tc>
              <w:tc>
                <w:tcPr>
                  <w:tcW w:w="960" w:type="dxa"/>
                  <w:vMerge w:val="restart"/>
                  <w:vAlign w:val="center"/>
                </w:tcPr>
                <w:p>
                  <w:pPr>
                    <w:jc w:val="center"/>
                    <w:rPr>
                      <w:kern w:val="0"/>
                      <w:sz w:val="21"/>
                      <w:szCs w:val="21"/>
                    </w:rPr>
                  </w:pPr>
                  <w:r>
                    <w:rPr>
                      <w:rFonts w:hint="eastAsia"/>
                      <w:kern w:val="0"/>
                      <w:sz w:val="21"/>
                      <w:szCs w:val="21"/>
                    </w:rPr>
                    <w:t>固废</w:t>
                  </w:r>
                </w:p>
              </w:tc>
              <w:tc>
                <w:tcPr>
                  <w:tcW w:w="1635" w:type="dxa"/>
                  <w:vAlign w:val="center"/>
                </w:tcPr>
                <w:p>
                  <w:pPr>
                    <w:jc w:val="center"/>
                    <w:rPr>
                      <w:color w:val="000000"/>
                      <w:sz w:val="21"/>
                      <w:szCs w:val="21"/>
                    </w:rPr>
                  </w:pPr>
                  <w:r>
                    <w:rPr>
                      <w:color w:val="000000"/>
                      <w:sz w:val="21"/>
                      <w:szCs w:val="21"/>
                      <w:lang w:bidi="ar"/>
                    </w:rPr>
                    <w:t>员工生活垃圾</w:t>
                  </w:r>
                </w:p>
              </w:tc>
              <w:tc>
                <w:tcPr>
                  <w:tcW w:w="3975" w:type="dxa"/>
                  <w:vAlign w:val="center"/>
                </w:tcPr>
                <w:p>
                  <w:pPr>
                    <w:jc w:val="center"/>
                    <w:rPr>
                      <w:color w:val="000000"/>
                      <w:sz w:val="21"/>
                      <w:szCs w:val="21"/>
                    </w:rPr>
                  </w:pPr>
                  <w:r>
                    <w:rPr>
                      <w:color w:val="000000"/>
                      <w:sz w:val="21"/>
                      <w:szCs w:val="21"/>
                      <w:lang w:bidi="ar"/>
                    </w:rPr>
                    <w:t>环卫部门清运</w:t>
                  </w:r>
                </w:p>
              </w:tc>
              <w:tc>
                <w:tcPr>
                  <w:tcW w:w="697" w:type="dxa"/>
                  <w:vMerge w:val="restart"/>
                  <w:vAlign w:val="center"/>
                </w:tcPr>
                <w:p>
                  <w:pPr>
                    <w:adjustRightInd w:val="0"/>
                    <w:snapToGrid w:val="0"/>
                    <w:jc w:val="center"/>
                    <w:rPr>
                      <w:rFonts w:hint="eastAsia" w:eastAsia="宋体"/>
                      <w:kern w:val="0"/>
                      <w:sz w:val="21"/>
                      <w:szCs w:val="21"/>
                      <w:lang w:eastAsia="zh-CN"/>
                    </w:rPr>
                  </w:pPr>
                  <w:r>
                    <w:rPr>
                      <w:rFonts w:hint="eastAsia"/>
                      <w:kern w:val="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79" w:type="dxa"/>
                  <w:vMerge w:val="continue"/>
                  <w:vAlign w:val="center"/>
                </w:tcPr>
                <w:p>
                  <w:pPr>
                    <w:adjustRightInd w:val="0"/>
                    <w:snapToGrid w:val="0"/>
                    <w:jc w:val="center"/>
                    <w:rPr>
                      <w:sz w:val="21"/>
                      <w:szCs w:val="21"/>
                    </w:rPr>
                  </w:pPr>
                </w:p>
              </w:tc>
              <w:tc>
                <w:tcPr>
                  <w:tcW w:w="960" w:type="dxa"/>
                  <w:vMerge w:val="continue"/>
                  <w:vAlign w:val="center"/>
                </w:tcPr>
                <w:p>
                  <w:pPr>
                    <w:jc w:val="center"/>
                    <w:rPr>
                      <w:kern w:val="0"/>
                      <w:sz w:val="21"/>
                      <w:szCs w:val="21"/>
                    </w:rPr>
                  </w:pPr>
                </w:p>
              </w:tc>
              <w:tc>
                <w:tcPr>
                  <w:tcW w:w="1635" w:type="dxa"/>
                  <w:vAlign w:val="center"/>
                </w:tcPr>
                <w:p>
                  <w:pPr>
                    <w:jc w:val="center"/>
                    <w:rPr>
                      <w:sz w:val="21"/>
                      <w:szCs w:val="21"/>
                    </w:rPr>
                  </w:pPr>
                  <w:r>
                    <w:rPr>
                      <w:sz w:val="21"/>
                      <w:szCs w:val="21"/>
                    </w:rPr>
                    <w:t>不合格产品</w:t>
                  </w:r>
                </w:p>
              </w:tc>
              <w:tc>
                <w:tcPr>
                  <w:tcW w:w="3975" w:type="dxa"/>
                  <w:vAlign w:val="center"/>
                </w:tcPr>
                <w:p>
                  <w:pPr>
                    <w:jc w:val="center"/>
                    <w:rPr>
                      <w:sz w:val="21"/>
                      <w:szCs w:val="21"/>
                    </w:rPr>
                  </w:pPr>
                  <w:r>
                    <w:rPr>
                      <w:sz w:val="21"/>
                      <w:szCs w:val="21"/>
                    </w:rPr>
                    <w:t>外售至物资回收公司</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79" w:type="dxa"/>
                  <w:vMerge w:val="continue"/>
                  <w:vAlign w:val="center"/>
                </w:tcPr>
                <w:p>
                  <w:pPr>
                    <w:adjustRightInd w:val="0"/>
                    <w:snapToGrid w:val="0"/>
                    <w:jc w:val="center"/>
                    <w:rPr>
                      <w:sz w:val="21"/>
                      <w:szCs w:val="21"/>
                    </w:rPr>
                  </w:pPr>
                </w:p>
              </w:tc>
              <w:tc>
                <w:tcPr>
                  <w:tcW w:w="960" w:type="dxa"/>
                  <w:vMerge w:val="continue"/>
                  <w:vAlign w:val="center"/>
                </w:tcPr>
                <w:p>
                  <w:pPr>
                    <w:jc w:val="center"/>
                    <w:rPr>
                      <w:kern w:val="0"/>
                      <w:sz w:val="21"/>
                      <w:szCs w:val="21"/>
                    </w:rPr>
                  </w:pPr>
                </w:p>
              </w:tc>
              <w:tc>
                <w:tcPr>
                  <w:tcW w:w="1635" w:type="dxa"/>
                  <w:vAlign w:val="center"/>
                </w:tcPr>
                <w:p>
                  <w:pPr>
                    <w:jc w:val="center"/>
                    <w:rPr>
                      <w:rFonts w:hint="default" w:eastAsia="宋体"/>
                      <w:sz w:val="21"/>
                      <w:szCs w:val="21"/>
                      <w:lang w:val="en-US" w:eastAsia="zh-CN"/>
                    </w:rPr>
                  </w:pPr>
                  <w:r>
                    <w:rPr>
                      <w:rFonts w:hint="eastAsia"/>
                      <w:sz w:val="21"/>
                      <w:szCs w:val="21"/>
                      <w:lang w:val="en-US" w:eastAsia="zh-CN"/>
                    </w:rPr>
                    <w:t>废钢丝条</w:t>
                  </w:r>
                </w:p>
              </w:tc>
              <w:tc>
                <w:tcPr>
                  <w:tcW w:w="3975" w:type="dxa"/>
                  <w:vAlign w:val="center"/>
                </w:tcPr>
                <w:p>
                  <w:pPr>
                    <w:jc w:val="center"/>
                    <w:rPr>
                      <w:sz w:val="21"/>
                      <w:szCs w:val="21"/>
                    </w:rPr>
                  </w:pPr>
                  <w:r>
                    <w:rPr>
                      <w:sz w:val="21"/>
                      <w:szCs w:val="21"/>
                    </w:rPr>
                    <w:t>外售至物资回收公司</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vMerge w:val="continue"/>
                  <w:vAlign w:val="center"/>
                </w:tcPr>
                <w:p>
                  <w:pPr>
                    <w:adjustRightInd w:val="0"/>
                    <w:snapToGrid w:val="0"/>
                    <w:jc w:val="center"/>
                    <w:rPr>
                      <w:sz w:val="21"/>
                      <w:szCs w:val="21"/>
                    </w:rPr>
                  </w:pPr>
                </w:p>
              </w:tc>
              <w:tc>
                <w:tcPr>
                  <w:tcW w:w="960" w:type="dxa"/>
                  <w:vMerge w:val="continue"/>
                  <w:vAlign w:val="center"/>
                </w:tcPr>
                <w:p>
                  <w:pPr>
                    <w:jc w:val="center"/>
                    <w:rPr>
                      <w:kern w:val="0"/>
                      <w:sz w:val="21"/>
                      <w:szCs w:val="21"/>
                    </w:rPr>
                  </w:pPr>
                </w:p>
              </w:tc>
              <w:tc>
                <w:tcPr>
                  <w:tcW w:w="1635" w:type="dxa"/>
                  <w:vAlign w:val="center"/>
                </w:tcPr>
                <w:p>
                  <w:pPr>
                    <w:jc w:val="center"/>
                    <w:rPr>
                      <w:sz w:val="21"/>
                      <w:szCs w:val="21"/>
                    </w:rPr>
                  </w:pPr>
                  <w:r>
                    <w:rPr>
                      <w:rFonts w:hint="eastAsia"/>
                      <w:sz w:val="21"/>
                      <w:szCs w:val="21"/>
                    </w:rPr>
                    <w:t>废边角料</w:t>
                  </w:r>
                </w:p>
              </w:tc>
              <w:tc>
                <w:tcPr>
                  <w:tcW w:w="3975" w:type="dxa"/>
                  <w:vAlign w:val="center"/>
                </w:tcPr>
                <w:p>
                  <w:pPr>
                    <w:jc w:val="center"/>
                    <w:rPr>
                      <w:sz w:val="21"/>
                      <w:szCs w:val="21"/>
                    </w:rPr>
                  </w:pPr>
                  <w:r>
                    <w:rPr>
                      <w:rFonts w:hint="eastAsia"/>
                      <w:sz w:val="21"/>
                      <w:szCs w:val="21"/>
                    </w:rPr>
                    <w:t>回用于生产</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vAlign w:val="center"/>
                </w:tcPr>
                <w:p>
                  <w:pPr>
                    <w:adjustRightInd w:val="0"/>
                    <w:snapToGrid w:val="0"/>
                    <w:jc w:val="center"/>
                    <w:rPr>
                      <w:sz w:val="21"/>
                      <w:szCs w:val="21"/>
                    </w:rPr>
                  </w:pPr>
                </w:p>
              </w:tc>
              <w:tc>
                <w:tcPr>
                  <w:tcW w:w="960" w:type="dxa"/>
                  <w:vMerge w:val="continue"/>
                  <w:vAlign w:val="center"/>
                </w:tcPr>
                <w:p>
                  <w:pPr>
                    <w:jc w:val="center"/>
                    <w:rPr>
                      <w:kern w:val="0"/>
                      <w:sz w:val="21"/>
                      <w:szCs w:val="21"/>
                    </w:rPr>
                  </w:pPr>
                </w:p>
              </w:tc>
              <w:tc>
                <w:tcPr>
                  <w:tcW w:w="1635" w:type="dxa"/>
                  <w:vAlign w:val="center"/>
                </w:tcPr>
                <w:p>
                  <w:pPr>
                    <w:jc w:val="center"/>
                    <w:rPr>
                      <w:sz w:val="21"/>
                      <w:szCs w:val="21"/>
                    </w:rPr>
                  </w:pPr>
                  <w:r>
                    <w:rPr>
                      <w:rFonts w:hint="eastAsia"/>
                      <w:sz w:val="21"/>
                      <w:szCs w:val="21"/>
                    </w:rPr>
                    <w:t>沉淀池底泥</w:t>
                  </w:r>
                </w:p>
              </w:tc>
              <w:tc>
                <w:tcPr>
                  <w:tcW w:w="3975" w:type="dxa"/>
                  <w:vAlign w:val="center"/>
                </w:tcPr>
                <w:p>
                  <w:pPr>
                    <w:jc w:val="center"/>
                    <w:rPr>
                      <w:sz w:val="21"/>
                      <w:szCs w:val="21"/>
                    </w:rPr>
                  </w:pPr>
                  <w:r>
                    <w:rPr>
                      <w:rFonts w:hint="eastAsia"/>
                      <w:sz w:val="21"/>
                      <w:szCs w:val="21"/>
                    </w:rPr>
                    <w:t>回用于生产</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vAlign w:val="center"/>
                </w:tcPr>
                <w:p>
                  <w:pPr>
                    <w:adjustRightInd w:val="0"/>
                    <w:snapToGrid w:val="0"/>
                    <w:jc w:val="center"/>
                    <w:rPr>
                      <w:sz w:val="21"/>
                      <w:szCs w:val="21"/>
                    </w:rPr>
                  </w:pPr>
                </w:p>
              </w:tc>
              <w:tc>
                <w:tcPr>
                  <w:tcW w:w="960" w:type="dxa"/>
                  <w:vMerge w:val="continue"/>
                  <w:vAlign w:val="center"/>
                </w:tcPr>
                <w:p>
                  <w:pPr>
                    <w:jc w:val="center"/>
                    <w:rPr>
                      <w:kern w:val="0"/>
                      <w:sz w:val="21"/>
                      <w:szCs w:val="21"/>
                    </w:rPr>
                  </w:pPr>
                </w:p>
              </w:tc>
              <w:tc>
                <w:tcPr>
                  <w:tcW w:w="1635" w:type="dxa"/>
                  <w:vAlign w:val="center"/>
                </w:tcPr>
                <w:p>
                  <w:pPr>
                    <w:jc w:val="center"/>
                    <w:rPr>
                      <w:sz w:val="21"/>
                      <w:szCs w:val="21"/>
                    </w:rPr>
                  </w:pPr>
                  <w:r>
                    <w:rPr>
                      <w:rFonts w:hint="eastAsia"/>
                      <w:sz w:val="21"/>
                      <w:szCs w:val="21"/>
                    </w:rPr>
                    <w:t>收集的粉尘</w:t>
                  </w:r>
                </w:p>
              </w:tc>
              <w:tc>
                <w:tcPr>
                  <w:tcW w:w="3975" w:type="dxa"/>
                  <w:vAlign w:val="center"/>
                </w:tcPr>
                <w:p>
                  <w:pPr>
                    <w:jc w:val="center"/>
                    <w:rPr>
                      <w:sz w:val="21"/>
                      <w:szCs w:val="21"/>
                    </w:rPr>
                  </w:pPr>
                  <w:r>
                    <w:rPr>
                      <w:rFonts w:hint="eastAsia"/>
                      <w:sz w:val="21"/>
                      <w:szCs w:val="21"/>
                    </w:rPr>
                    <w:t>回用于生产</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vAlign w:val="center"/>
                </w:tcPr>
                <w:p>
                  <w:pPr>
                    <w:adjustRightInd w:val="0"/>
                    <w:snapToGrid w:val="0"/>
                    <w:jc w:val="center"/>
                    <w:rPr>
                      <w:sz w:val="21"/>
                      <w:szCs w:val="21"/>
                    </w:rPr>
                  </w:pPr>
                </w:p>
              </w:tc>
              <w:tc>
                <w:tcPr>
                  <w:tcW w:w="960" w:type="dxa"/>
                  <w:vMerge w:val="continue"/>
                  <w:vAlign w:val="center"/>
                </w:tcPr>
                <w:p>
                  <w:pPr>
                    <w:jc w:val="center"/>
                    <w:rPr>
                      <w:kern w:val="0"/>
                      <w:sz w:val="21"/>
                      <w:szCs w:val="21"/>
                    </w:rPr>
                  </w:pPr>
                </w:p>
              </w:tc>
              <w:tc>
                <w:tcPr>
                  <w:tcW w:w="1635" w:type="dxa"/>
                  <w:vAlign w:val="center"/>
                </w:tcPr>
                <w:p>
                  <w:pPr>
                    <w:jc w:val="center"/>
                    <w:rPr>
                      <w:rFonts w:hint="eastAsia" w:eastAsia="宋体"/>
                      <w:sz w:val="21"/>
                      <w:szCs w:val="21"/>
                      <w:lang w:val="en-US" w:eastAsia="zh-CN"/>
                    </w:rPr>
                  </w:pPr>
                  <w:r>
                    <w:rPr>
                      <w:rFonts w:hint="eastAsia"/>
                      <w:sz w:val="21"/>
                      <w:szCs w:val="21"/>
                      <w:lang w:val="en-US" w:eastAsia="zh-CN"/>
                    </w:rPr>
                    <w:t>废机油</w:t>
                  </w:r>
                </w:p>
              </w:tc>
              <w:tc>
                <w:tcPr>
                  <w:tcW w:w="3975" w:type="dxa"/>
                  <w:vAlign w:val="center"/>
                </w:tcPr>
                <w:p>
                  <w:pPr>
                    <w:jc w:val="center"/>
                    <w:rPr>
                      <w:rFonts w:hint="default" w:eastAsia="宋体"/>
                      <w:sz w:val="21"/>
                      <w:szCs w:val="21"/>
                      <w:lang w:val="en-US" w:eastAsia="zh-CN"/>
                    </w:rPr>
                  </w:pPr>
                  <w:r>
                    <w:rPr>
                      <w:rFonts w:hint="eastAsia"/>
                      <w:sz w:val="21"/>
                      <w:szCs w:val="21"/>
                      <w:lang w:val="en-US" w:eastAsia="zh-CN"/>
                    </w:rPr>
                    <w:t>暂存于危废间，委托有资质单位处理</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Merge w:val="continue"/>
                  <w:vAlign w:val="center"/>
                </w:tcPr>
                <w:p>
                  <w:pPr>
                    <w:adjustRightInd w:val="0"/>
                    <w:snapToGrid w:val="0"/>
                    <w:jc w:val="center"/>
                    <w:rPr>
                      <w:sz w:val="21"/>
                      <w:szCs w:val="21"/>
                    </w:rPr>
                  </w:pPr>
                </w:p>
              </w:tc>
              <w:tc>
                <w:tcPr>
                  <w:tcW w:w="960" w:type="dxa"/>
                  <w:vMerge w:val="continue"/>
                  <w:vAlign w:val="center"/>
                </w:tcPr>
                <w:p>
                  <w:pPr>
                    <w:jc w:val="center"/>
                    <w:rPr>
                      <w:kern w:val="0"/>
                      <w:sz w:val="21"/>
                      <w:szCs w:val="21"/>
                    </w:rPr>
                  </w:pPr>
                </w:p>
              </w:tc>
              <w:tc>
                <w:tcPr>
                  <w:tcW w:w="1635" w:type="dxa"/>
                  <w:vAlign w:val="center"/>
                </w:tcPr>
                <w:p>
                  <w:pPr>
                    <w:jc w:val="center"/>
                    <w:rPr>
                      <w:rFonts w:hint="default" w:eastAsia="宋体"/>
                      <w:sz w:val="21"/>
                      <w:szCs w:val="21"/>
                      <w:lang w:val="en-US" w:eastAsia="zh-CN"/>
                    </w:rPr>
                  </w:pPr>
                  <w:r>
                    <w:rPr>
                      <w:rFonts w:hint="eastAsia"/>
                      <w:sz w:val="21"/>
                      <w:szCs w:val="21"/>
                      <w:lang w:val="en-US" w:eastAsia="zh-CN"/>
                    </w:rPr>
                    <w:t>废机油桶</w:t>
                  </w:r>
                </w:p>
              </w:tc>
              <w:tc>
                <w:tcPr>
                  <w:tcW w:w="3975" w:type="dxa"/>
                  <w:vAlign w:val="center"/>
                </w:tcPr>
                <w:p>
                  <w:pPr>
                    <w:jc w:val="center"/>
                    <w:rPr>
                      <w:rFonts w:hint="eastAsia"/>
                      <w:sz w:val="21"/>
                      <w:szCs w:val="21"/>
                    </w:rPr>
                  </w:pPr>
                  <w:r>
                    <w:rPr>
                      <w:rFonts w:hint="eastAsia"/>
                      <w:sz w:val="21"/>
                      <w:szCs w:val="21"/>
                      <w:lang w:val="en-US" w:eastAsia="zh-CN"/>
                    </w:rPr>
                    <w:t>暂存于危废间，委托有资质单位处理</w:t>
                  </w:r>
                </w:p>
              </w:tc>
              <w:tc>
                <w:tcPr>
                  <w:tcW w:w="697" w:type="dxa"/>
                  <w:vMerge w:val="continue"/>
                </w:tcPr>
                <w:p>
                  <w:pPr>
                    <w:adjustRightInd w:val="0"/>
                    <w:snapToGrid w:val="0"/>
                    <w:jc w:val="center"/>
                    <w:rPr>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sz w:val="21"/>
                      <w:szCs w:val="21"/>
                    </w:rPr>
                  </w:pPr>
                  <w:r>
                    <w:rPr>
                      <w:rFonts w:hint="eastAsia"/>
                      <w:sz w:val="21"/>
                      <w:szCs w:val="21"/>
                    </w:rPr>
                    <w:t>5</w:t>
                  </w:r>
                </w:p>
              </w:tc>
              <w:tc>
                <w:tcPr>
                  <w:tcW w:w="960" w:type="dxa"/>
                  <w:vAlign w:val="center"/>
                </w:tcPr>
                <w:p>
                  <w:pPr>
                    <w:adjustRightInd w:val="0"/>
                    <w:snapToGrid w:val="0"/>
                    <w:jc w:val="center"/>
                    <w:rPr>
                      <w:sz w:val="21"/>
                      <w:szCs w:val="21"/>
                    </w:rPr>
                  </w:pPr>
                  <w:r>
                    <w:rPr>
                      <w:rFonts w:hint="eastAsia"/>
                      <w:sz w:val="21"/>
                      <w:szCs w:val="21"/>
                    </w:rPr>
                    <w:t>地下水防渗</w:t>
                  </w:r>
                </w:p>
              </w:tc>
              <w:tc>
                <w:tcPr>
                  <w:tcW w:w="1635" w:type="dxa"/>
                  <w:vAlign w:val="center"/>
                </w:tcPr>
                <w:p>
                  <w:pPr>
                    <w:adjustRightInd w:val="0"/>
                    <w:snapToGrid w:val="0"/>
                    <w:jc w:val="center"/>
                    <w:rPr>
                      <w:kern w:val="0"/>
                      <w:sz w:val="21"/>
                      <w:szCs w:val="21"/>
                    </w:rPr>
                  </w:pPr>
                  <w:r>
                    <w:rPr>
                      <w:rFonts w:hint="eastAsia"/>
                      <w:kern w:val="0"/>
                      <w:sz w:val="21"/>
                      <w:szCs w:val="21"/>
                    </w:rPr>
                    <w:t>/</w:t>
                  </w:r>
                </w:p>
              </w:tc>
              <w:tc>
                <w:tcPr>
                  <w:tcW w:w="3975" w:type="dxa"/>
                  <w:vAlign w:val="center"/>
                </w:tcPr>
                <w:p>
                  <w:pPr>
                    <w:adjustRightInd w:val="0"/>
                    <w:snapToGrid w:val="0"/>
                    <w:jc w:val="center"/>
                    <w:rPr>
                      <w:kern w:val="0"/>
                      <w:sz w:val="21"/>
                      <w:szCs w:val="21"/>
                    </w:rPr>
                  </w:pPr>
                  <w:r>
                    <w:rPr>
                      <w:rFonts w:hint="eastAsia"/>
                      <w:kern w:val="0"/>
                      <w:sz w:val="21"/>
                      <w:szCs w:val="21"/>
                    </w:rPr>
                    <w:t>隔油池、化粪池、沉淀池进行重点防渗；生产区、一般固废暂存间、存储区等进行一般防渗；</w:t>
                  </w:r>
                  <w:r>
                    <w:rPr>
                      <w:sz w:val="21"/>
                      <w:szCs w:val="21"/>
                    </w:rPr>
                    <w:t>办公区</w:t>
                  </w:r>
                  <w:r>
                    <w:rPr>
                      <w:rFonts w:hint="eastAsia"/>
                      <w:sz w:val="21"/>
                      <w:szCs w:val="21"/>
                    </w:rPr>
                    <w:t>进行简单防渗</w:t>
                  </w:r>
                </w:p>
              </w:tc>
              <w:tc>
                <w:tcPr>
                  <w:tcW w:w="697" w:type="dxa"/>
                  <w:vAlign w:val="center"/>
                </w:tcPr>
                <w:p>
                  <w:pPr>
                    <w:adjustRightInd w:val="0"/>
                    <w:snapToGrid w:val="0"/>
                    <w:jc w:val="center"/>
                    <w:rPr>
                      <w:rFonts w:hint="eastAsia" w:eastAsia="宋体"/>
                      <w:kern w:val="0"/>
                      <w:sz w:val="21"/>
                      <w:szCs w:val="21"/>
                      <w:lang w:eastAsia="zh-CN"/>
                    </w:rPr>
                  </w:pPr>
                  <w:r>
                    <w:rPr>
                      <w:rFonts w:hint="eastAsia"/>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9" w:type="dxa"/>
                  <w:vAlign w:val="center"/>
                </w:tcPr>
                <w:p>
                  <w:pPr>
                    <w:adjustRightInd w:val="0"/>
                    <w:snapToGrid w:val="0"/>
                    <w:jc w:val="center"/>
                    <w:rPr>
                      <w:sz w:val="21"/>
                      <w:szCs w:val="21"/>
                    </w:rPr>
                  </w:pPr>
                  <w:r>
                    <w:rPr>
                      <w:rFonts w:hint="eastAsia"/>
                      <w:sz w:val="21"/>
                      <w:szCs w:val="21"/>
                    </w:rPr>
                    <w:t>6</w:t>
                  </w:r>
                </w:p>
              </w:tc>
              <w:tc>
                <w:tcPr>
                  <w:tcW w:w="6570" w:type="dxa"/>
                  <w:gridSpan w:val="3"/>
                  <w:vAlign w:val="center"/>
                </w:tcPr>
                <w:p>
                  <w:pPr>
                    <w:adjustRightInd w:val="0"/>
                    <w:snapToGrid w:val="0"/>
                    <w:jc w:val="center"/>
                    <w:rPr>
                      <w:kern w:val="0"/>
                      <w:sz w:val="21"/>
                      <w:szCs w:val="21"/>
                    </w:rPr>
                  </w:pPr>
                  <w:r>
                    <w:rPr>
                      <w:rFonts w:hint="eastAsia"/>
                      <w:kern w:val="0"/>
                      <w:sz w:val="21"/>
                      <w:szCs w:val="21"/>
                    </w:rPr>
                    <w:t>合计</w:t>
                  </w:r>
                </w:p>
              </w:tc>
              <w:tc>
                <w:tcPr>
                  <w:tcW w:w="697" w:type="dxa"/>
                </w:tcPr>
                <w:p>
                  <w:pPr>
                    <w:adjustRightInd w:val="0"/>
                    <w:snapToGrid w:val="0"/>
                    <w:jc w:val="center"/>
                    <w:rPr>
                      <w:kern w:val="0"/>
                      <w:sz w:val="21"/>
                      <w:szCs w:val="21"/>
                    </w:rPr>
                  </w:pPr>
                  <w:r>
                    <w:rPr>
                      <w:rFonts w:hint="eastAsia"/>
                      <w:kern w:val="0"/>
                      <w:sz w:val="21"/>
                      <w:szCs w:val="21"/>
                    </w:rPr>
                    <w:t>20</w:t>
                  </w:r>
                </w:p>
              </w:tc>
            </w:tr>
          </w:tbl>
          <w:p>
            <w:pPr>
              <w:pStyle w:val="8"/>
              <w:spacing w:line="360" w:lineRule="auto"/>
              <w:ind w:firstLine="480"/>
              <w:rPr>
                <w:sz w:val="24"/>
              </w:rPr>
            </w:pPr>
          </w:p>
        </w:tc>
      </w:tr>
    </w:tbl>
    <w:p>
      <w:pPr>
        <w:adjustRightInd w:val="0"/>
        <w:snapToGrid w:val="0"/>
        <w:spacing w:line="360" w:lineRule="auto"/>
        <w:rPr>
          <w:b/>
          <w:kern w:val="0"/>
          <w:sz w:val="28"/>
          <w:szCs w:val="28"/>
        </w:rPr>
        <w:sectPr>
          <w:pgSz w:w="11907" w:h="16840"/>
          <w:pgMar w:top="1701" w:right="1531" w:bottom="2127" w:left="1531" w:header="851" w:footer="851" w:gutter="0"/>
          <w:cols w:space="720" w:num="1"/>
          <w:docGrid w:linePitch="312" w:charSpace="0"/>
        </w:sectPr>
      </w:pPr>
    </w:p>
    <w:p>
      <w:pPr>
        <w:pStyle w:val="20"/>
        <w:jc w:val="center"/>
        <w:outlineLvl w:val="0"/>
        <w:rPr>
          <w:rFonts w:ascii="Times New Roman" w:hAnsi="Times New Roman" w:eastAsia="黑体"/>
          <w:snapToGrid w:val="0"/>
          <w:sz w:val="30"/>
          <w:szCs w:val="30"/>
        </w:rPr>
      </w:pPr>
      <w:r>
        <w:rPr>
          <w:rFonts w:ascii="Times New Roman" w:hAnsi="Times New Roman"/>
          <w:snapToGrid w:val="0"/>
          <w:sz w:val="30"/>
          <w:szCs w:val="30"/>
        </w:rPr>
        <w:t>五、</w:t>
      </w:r>
      <w:bookmarkStart w:id="5" w:name="_Hlk54167917"/>
      <w:r>
        <w:rPr>
          <w:rFonts w:ascii="Times New Roman" w:hAnsi="Times New Roman"/>
          <w:snapToGrid w:val="0"/>
          <w:sz w:val="30"/>
          <w:szCs w:val="30"/>
        </w:rPr>
        <w:t>环境保护措施监督检查清单</w:t>
      </w:r>
      <w:bookmarkEnd w:id="5"/>
    </w:p>
    <w:tbl>
      <w:tblPr>
        <w:tblStyle w:val="24"/>
        <w:tblW w:w="88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27"/>
        <w:gridCol w:w="884"/>
        <w:gridCol w:w="1230"/>
        <w:gridCol w:w="1843"/>
        <w:gridCol w:w="1424"/>
        <w:gridCol w:w="19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27" w:type="dxa"/>
            <w:tcBorders>
              <w:tl2br w:val="single" w:color="auto" w:sz="4" w:space="0"/>
            </w:tcBorders>
          </w:tcPr>
          <w:p>
            <w:pPr>
              <w:adjustRightInd w:val="0"/>
              <w:snapToGrid w:val="0"/>
              <w:ind w:firstLine="840"/>
              <w:rPr>
                <w:sz w:val="21"/>
                <w:szCs w:val="21"/>
              </w:rPr>
            </w:pPr>
            <w:r>
              <w:rPr>
                <w:sz w:val="21"/>
                <w:szCs w:val="21"/>
              </w:rPr>
              <w:t>内容</w:t>
            </w:r>
          </w:p>
          <w:p>
            <w:pPr>
              <w:adjustRightInd w:val="0"/>
              <w:snapToGrid w:val="0"/>
              <w:rPr>
                <w:sz w:val="21"/>
                <w:szCs w:val="21"/>
              </w:rPr>
            </w:pPr>
            <w:r>
              <w:rPr>
                <w:sz w:val="21"/>
                <w:szCs w:val="21"/>
              </w:rPr>
              <w:t>要素</w:t>
            </w:r>
          </w:p>
        </w:tc>
        <w:tc>
          <w:tcPr>
            <w:tcW w:w="2114" w:type="dxa"/>
            <w:gridSpan w:val="2"/>
            <w:vAlign w:val="center"/>
          </w:tcPr>
          <w:p>
            <w:pPr>
              <w:adjustRightInd w:val="0"/>
              <w:snapToGrid w:val="0"/>
              <w:jc w:val="center"/>
              <w:rPr>
                <w:sz w:val="21"/>
                <w:szCs w:val="21"/>
              </w:rPr>
            </w:pPr>
            <w:r>
              <w:rPr>
                <w:sz w:val="21"/>
                <w:szCs w:val="21"/>
              </w:rPr>
              <w:t>排放口(编号、</w:t>
            </w:r>
          </w:p>
          <w:p>
            <w:pPr>
              <w:adjustRightInd w:val="0"/>
              <w:snapToGrid w:val="0"/>
              <w:jc w:val="center"/>
              <w:rPr>
                <w:sz w:val="21"/>
                <w:szCs w:val="21"/>
              </w:rPr>
            </w:pPr>
            <w:r>
              <w:rPr>
                <w:sz w:val="21"/>
                <w:szCs w:val="21"/>
              </w:rPr>
              <w:t>名称)/污染源</w:t>
            </w:r>
          </w:p>
        </w:tc>
        <w:tc>
          <w:tcPr>
            <w:tcW w:w="1843" w:type="dxa"/>
            <w:vAlign w:val="center"/>
          </w:tcPr>
          <w:p>
            <w:pPr>
              <w:adjustRightInd w:val="0"/>
              <w:snapToGrid w:val="0"/>
              <w:jc w:val="center"/>
              <w:rPr>
                <w:sz w:val="21"/>
                <w:szCs w:val="21"/>
              </w:rPr>
            </w:pPr>
            <w:r>
              <w:rPr>
                <w:sz w:val="21"/>
                <w:szCs w:val="21"/>
              </w:rPr>
              <w:t>污染物项目</w:t>
            </w:r>
          </w:p>
        </w:tc>
        <w:tc>
          <w:tcPr>
            <w:tcW w:w="1424" w:type="dxa"/>
            <w:vAlign w:val="center"/>
          </w:tcPr>
          <w:p>
            <w:pPr>
              <w:adjustRightInd w:val="0"/>
              <w:snapToGrid w:val="0"/>
              <w:jc w:val="center"/>
              <w:rPr>
                <w:sz w:val="21"/>
                <w:szCs w:val="21"/>
              </w:rPr>
            </w:pPr>
            <w:r>
              <w:rPr>
                <w:sz w:val="21"/>
                <w:szCs w:val="21"/>
              </w:rPr>
              <w:t>环境保护措施</w:t>
            </w:r>
          </w:p>
        </w:tc>
        <w:tc>
          <w:tcPr>
            <w:tcW w:w="1950" w:type="dxa"/>
            <w:vAlign w:val="center"/>
          </w:tcPr>
          <w:p>
            <w:pPr>
              <w:adjustRightInd w:val="0"/>
              <w:snapToGrid w:val="0"/>
              <w:jc w:val="center"/>
              <w:rPr>
                <w:sz w:val="21"/>
                <w:szCs w:val="21"/>
              </w:rPr>
            </w:pPr>
            <w:r>
              <w:rPr>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527" w:type="dxa"/>
            <w:vMerge w:val="restart"/>
            <w:vAlign w:val="center"/>
          </w:tcPr>
          <w:p>
            <w:pPr>
              <w:adjustRightInd w:val="0"/>
              <w:snapToGrid w:val="0"/>
              <w:jc w:val="center"/>
              <w:rPr>
                <w:sz w:val="21"/>
                <w:szCs w:val="21"/>
              </w:rPr>
            </w:pPr>
            <w:r>
              <w:rPr>
                <w:sz w:val="21"/>
                <w:szCs w:val="21"/>
              </w:rPr>
              <w:t>大气环境</w:t>
            </w:r>
          </w:p>
        </w:tc>
        <w:tc>
          <w:tcPr>
            <w:tcW w:w="884" w:type="dxa"/>
            <w:vAlign w:val="center"/>
          </w:tcPr>
          <w:p>
            <w:pPr>
              <w:adjustRightInd w:val="0"/>
              <w:snapToGrid w:val="0"/>
              <w:jc w:val="center"/>
              <w:rPr>
                <w:sz w:val="21"/>
                <w:szCs w:val="21"/>
              </w:rPr>
            </w:pPr>
            <w:r>
              <w:rPr>
                <w:rFonts w:hint="eastAsia"/>
                <w:sz w:val="21"/>
                <w:szCs w:val="21"/>
              </w:rPr>
              <w:t>无组织</w:t>
            </w:r>
          </w:p>
        </w:tc>
        <w:tc>
          <w:tcPr>
            <w:tcW w:w="1230" w:type="dxa"/>
            <w:vAlign w:val="center"/>
          </w:tcPr>
          <w:p>
            <w:pPr>
              <w:adjustRightInd w:val="0"/>
              <w:snapToGrid w:val="0"/>
              <w:jc w:val="center"/>
              <w:rPr>
                <w:sz w:val="21"/>
                <w:szCs w:val="21"/>
              </w:rPr>
            </w:pPr>
            <w:r>
              <w:rPr>
                <w:rFonts w:hint="eastAsia"/>
                <w:sz w:val="21"/>
                <w:szCs w:val="21"/>
              </w:rPr>
              <w:t>水泥仓呼吸粉尘</w:t>
            </w:r>
          </w:p>
        </w:tc>
        <w:tc>
          <w:tcPr>
            <w:tcW w:w="1843" w:type="dxa"/>
            <w:vAlign w:val="center"/>
          </w:tcPr>
          <w:p>
            <w:pPr>
              <w:adjustRightInd w:val="0"/>
              <w:snapToGrid w:val="0"/>
              <w:jc w:val="center"/>
              <w:rPr>
                <w:sz w:val="21"/>
                <w:szCs w:val="21"/>
              </w:rPr>
            </w:pPr>
            <w:r>
              <w:rPr>
                <w:rFonts w:hint="eastAsia"/>
                <w:sz w:val="21"/>
                <w:szCs w:val="21"/>
              </w:rPr>
              <w:t>颗粒物</w:t>
            </w:r>
          </w:p>
        </w:tc>
        <w:tc>
          <w:tcPr>
            <w:tcW w:w="1424" w:type="dxa"/>
            <w:vAlign w:val="center"/>
          </w:tcPr>
          <w:p>
            <w:pPr>
              <w:adjustRightInd w:val="0"/>
              <w:snapToGrid w:val="0"/>
              <w:jc w:val="center"/>
              <w:rPr>
                <w:sz w:val="21"/>
                <w:szCs w:val="21"/>
              </w:rPr>
            </w:pPr>
            <w:r>
              <w:rPr>
                <w:rFonts w:hint="eastAsia"/>
                <w:sz w:val="21"/>
                <w:szCs w:val="21"/>
              </w:rPr>
              <w:t>设备自带布袋除尘器</w:t>
            </w:r>
          </w:p>
        </w:tc>
        <w:tc>
          <w:tcPr>
            <w:tcW w:w="1950" w:type="dxa"/>
            <w:vMerge w:val="restart"/>
            <w:vAlign w:val="center"/>
          </w:tcPr>
          <w:p>
            <w:pPr>
              <w:adjustRightInd w:val="0"/>
              <w:snapToGrid w:val="0"/>
              <w:jc w:val="center"/>
              <w:rPr>
                <w:sz w:val="21"/>
                <w:szCs w:val="21"/>
              </w:rPr>
            </w:pPr>
            <w:r>
              <w:rPr>
                <w:rFonts w:hint="eastAsia"/>
                <w:sz w:val="21"/>
                <w:szCs w:val="21"/>
              </w:rPr>
              <w:t>《水泥工业大气污染物排放标准》（DB34/3576-2020）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527" w:type="dxa"/>
            <w:vMerge w:val="continue"/>
            <w:vAlign w:val="center"/>
          </w:tcPr>
          <w:p>
            <w:pPr>
              <w:adjustRightInd w:val="0"/>
              <w:snapToGrid w:val="0"/>
              <w:jc w:val="center"/>
              <w:rPr>
                <w:sz w:val="21"/>
                <w:szCs w:val="21"/>
              </w:rPr>
            </w:pPr>
          </w:p>
        </w:tc>
        <w:tc>
          <w:tcPr>
            <w:tcW w:w="884" w:type="dxa"/>
            <w:vAlign w:val="center"/>
          </w:tcPr>
          <w:p>
            <w:pPr>
              <w:adjustRightInd w:val="0"/>
              <w:snapToGrid w:val="0"/>
              <w:jc w:val="center"/>
              <w:rPr>
                <w:sz w:val="21"/>
                <w:szCs w:val="21"/>
              </w:rPr>
            </w:pPr>
            <w:r>
              <w:rPr>
                <w:rFonts w:hint="eastAsia"/>
                <w:sz w:val="21"/>
                <w:szCs w:val="21"/>
              </w:rPr>
              <w:t>无组织</w:t>
            </w:r>
          </w:p>
        </w:tc>
        <w:tc>
          <w:tcPr>
            <w:tcW w:w="1230" w:type="dxa"/>
            <w:vAlign w:val="center"/>
          </w:tcPr>
          <w:p>
            <w:pPr>
              <w:adjustRightInd w:val="0"/>
              <w:snapToGrid w:val="0"/>
              <w:jc w:val="center"/>
              <w:rPr>
                <w:sz w:val="21"/>
                <w:szCs w:val="21"/>
              </w:rPr>
            </w:pPr>
            <w:r>
              <w:rPr>
                <w:rFonts w:hint="eastAsia"/>
                <w:sz w:val="21"/>
                <w:szCs w:val="21"/>
              </w:rPr>
              <w:t>物料混合搅拌粉尘</w:t>
            </w:r>
          </w:p>
        </w:tc>
        <w:tc>
          <w:tcPr>
            <w:tcW w:w="1843" w:type="dxa"/>
            <w:vAlign w:val="center"/>
          </w:tcPr>
          <w:p>
            <w:pPr>
              <w:adjustRightInd w:val="0"/>
              <w:snapToGrid w:val="0"/>
              <w:jc w:val="center"/>
              <w:rPr>
                <w:sz w:val="21"/>
                <w:szCs w:val="21"/>
              </w:rPr>
            </w:pPr>
            <w:r>
              <w:rPr>
                <w:rFonts w:hint="eastAsia"/>
                <w:sz w:val="21"/>
                <w:szCs w:val="21"/>
              </w:rPr>
              <w:t>颗粒物</w:t>
            </w:r>
          </w:p>
        </w:tc>
        <w:tc>
          <w:tcPr>
            <w:tcW w:w="1424" w:type="dxa"/>
            <w:vAlign w:val="center"/>
          </w:tcPr>
          <w:p>
            <w:pPr>
              <w:adjustRightInd w:val="0"/>
              <w:snapToGrid w:val="0"/>
              <w:jc w:val="center"/>
              <w:rPr>
                <w:sz w:val="21"/>
                <w:szCs w:val="21"/>
              </w:rPr>
            </w:pPr>
            <w:r>
              <w:rPr>
                <w:rFonts w:hint="eastAsia"/>
                <w:sz w:val="21"/>
                <w:szCs w:val="21"/>
              </w:rPr>
              <w:t>设备自带布袋除尘器</w:t>
            </w:r>
          </w:p>
        </w:tc>
        <w:tc>
          <w:tcPr>
            <w:tcW w:w="1950" w:type="dxa"/>
            <w:vMerge w:val="continue"/>
            <w:vAlign w:val="center"/>
          </w:tcPr>
          <w:p>
            <w:pPr>
              <w:adjustRightInd w:val="0"/>
              <w:snapToGrid w:val="0"/>
              <w:jc w:val="center"/>
              <w:rPr>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527" w:type="dxa"/>
            <w:vMerge w:val="restart"/>
            <w:vAlign w:val="center"/>
          </w:tcPr>
          <w:p>
            <w:pPr>
              <w:adjustRightInd w:val="0"/>
              <w:snapToGrid w:val="0"/>
              <w:jc w:val="center"/>
              <w:rPr>
                <w:sz w:val="21"/>
                <w:szCs w:val="21"/>
              </w:rPr>
            </w:pPr>
            <w:r>
              <w:rPr>
                <w:sz w:val="21"/>
                <w:szCs w:val="21"/>
              </w:rPr>
              <w:t>地表水环境</w:t>
            </w:r>
          </w:p>
        </w:tc>
        <w:tc>
          <w:tcPr>
            <w:tcW w:w="2114" w:type="dxa"/>
            <w:gridSpan w:val="2"/>
            <w:vAlign w:val="center"/>
          </w:tcPr>
          <w:p>
            <w:pPr>
              <w:adjustRightInd w:val="0"/>
              <w:snapToGrid w:val="0"/>
              <w:jc w:val="center"/>
              <w:rPr>
                <w:sz w:val="21"/>
                <w:szCs w:val="21"/>
              </w:rPr>
            </w:pPr>
            <w:r>
              <w:rPr>
                <w:rFonts w:hint="eastAsia"/>
                <w:sz w:val="21"/>
                <w:szCs w:val="21"/>
              </w:rPr>
              <w:t>生活污水</w:t>
            </w:r>
          </w:p>
        </w:tc>
        <w:tc>
          <w:tcPr>
            <w:tcW w:w="1843" w:type="dxa"/>
            <w:vAlign w:val="center"/>
          </w:tcPr>
          <w:p>
            <w:pPr>
              <w:adjustRightInd w:val="0"/>
              <w:snapToGrid w:val="0"/>
              <w:jc w:val="center"/>
              <w:rPr>
                <w:sz w:val="21"/>
                <w:szCs w:val="21"/>
              </w:rPr>
            </w:pPr>
            <w:r>
              <w:rPr>
                <w:sz w:val="21"/>
                <w:szCs w:val="21"/>
              </w:rPr>
              <w:t>COD、pH、BOD</w:t>
            </w:r>
            <w:r>
              <w:rPr>
                <w:sz w:val="21"/>
                <w:szCs w:val="21"/>
                <w:vertAlign w:val="subscript"/>
              </w:rPr>
              <w:t>5</w:t>
            </w:r>
            <w:r>
              <w:rPr>
                <w:sz w:val="21"/>
                <w:szCs w:val="21"/>
              </w:rPr>
              <w:t>、SS、氨氮</w:t>
            </w:r>
            <w:r>
              <w:rPr>
                <w:rFonts w:hint="eastAsia"/>
                <w:sz w:val="21"/>
                <w:szCs w:val="21"/>
              </w:rPr>
              <w:t>、动植物油</w:t>
            </w:r>
          </w:p>
        </w:tc>
        <w:tc>
          <w:tcPr>
            <w:tcW w:w="1424" w:type="dxa"/>
            <w:vAlign w:val="center"/>
          </w:tcPr>
          <w:p>
            <w:pPr>
              <w:adjustRightInd w:val="0"/>
              <w:snapToGrid w:val="0"/>
              <w:jc w:val="center"/>
              <w:rPr>
                <w:sz w:val="21"/>
                <w:szCs w:val="21"/>
              </w:rPr>
            </w:pPr>
            <w:r>
              <w:rPr>
                <w:rFonts w:hint="eastAsia"/>
                <w:sz w:val="21"/>
                <w:szCs w:val="21"/>
              </w:rPr>
              <w:t>隔油池+化粪池</w:t>
            </w:r>
          </w:p>
        </w:tc>
        <w:tc>
          <w:tcPr>
            <w:tcW w:w="1950" w:type="dxa"/>
            <w:vAlign w:val="center"/>
          </w:tcPr>
          <w:p>
            <w:pPr>
              <w:adjustRightInd w:val="0"/>
              <w:snapToGrid w:val="0"/>
              <w:jc w:val="center"/>
              <w:rPr>
                <w:sz w:val="21"/>
                <w:szCs w:val="21"/>
                <w:lang w:bidi="ar"/>
              </w:rPr>
            </w:pPr>
            <w:r>
              <w:rPr>
                <w:rFonts w:hint="eastAsia"/>
                <w:sz w:val="21"/>
                <w:szCs w:val="21"/>
                <w:lang w:bidi="ar"/>
              </w:rPr>
              <w:t>定期清掏不外排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527" w:type="dxa"/>
            <w:vMerge w:val="continue"/>
            <w:vAlign w:val="center"/>
          </w:tcPr>
          <w:p>
            <w:pPr>
              <w:adjustRightInd w:val="0"/>
              <w:snapToGrid w:val="0"/>
              <w:jc w:val="center"/>
              <w:rPr>
                <w:sz w:val="21"/>
                <w:szCs w:val="21"/>
              </w:rPr>
            </w:pPr>
          </w:p>
        </w:tc>
        <w:tc>
          <w:tcPr>
            <w:tcW w:w="2114" w:type="dxa"/>
            <w:gridSpan w:val="2"/>
            <w:vAlign w:val="center"/>
          </w:tcPr>
          <w:p>
            <w:pPr>
              <w:adjustRightInd w:val="0"/>
              <w:snapToGrid w:val="0"/>
              <w:jc w:val="center"/>
              <w:rPr>
                <w:sz w:val="21"/>
                <w:szCs w:val="21"/>
              </w:rPr>
            </w:pPr>
            <w:r>
              <w:rPr>
                <w:rFonts w:hint="eastAsia"/>
                <w:sz w:val="21"/>
                <w:szCs w:val="21"/>
              </w:rPr>
              <w:t>设备及地面清洗废水</w:t>
            </w:r>
          </w:p>
        </w:tc>
        <w:tc>
          <w:tcPr>
            <w:tcW w:w="1843" w:type="dxa"/>
            <w:vAlign w:val="center"/>
          </w:tcPr>
          <w:p>
            <w:pPr>
              <w:adjustRightInd w:val="0"/>
              <w:snapToGrid w:val="0"/>
              <w:jc w:val="center"/>
              <w:rPr>
                <w:sz w:val="21"/>
                <w:szCs w:val="21"/>
              </w:rPr>
            </w:pPr>
            <w:r>
              <w:rPr>
                <w:sz w:val="21"/>
                <w:szCs w:val="21"/>
              </w:rPr>
              <w:t>COD、pH、BOD</w:t>
            </w:r>
            <w:r>
              <w:rPr>
                <w:sz w:val="21"/>
                <w:szCs w:val="21"/>
                <w:vertAlign w:val="subscript"/>
              </w:rPr>
              <w:t>5</w:t>
            </w:r>
            <w:r>
              <w:rPr>
                <w:sz w:val="21"/>
                <w:szCs w:val="21"/>
              </w:rPr>
              <w:t>、SS、氨氮</w:t>
            </w:r>
          </w:p>
        </w:tc>
        <w:tc>
          <w:tcPr>
            <w:tcW w:w="1424" w:type="dxa"/>
            <w:vAlign w:val="center"/>
          </w:tcPr>
          <w:p>
            <w:pPr>
              <w:adjustRightInd w:val="0"/>
              <w:snapToGrid w:val="0"/>
              <w:jc w:val="center"/>
              <w:rPr>
                <w:sz w:val="21"/>
                <w:szCs w:val="21"/>
              </w:rPr>
            </w:pPr>
            <w:r>
              <w:rPr>
                <w:rFonts w:hint="eastAsia"/>
                <w:sz w:val="21"/>
                <w:szCs w:val="21"/>
              </w:rPr>
              <w:t>沉淀池</w:t>
            </w:r>
          </w:p>
        </w:tc>
        <w:tc>
          <w:tcPr>
            <w:tcW w:w="1950" w:type="dxa"/>
            <w:vAlign w:val="center"/>
          </w:tcPr>
          <w:p>
            <w:pPr>
              <w:adjustRightInd w:val="0"/>
              <w:snapToGrid w:val="0"/>
              <w:jc w:val="center"/>
              <w:rPr>
                <w:sz w:val="21"/>
                <w:szCs w:val="21"/>
                <w:lang w:bidi="ar"/>
              </w:rPr>
            </w:pPr>
            <w:r>
              <w:rPr>
                <w:rFonts w:hint="eastAsia"/>
                <w:sz w:val="21"/>
                <w:szCs w:val="21"/>
              </w:rPr>
              <w:t>设备及地面清洗</w:t>
            </w:r>
            <w:r>
              <w:rPr>
                <w:rFonts w:hint="eastAsia"/>
                <w:sz w:val="21"/>
                <w:szCs w:val="21"/>
                <w:lang w:val="en-US" w:eastAsia="zh-CN"/>
              </w:rPr>
              <w:t>时</w:t>
            </w:r>
            <w:r>
              <w:rPr>
                <w:rFonts w:hint="eastAsia"/>
                <w:sz w:val="21"/>
                <w:szCs w:val="21"/>
                <w:lang w:bidi="ar"/>
              </w:rPr>
              <w:t>回用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27" w:type="dxa"/>
            <w:vAlign w:val="center"/>
          </w:tcPr>
          <w:p>
            <w:pPr>
              <w:adjustRightInd w:val="0"/>
              <w:snapToGrid w:val="0"/>
              <w:jc w:val="center"/>
              <w:rPr>
                <w:sz w:val="21"/>
                <w:szCs w:val="21"/>
              </w:rPr>
            </w:pPr>
            <w:r>
              <w:rPr>
                <w:sz w:val="21"/>
                <w:szCs w:val="21"/>
              </w:rPr>
              <w:t>声环境</w:t>
            </w:r>
          </w:p>
        </w:tc>
        <w:tc>
          <w:tcPr>
            <w:tcW w:w="2114" w:type="dxa"/>
            <w:gridSpan w:val="2"/>
            <w:vAlign w:val="center"/>
          </w:tcPr>
          <w:p>
            <w:pPr>
              <w:adjustRightInd w:val="0"/>
              <w:snapToGrid w:val="0"/>
              <w:jc w:val="center"/>
              <w:rPr>
                <w:sz w:val="21"/>
                <w:szCs w:val="21"/>
              </w:rPr>
            </w:pPr>
            <w:r>
              <w:rPr>
                <w:sz w:val="21"/>
                <w:szCs w:val="21"/>
              </w:rPr>
              <w:t>/</w:t>
            </w:r>
          </w:p>
        </w:tc>
        <w:tc>
          <w:tcPr>
            <w:tcW w:w="1843" w:type="dxa"/>
            <w:vAlign w:val="center"/>
          </w:tcPr>
          <w:p>
            <w:pPr>
              <w:adjustRightInd w:val="0"/>
              <w:snapToGrid w:val="0"/>
              <w:jc w:val="center"/>
              <w:rPr>
                <w:sz w:val="21"/>
                <w:szCs w:val="21"/>
              </w:rPr>
            </w:pPr>
            <w:r>
              <w:rPr>
                <w:sz w:val="21"/>
                <w:szCs w:val="21"/>
              </w:rPr>
              <w:t>噪声</w:t>
            </w:r>
          </w:p>
        </w:tc>
        <w:tc>
          <w:tcPr>
            <w:tcW w:w="1424" w:type="dxa"/>
            <w:vAlign w:val="center"/>
          </w:tcPr>
          <w:p>
            <w:pPr>
              <w:pStyle w:val="10"/>
              <w:jc w:val="center"/>
              <w:rPr>
                <w:sz w:val="21"/>
                <w:szCs w:val="21"/>
              </w:rPr>
            </w:pPr>
            <w:r>
              <w:rPr>
                <w:sz w:val="21"/>
                <w:szCs w:val="21"/>
              </w:rPr>
              <w:t>厂房隔声，使用低噪设备，减振，合理安排工作时间等</w:t>
            </w:r>
          </w:p>
        </w:tc>
        <w:tc>
          <w:tcPr>
            <w:tcW w:w="1950" w:type="dxa"/>
            <w:vAlign w:val="center"/>
          </w:tcPr>
          <w:p>
            <w:pPr>
              <w:adjustRightInd w:val="0"/>
              <w:snapToGrid w:val="0"/>
              <w:jc w:val="center"/>
              <w:rPr>
                <w:sz w:val="21"/>
                <w:szCs w:val="21"/>
              </w:rPr>
            </w:pPr>
            <w:r>
              <w:rPr>
                <w:sz w:val="21"/>
                <w:szCs w:val="21"/>
              </w:rPr>
              <w:t>《工业企业厂界环境噪声排放标准》（GB12348-2008）中的3类标准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27" w:type="dxa"/>
            <w:vAlign w:val="center"/>
          </w:tcPr>
          <w:p>
            <w:pPr>
              <w:adjustRightInd w:val="0"/>
              <w:snapToGrid w:val="0"/>
              <w:jc w:val="center"/>
              <w:rPr>
                <w:sz w:val="21"/>
                <w:szCs w:val="21"/>
              </w:rPr>
            </w:pPr>
            <w:r>
              <w:rPr>
                <w:sz w:val="21"/>
                <w:szCs w:val="21"/>
              </w:rPr>
              <w:t>电磁辐射</w:t>
            </w:r>
          </w:p>
        </w:tc>
        <w:tc>
          <w:tcPr>
            <w:tcW w:w="7331" w:type="dxa"/>
            <w:gridSpan w:val="5"/>
            <w:vAlign w:val="center"/>
          </w:tcPr>
          <w:p>
            <w:pPr>
              <w:adjustRightInd w:val="0"/>
              <w:snapToGrid w:val="0"/>
              <w:jc w:val="center"/>
              <w:rPr>
                <w:sz w:val="21"/>
                <w:szCs w:val="21"/>
              </w:rPr>
            </w:pPr>
            <w:r>
              <w:rPr>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527" w:type="dxa"/>
            <w:vAlign w:val="center"/>
          </w:tcPr>
          <w:p>
            <w:pPr>
              <w:adjustRightInd w:val="0"/>
              <w:snapToGrid w:val="0"/>
              <w:jc w:val="center"/>
              <w:rPr>
                <w:sz w:val="21"/>
                <w:szCs w:val="21"/>
              </w:rPr>
            </w:pPr>
            <w:r>
              <w:rPr>
                <w:sz w:val="21"/>
                <w:szCs w:val="21"/>
              </w:rPr>
              <w:t>固体废物</w:t>
            </w:r>
          </w:p>
        </w:tc>
        <w:tc>
          <w:tcPr>
            <w:tcW w:w="7331" w:type="dxa"/>
            <w:gridSpan w:val="5"/>
            <w:vAlign w:val="center"/>
          </w:tcPr>
          <w:p>
            <w:pPr>
              <w:adjustRightInd w:val="0"/>
              <w:snapToGrid w:val="0"/>
              <w:jc w:val="center"/>
              <w:rPr>
                <w:rFonts w:hint="default" w:eastAsia="宋体"/>
                <w:sz w:val="21"/>
                <w:szCs w:val="21"/>
                <w:lang w:val="en-US" w:eastAsia="zh-CN"/>
              </w:rPr>
            </w:pPr>
            <w:r>
              <w:rPr>
                <w:sz w:val="21"/>
                <w:szCs w:val="21"/>
              </w:rPr>
              <w:t>生活垃圾实行分类袋装化，由市政环卫部门统一处理；</w:t>
            </w:r>
            <w:r>
              <w:rPr>
                <w:sz w:val="21"/>
                <w:szCs w:val="21"/>
                <w:lang w:bidi="ar"/>
              </w:rPr>
              <w:t>项目产生的一般固体废物包括</w:t>
            </w:r>
            <w:r>
              <w:rPr>
                <w:rFonts w:hint="eastAsia"/>
                <w:sz w:val="21"/>
                <w:szCs w:val="21"/>
                <w:lang w:val="en-US" w:eastAsia="zh-CN" w:bidi="ar"/>
              </w:rPr>
              <w:t>废钢丝条、</w:t>
            </w:r>
            <w:r>
              <w:rPr>
                <w:sz w:val="21"/>
                <w:szCs w:val="21"/>
                <w:lang w:bidi="ar"/>
              </w:rPr>
              <w:t>不合格品、</w:t>
            </w:r>
            <w:r>
              <w:rPr>
                <w:rFonts w:hint="eastAsia"/>
                <w:sz w:val="21"/>
                <w:szCs w:val="21"/>
                <w:lang w:bidi="ar"/>
              </w:rPr>
              <w:t>废边角料、沉淀池底泥、收集的粉尘</w:t>
            </w:r>
            <w:r>
              <w:rPr>
                <w:sz w:val="21"/>
                <w:szCs w:val="21"/>
                <w:lang w:bidi="ar"/>
              </w:rPr>
              <w:t>，收集后暂存于一般固废暂存间。</w:t>
            </w:r>
            <w:r>
              <w:rPr>
                <w:rFonts w:hint="eastAsia"/>
                <w:sz w:val="21"/>
                <w:szCs w:val="21"/>
                <w:lang w:bidi="ar"/>
              </w:rPr>
              <w:t>其中</w:t>
            </w:r>
            <w:r>
              <w:rPr>
                <w:rFonts w:hint="eastAsia"/>
                <w:sz w:val="21"/>
                <w:szCs w:val="21"/>
                <w:lang w:val="en-US" w:eastAsia="zh-CN" w:bidi="ar"/>
              </w:rPr>
              <w:t>废钢丝条</w:t>
            </w:r>
            <w:r>
              <w:rPr>
                <w:rFonts w:hint="eastAsia"/>
                <w:sz w:val="21"/>
                <w:szCs w:val="21"/>
                <w:lang w:eastAsia="zh-CN" w:bidi="ar"/>
              </w:rPr>
              <w:t>、</w:t>
            </w:r>
            <w:r>
              <w:rPr>
                <w:sz w:val="21"/>
                <w:szCs w:val="21"/>
                <w:lang w:bidi="ar"/>
              </w:rPr>
              <w:t>不合格品</w:t>
            </w:r>
            <w:r>
              <w:rPr>
                <w:rFonts w:hint="eastAsia"/>
                <w:sz w:val="21"/>
                <w:szCs w:val="21"/>
                <w:lang w:bidi="ar"/>
              </w:rPr>
              <w:t>外售至物质回收部门，废边角料、沉淀池底泥、收集的粉尘回用于生产</w:t>
            </w:r>
            <w:r>
              <w:rPr>
                <w:rFonts w:hint="eastAsia"/>
                <w:sz w:val="21"/>
                <w:szCs w:val="21"/>
                <w:lang w:eastAsia="zh-CN" w:bidi="ar"/>
              </w:rPr>
              <w:t>。</w:t>
            </w:r>
            <w:r>
              <w:rPr>
                <w:sz w:val="21"/>
                <w:szCs w:val="21"/>
                <w:lang w:bidi="ar"/>
              </w:rPr>
              <w:t>项目产生的</w:t>
            </w:r>
            <w:r>
              <w:rPr>
                <w:rFonts w:hint="eastAsia"/>
                <w:sz w:val="21"/>
                <w:szCs w:val="21"/>
                <w:lang w:val="en-US" w:eastAsia="zh-CN" w:bidi="ar"/>
              </w:rPr>
              <w:t>危险废物包括废机油、废机油桶暂存于危废暂存间，委托有资质单位处理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44" w:hRule="atLeast"/>
          <w:jc w:val="center"/>
        </w:trPr>
        <w:tc>
          <w:tcPr>
            <w:tcW w:w="1527" w:type="dxa"/>
            <w:vAlign w:val="center"/>
          </w:tcPr>
          <w:p>
            <w:pPr>
              <w:adjustRightInd w:val="0"/>
              <w:snapToGrid w:val="0"/>
              <w:jc w:val="center"/>
              <w:rPr>
                <w:sz w:val="21"/>
                <w:szCs w:val="21"/>
              </w:rPr>
            </w:pPr>
            <w:r>
              <w:rPr>
                <w:sz w:val="21"/>
                <w:szCs w:val="21"/>
              </w:rPr>
              <w:t>土壤及地下水</w:t>
            </w:r>
          </w:p>
          <w:p>
            <w:pPr>
              <w:adjustRightInd w:val="0"/>
              <w:snapToGrid w:val="0"/>
              <w:jc w:val="center"/>
              <w:rPr>
                <w:sz w:val="21"/>
                <w:szCs w:val="21"/>
              </w:rPr>
            </w:pPr>
            <w:r>
              <w:rPr>
                <w:sz w:val="21"/>
                <w:szCs w:val="21"/>
              </w:rPr>
              <w:t>污染防治措施</w:t>
            </w:r>
          </w:p>
        </w:tc>
        <w:tc>
          <w:tcPr>
            <w:tcW w:w="7331" w:type="dxa"/>
            <w:gridSpan w:val="5"/>
            <w:vAlign w:val="center"/>
          </w:tcPr>
          <w:p>
            <w:pPr>
              <w:adjustRightInd w:val="0"/>
              <w:snapToGrid w:val="0"/>
              <w:jc w:val="left"/>
              <w:rPr>
                <w:color w:val="000000"/>
                <w:sz w:val="21"/>
                <w:szCs w:val="21"/>
              </w:rPr>
            </w:pPr>
            <w:r>
              <w:rPr>
                <w:color w:val="000000"/>
                <w:sz w:val="21"/>
                <w:szCs w:val="21"/>
              </w:rPr>
              <w:t>根据《环境影响评价技术导则 地下水环境》（HJ610-2016）中“表7 地下水污染防渗分区参照表”分区防渗：</w:t>
            </w:r>
          </w:p>
          <w:p>
            <w:pPr>
              <w:adjustRightInd w:val="0"/>
              <w:snapToGrid w:val="0"/>
              <w:jc w:val="left"/>
              <w:rPr>
                <w:color w:val="000000"/>
                <w:sz w:val="21"/>
                <w:szCs w:val="21"/>
              </w:rPr>
            </w:pPr>
            <w:r>
              <w:rPr>
                <w:color w:val="000000"/>
                <w:sz w:val="21"/>
                <w:szCs w:val="21"/>
              </w:rPr>
              <w:t>（1）重点防渗（防渗区域：</w:t>
            </w:r>
            <w:r>
              <w:rPr>
                <w:rFonts w:hint="eastAsia"/>
                <w:color w:val="000000"/>
                <w:sz w:val="21"/>
                <w:szCs w:val="21"/>
              </w:rPr>
              <w:t>隔油池、化粪池、沉淀池</w:t>
            </w:r>
            <w:r>
              <w:rPr>
                <w:color w:val="000000"/>
                <w:sz w:val="21"/>
                <w:szCs w:val="21"/>
              </w:rPr>
              <w:t>）：基础必须防渗，防渗层为至少6</w:t>
            </w:r>
            <w:r>
              <w:rPr>
                <w:rFonts w:hint="eastAsia"/>
                <w:color w:val="000000"/>
                <w:sz w:val="21"/>
                <w:szCs w:val="21"/>
              </w:rPr>
              <w:t>m</w:t>
            </w:r>
            <w:r>
              <w:rPr>
                <w:color w:val="000000"/>
                <w:sz w:val="21"/>
                <w:szCs w:val="21"/>
              </w:rPr>
              <w:t>厚粘土层（渗透系数≤10</w:t>
            </w:r>
            <w:r>
              <w:rPr>
                <w:color w:val="000000"/>
                <w:sz w:val="21"/>
                <w:szCs w:val="21"/>
                <w:vertAlign w:val="superscript"/>
              </w:rPr>
              <w:t>-7</w:t>
            </w:r>
            <w:r>
              <w:rPr>
                <w:color w:val="000000"/>
                <w:sz w:val="21"/>
                <w:szCs w:val="21"/>
              </w:rPr>
              <w:t>cm/s），或2mm厚高密度聚乙烯，或至少2mm厚的其他人工材料，渗透系数≤10</w:t>
            </w:r>
            <w:r>
              <w:rPr>
                <w:color w:val="000000"/>
                <w:sz w:val="21"/>
                <w:szCs w:val="21"/>
                <w:vertAlign w:val="superscript"/>
              </w:rPr>
              <w:t>-10</w:t>
            </w:r>
            <w:r>
              <w:rPr>
                <w:color w:val="000000"/>
                <w:sz w:val="21"/>
                <w:szCs w:val="21"/>
              </w:rPr>
              <w:t>cm/s</w:t>
            </w:r>
            <w:r>
              <w:rPr>
                <w:rFonts w:hint="eastAsia"/>
                <w:color w:val="000000"/>
                <w:sz w:val="21"/>
                <w:szCs w:val="21"/>
              </w:rPr>
              <w:t>，企业拟采取的措施15cm抗渗混凝土+2mm厚高密度聚乙烯</w:t>
            </w:r>
          </w:p>
          <w:p>
            <w:pPr>
              <w:adjustRightInd w:val="0"/>
              <w:snapToGrid w:val="0"/>
              <w:jc w:val="left"/>
              <w:rPr>
                <w:color w:val="000000"/>
                <w:sz w:val="21"/>
                <w:szCs w:val="21"/>
              </w:rPr>
            </w:pPr>
            <w:r>
              <w:rPr>
                <w:color w:val="000000"/>
                <w:sz w:val="21"/>
                <w:szCs w:val="21"/>
              </w:rPr>
              <w:t>（2）一般防渗（防渗区域：</w:t>
            </w:r>
            <w:r>
              <w:rPr>
                <w:sz w:val="21"/>
                <w:szCs w:val="21"/>
              </w:rPr>
              <w:t>生产区、</w:t>
            </w:r>
            <w:r>
              <w:rPr>
                <w:rFonts w:hint="eastAsia"/>
                <w:sz w:val="21"/>
                <w:szCs w:val="21"/>
              </w:rPr>
              <w:t>一般固废暂存间、存储区</w:t>
            </w:r>
            <w:r>
              <w:rPr>
                <w:sz w:val="21"/>
                <w:szCs w:val="21"/>
              </w:rPr>
              <w:t>等</w:t>
            </w:r>
            <w:r>
              <w:rPr>
                <w:color w:val="000000"/>
                <w:sz w:val="21"/>
                <w:szCs w:val="21"/>
              </w:rPr>
              <w:t>）：采用天然或人工材料构筑防渗层，防渗层的厚度应相当于渗透系数1.0×10</w:t>
            </w:r>
            <w:r>
              <w:rPr>
                <w:color w:val="000000"/>
                <w:sz w:val="21"/>
                <w:szCs w:val="21"/>
                <w:vertAlign w:val="superscript"/>
              </w:rPr>
              <w:t>-7</w:t>
            </w:r>
            <w:r>
              <w:rPr>
                <w:color w:val="000000"/>
                <w:sz w:val="21"/>
                <w:szCs w:val="21"/>
              </w:rPr>
              <w:t>cm/s和厚度1.5m的天然基础层的防渗性能</w:t>
            </w:r>
            <w:r>
              <w:rPr>
                <w:rFonts w:hint="eastAsia"/>
                <w:color w:val="000000"/>
                <w:sz w:val="21"/>
                <w:szCs w:val="21"/>
              </w:rPr>
              <w:t>，企业拟采取的措施15cm抗渗混凝土</w:t>
            </w:r>
          </w:p>
          <w:p>
            <w:pPr>
              <w:jc w:val="left"/>
              <w:rPr>
                <w:bCs/>
                <w:color w:val="000000"/>
                <w:sz w:val="21"/>
                <w:szCs w:val="21"/>
              </w:rPr>
            </w:pPr>
            <w:r>
              <w:rPr>
                <w:bCs/>
                <w:color w:val="000000"/>
                <w:sz w:val="21"/>
                <w:szCs w:val="21"/>
              </w:rPr>
              <w:t>（3）简单防渗（防渗区域：办公</w:t>
            </w:r>
            <w:r>
              <w:rPr>
                <w:rFonts w:hint="eastAsia"/>
                <w:bCs/>
                <w:color w:val="000000"/>
                <w:sz w:val="21"/>
                <w:szCs w:val="21"/>
              </w:rPr>
              <w:t>室</w:t>
            </w:r>
            <w:r>
              <w:rPr>
                <w:bCs/>
                <w:color w:val="000000"/>
                <w:sz w:val="21"/>
                <w:szCs w:val="21"/>
              </w:rPr>
              <w:t>）：一般地面硬化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27" w:type="dxa"/>
            <w:vAlign w:val="center"/>
          </w:tcPr>
          <w:p>
            <w:pPr>
              <w:adjustRightInd w:val="0"/>
              <w:snapToGrid w:val="0"/>
              <w:jc w:val="center"/>
              <w:rPr>
                <w:sz w:val="21"/>
                <w:szCs w:val="21"/>
              </w:rPr>
            </w:pPr>
            <w:r>
              <w:rPr>
                <w:sz w:val="21"/>
                <w:szCs w:val="21"/>
              </w:rPr>
              <w:t>生态保护措施</w:t>
            </w:r>
          </w:p>
        </w:tc>
        <w:tc>
          <w:tcPr>
            <w:tcW w:w="7331" w:type="dxa"/>
            <w:gridSpan w:val="5"/>
            <w:vAlign w:val="center"/>
          </w:tcPr>
          <w:p>
            <w:pPr>
              <w:adjustRightInd w:val="0"/>
              <w:snapToGrid w:val="0"/>
              <w:jc w:val="center"/>
              <w:rPr>
                <w:sz w:val="21"/>
                <w:szCs w:val="21"/>
              </w:rPr>
            </w:pPr>
            <w:r>
              <w:rPr>
                <w:sz w:val="21"/>
                <w:szCs w:val="21"/>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527" w:type="dxa"/>
            <w:vAlign w:val="center"/>
          </w:tcPr>
          <w:p>
            <w:pPr>
              <w:adjustRightInd w:val="0"/>
              <w:snapToGrid w:val="0"/>
              <w:jc w:val="center"/>
              <w:rPr>
                <w:sz w:val="21"/>
                <w:szCs w:val="21"/>
              </w:rPr>
            </w:pPr>
            <w:r>
              <w:rPr>
                <w:sz w:val="21"/>
                <w:szCs w:val="21"/>
              </w:rPr>
              <w:t>环境风险</w:t>
            </w:r>
          </w:p>
          <w:p>
            <w:pPr>
              <w:adjustRightInd w:val="0"/>
              <w:snapToGrid w:val="0"/>
              <w:jc w:val="center"/>
              <w:rPr>
                <w:sz w:val="21"/>
                <w:szCs w:val="21"/>
              </w:rPr>
            </w:pPr>
            <w:r>
              <w:rPr>
                <w:sz w:val="21"/>
                <w:szCs w:val="21"/>
              </w:rPr>
              <w:t>防范措施</w:t>
            </w:r>
          </w:p>
        </w:tc>
        <w:tc>
          <w:tcPr>
            <w:tcW w:w="7331" w:type="dxa"/>
            <w:gridSpan w:val="5"/>
            <w:vAlign w:val="center"/>
          </w:tcPr>
          <w:p>
            <w:pPr>
              <w:jc w:val="left"/>
              <w:rPr>
                <w:sz w:val="21"/>
                <w:szCs w:val="21"/>
              </w:rPr>
            </w:pPr>
            <w:r>
              <w:rPr>
                <w:sz w:val="21"/>
                <w:szCs w:val="21"/>
              </w:rPr>
              <w:t>车间内配置相应的消防设备、设施和灭火药剂；制定严格的运行操作规章制度，发生火灾、爆炸事故后，灭火的同时疏散周边无关人员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527" w:type="dxa"/>
            <w:vAlign w:val="center"/>
          </w:tcPr>
          <w:p>
            <w:pPr>
              <w:adjustRightInd w:val="0"/>
              <w:snapToGrid w:val="0"/>
              <w:jc w:val="center"/>
              <w:rPr>
                <w:sz w:val="21"/>
                <w:szCs w:val="21"/>
              </w:rPr>
            </w:pPr>
            <w:r>
              <w:rPr>
                <w:sz w:val="21"/>
                <w:szCs w:val="21"/>
              </w:rPr>
              <w:t>其他环境</w:t>
            </w:r>
          </w:p>
          <w:p>
            <w:pPr>
              <w:adjustRightInd w:val="0"/>
              <w:snapToGrid w:val="0"/>
              <w:jc w:val="center"/>
              <w:rPr>
                <w:sz w:val="21"/>
                <w:szCs w:val="21"/>
              </w:rPr>
            </w:pPr>
            <w:r>
              <w:rPr>
                <w:sz w:val="21"/>
                <w:szCs w:val="21"/>
              </w:rPr>
              <w:t>管理要求</w:t>
            </w:r>
          </w:p>
        </w:tc>
        <w:tc>
          <w:tcPr>
            <w:tcW w:w="7331" w:type="dxa"/>
            <w:gridSpan w:val="5"/>
            <w:vAlign w:val="center"/>
          </w:tcPr>
          <w:p>
            <w:pPr>
              <w:adjustRightInd w:val="0"/>
              <w:snapToGrid w:val="0"/>
              <w:ind w:firstLine="420" w:firstLineChars="200"/>
              <w:jc w:val="left"/>
              <w:rPr>
                <w:sz w:val="21"/>
                <w:szCs w:val="21"/>
              </w:rPr>
            </w:pPr>
            <w:r>
              <w:rPr>
                <w:sz w:val="21"/>
                <w:szCs w:val="21"/>
              </w:rPr>
              <w:t>根据《固定污染源排污许可分类管理名录（2019年版）》本项目行业类别属于“C3</w:t>
            </w:r>
            <w:r>
              <w:rPr>
                <w:rFonts w:hint="eastAsia"/>
                <w:sz w:val="21"/>
                <w:szCs w:val="21"/>
              </w:rPr>
              <w:t>02</w:t>
            </w:r>
            <w:r>
              <w:rPr>
                <w:sz w:val="21"/>
                <w:szCs w:val="21"/>
              </w:rPr>
              <w:t>1水泥制品制造”，实行登记管理填报</w:t>
            </w:r>
          </w:p>
        </w:tc>
      </w:tr>
    </w:tbl>
    <w:p>
      <w:pPr>
        <w:pStyle w:val="20"/>
        <w:jc w:val="center"/>
        <w:outlineLvl w:val="0"/>
        <w:rPr>
          <w:rFonts w:ascii="Times New Roman" w:hAnsi="Times New Roman" w:eastAsia="黑体"/>
          <w:snapToGrid w:val="0"/>
          <w:sz w:val="30"/>
          <w:szCs w:val="30"/>
        </w:rPr>
      </w:pPr>
      <w:r>
        <w:rPr>
          <w:rFonts w:ascii="Times New Roman" w:hAnsi="Times New Roman"/>
          <w:snapToGrid w:val="0"/>
        </w:rPr>
        <w:br w:type="page"/>
      </w:r>
      <w:r>
        <w:rPr>
          <w:rFonts w:ascii="Times New Roman" w:hAnsi="Times New Roman"/>
          <w:snapToGrid w:val="0"/>
          <w:sz w:val="30"/>
          <w:szCs w:val="30"/>
        </w:rPr>
        <w:t>六、结论</w:t>
      </w:r>
    </w:p>
    <w:tbl>
      <w:tblPr>
        <w:tblStyle w:val="24"/>
        <w:tblW w:w="886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vAlign w:val="center"/>
          </w:tcPr>
          <w:p>
            <w:pPr>
              <w:spacing w:line="360" w:lineRule="auto"/>
              <w:ind w:firstLine="480" w:firstLineChars="200"/>
              <w:jc w:val="center"/>
            </w:pPr>
            <w:r>
              <w:t>本项目的建设符合国家和地方产业政策要求，项目选址符合当地规划要求。项目运行期产生的污染物在采取了本报告表提出的防治措施并严格落实后，可保证污染物稳定达标排放。因此，从环境保护的角度分析，本项目的建设是可行的。</w:t>
            </w:r>
          </w:p>
        </w:tc>
      </w:tr>
    </w:tbl>
    <w:p>
      <w:pPr>
        <w:sectPr>
          <w:pgSz w:w="11906" w:h="16838"/>
          <w:pgMar w:top="1701" w:right="1531" w:bottom="1701" w:left="1531" w:header="851" w:footer="851" w:gutter="0"/>
          <w:cols w:space="720" w:num="1"/>
          <w:docGrid w:linePitch="312" w:charSpace="0"/>
        </w:sectPr>
      </w:pPr>
    </w:p>
    <w:p>
      <w:pPr>
        <w:pStyle w:val="20"/>
        <w:adjustRightInd w:val="0"/>
        <w:snapToGrid w:val="0"/>
        <w:spacing w:before="0" w:beforeAutospacing="0" w:after="0" w:afterAutospacing="0" w:line="360" w:lineRule="auto"/>
        <w:rPr>
          <w:rFonts w:ascii="Times New Roman" w:hAnsi="Times New Roman" w:eastAsia="黑体"/>
          <w:snapToGrid w:val="0"/>
          <w:sz w:val="36"/>
          <w:szCs w:val="36"/>
        </w:rPr>
      </w:pPr>
      <w:r>
        <w:rPr>
          <w:rFonts w:ascii="Times New Roman" w:hAnsi="Times New Roman"/>
          <w:snapToGrid w:val="0"/>
          <w:sz w:val="36"/>
          <w:szCs w:val="36"/>
        </w:rPr>
        <w:t>附表</w:t>
      </w:r>
    </w:p>
    <w:p>
      <w:pPr>
        <w:pStyle w:val="20"/>
        <w:adjustRightInd w:val="0"/>
        <w:snapToGrid w:val="0"/>
        <w:spacing w:before="0" w:beforeAutospacing="0" w:after="0" w:afterAutospacing="0" w:line="360" w:lineRule="auto"/>
        <w:jc w:val="center"/>
        <w:rPr>
          <w:rFonts w:ascii="Times New Roman" w:hAnsi="Times New Roman" w:eastAsia="方正小标宋_GBK"/>
          <w:b/>
          <w:bCs/>
          <w:snapToGrid w:val="0"/>
          <w:sz w:val="36"/>
          <w:szCs w:val="36"/>
        </w:rPr>
      </w:pPr>
      <w:r>
        <w:rPr>
          <w:rFonts w:ascii="Times New Roman" w:hAnsi="Times New Roman"/>
          <w:b/>
          <w:bCs/>
          <w:snapToGrid w:val="0"/>
          <w:sz w:val="36"/>
          <w:szCs w:val="36"/>
        </w:rPr>
        <w:t>建设项目污染物排放量汇总表</w:t>
      </w:r>
    </w:p>
    <w:tbl>
      <w:tblPr>
        <w:tblStyle w:val="24"/>
        <w:tblW w:w="1378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680"/>
        <w:gridCol w:w="1541"/>
        <w:gridCol w:w="1276"/>
        <w:gridCol w:w="1701"/>
        <w:gridCol w:w="1559"/>
        <w:gridCol w:w="1761"/>
        <w:gridCol w:w="1724"/>
        <w:gridCol w:w="10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485" w:type="dxa"/>
            <w:tcBorders>
              <w:tl2br w:val="single" w:color="auto" w:sz="4" w:space="0"/>
            </w:tcBorders>
            <w:tcMar>
              <w:left w:w="28" w:type="dxa"/>
              <w:right w:w="28" w:type="dxa"/>
            </w:tcMar>
            <w:vAlign w:val="center"/>
          </w:tcPr>
          <w:p>
            <w:pPr>
              <w:pStyle w:val="42"/>
              <w:spacing w:before="0" w:beforeLines="0" w:afterLines="0" w:line="240" w:lineRule="auto"/>
              <w:ind w:right="0"/>
              <w:jc w:val="right"/>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项目</w:t>
            </w:r>
          </w:p>
          <w:p>
            <w:pPr>
              <w:pStyle w:val="42"/>
              <w:spacing w:before="0" w:beforeLines="0" w:afterLines="0" w:line="240" w:lineRule="auto"/>
              <w:ind w:right="0"/>
              <w:jc w:val="left"/>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分类</w:t>
            </w:r>
          </w:p>
        </w:tc>
        <w:tc>
          <w:tcPr>
            <w:tcW w:w="1680" w:type="dxa"/>
            <w:tcMar>
              <w:left w:w="28" w:type="dxa"/>
              <w:right w:w="28" w:type="dxa"/>
            </w:tcMar>
            <w:vAlign w:val="center"/>
          </w:tcPr>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污染物名称</w:t>
            </w:r>
          </w:p>
        </w:tc>
        <w:tc>
          <w:tcPr>
            <w:tcW w:w="1541" w:type="dxa"/>
            <w:tcMar>
              <w:left w:w="28" w:type="dxa"/>
              <w:right w:w="28" w:type="dxa"/>
            </w:tcMar>
            <w:vAlign w:val="center"/>
          </w:tcPr>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现有工程</w:t>
            </w:r>
          </w:p>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排放量（固体废物产生量）（</w:t>
            </w:r>
            <w:r>
              <w:rPr>
                <w:rFonts w:ascii="Times New Roman"/>
                <w:b/>
                <w:bCs/>
                <w:color w:val="000000"/>
                <w:sz w:val="21"/>
                <w:szCs w:val="21"/>
              </w:rPr>
              <w:t>t/a</w:t>
            </w:r>
            <w:r>
              <w:rPr>
                <w:rFonts w:ascii="Times New Roman"/>
                <w:b/>
                <w:bCs/>
                <w:snapToGrid w:val="0"/>
                <w:color w:val="000000"/>
                <w:spacing w:val="-6"/>
                <w:kern w:val="21"/>
                <w:sz w:val="21"/>
                <w:szCs w:val="21"/>
              </w:rPr>
              <w:t>）</w:t>
            </w:r>
            <w:r>
              <w:rPr>
                <w:rFonts w:ascii="Times New Roman"/>
                <w:b/>
                <w:bCs/>
                <w:snapToGrid w:val="0"/>
                <w:color w:val="000000"/>
                <w:spacing w:val="-6"/>
                <w:kern w:val="21"/>
                <w:sz w:val="21"/>
                <w:szCs w:val="21"/>
              </w:rPr>
              <w:fldChar w:fldCharType="begin"/>
            </w:r>
            <w:r>
              <w:rPr>
                <w:rFonts w:ascii="Times New Roman"/>
                <w:b/>
                <w:bCs/>
                <w:snapToGrid w:val="0"/>
                <w:color w:val="000000"/>
                <w:spacing w:val="-6"/>
                <w:kern w:val="21"/>
                <w:sz w:val="21"/>
                <w:szCs w:val="21"/>
              </w:rPr>
              <w:instrText xml:space="preserve"> = 1 \* GB3 \* MERGEFORMAT </w:instrText>
            </w:r>
            <w:r>
              <w:rPr>
                <w:rFonts w:ascii="Times New Roman"/>
                <w:b/>
                <w:bCs/>
                <w:snapToGrid w:val="0"/>
                <w:color w:val="000000"/>
                <w:spacing w:val="-6"/>
                <w:kern w:val="21"/>
                <w:sz w:val="21"/>
                <w:szCs w:val="21"/>
              </w:rPr>
              <w:fldChar w:fldCharType="separate"/>
            </w:r>
            <w:r>
              <w:rPr>
                <w:rFonts w:ascii="Times New Roman"/>
                <w:b/>
                <w:bCs/>
                <w:kern w:val="2"/>
                <w:sz w:val="21"/>
                <w:szCs w:val="21"/>
              </w:rPr>
              <w:t>①</w:t>
            </w:r>
            <w:r>
              <w:rPr>
                <w:rFonts w:ascii="Times New Roman"/>
                <w:b/>
                <w:bCs/>
                <w:snapToGrid w:val="0"/>
                <w:color w:val="000000"/>
                <w:spacing w:val="-6"/>
                <w:kern w:val="21"/>
                <w:sz w:val="21"/>
                <w:szCs w:val="21"/>
              </w:rPr>
              <w:fldChar w:fldCharType="end"/>
            </w:r>
          </w:p>
        </w:tc>
        <w:tc>
          <w:tcPr>
            <w:tcW w:w="1276" w:type="dxa"/>
            <w:tcMar>
              <w:left w:w="28" w:type="dxa"/>
              <w:right w:w="28" w:type="dxa"/>
            </w:tcMar>
            <w:vAlign w:val="center"/>
          </w:tcPr>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现有工程</w:t>
            </w:r>
          </w:p>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许可排放量</w:t>
            </w:r>
          </w:p>
          <w:p>
            <w:pPr>
              <w:pStyle w:val="42"/>
              <w:spacing w:beforeLines="0" w:afterLines="0"/>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w:t>
            </w:r>
            <w:r>
              <w:rPr>
                <w:rFonts w:ascii="Times New Roman"/>
                <w:b/>
                <w:bCs/>
                <w:color w:val="000000"/>
                <w:sz w:val="21"/>
                <w:szCs w:val="21"/>
              </w:rPr>
              <w:t>t/a</w:t>
            </w:r>
            <w:r>
              <w:rPr>
                <w:rFonts w:ascii="Times New Roman"/>
                <w:b/>
                <w:bCs/>
                <w:snapToGrid w:val="0"/>
                <w:color w:val="000000"/>
                <w:spacing w:val="-6"/>
                <w:kern w:val="21"/>
                <w:sz w:val="21"/>
                <w:szCs w:val="21"/>
              </w:rPr>
              <w:t>）</w:t>
            </w:r>
            <w:r>
              <w:rPr>
                <w:rFonts w:ascii="Times New Roman"/>
                <w:b/>
                <w:bCs/>
                <w:snapToGrid w:val="0"/>
                <w:color w:val="000000"/>
                <w:spacing w:val="-6"/>
                <w:kern w:val="21"/>
                <w:sz w:val="21"/>
                <w:szCs w:val="21"/>
              </w:rPr>
              <w:fldChar w:fldCharType="begin"/>
            </w:r>
            <w:r>
              <w:rPr>
                <w:rFonts w:ascii="Times New Roman"/>
                <w:b/>
                <w:bCs/>
                <w:snapToGrid w:val="0"/>
                <w:color w:val="000000"/>
                <w:spacing w:val="-6"/>
                <w:kern w:val="21"/>
                <w:sz w:val="21"/>
                <w:szCs w:val="21"/>
              </w:rPr>
              <w:instrText xml:space="preserve"> = 2 \* GB3 \* MERGEFORMAT </w:instrText>
            </w:r>
            <w:r>
              <w:rPr>
                <w:rFonts w:ascii="Times New Roman"/>
                <w:b/>
                <w:bCs/>
                <w:snapToGrid w:val="0"/>
                <w:color w:val="000000"/>
                <w:spacing w:val="-6"/>
                <w:kern w:val="21"/>
                <w:sz w:val="21"/>
                <w:szCs w:val="21"/>
              </w:rPr>
              <w:fldChar w:fldCharType="separate"/>
            </w:r>
            <w:r>
              <w:rPr>
                <w:rFonts w:ascii="Times New Roman"/>
                <w:b/>
                <w:bCs/>
                <w:snapToGrid w:val="0"/>
                <w:color w:val="000000"/>
                <w:spacing w:val="-6"/>
                <w:kern w:val="21"/>
                <w:sz w:val="21"/>
                <w:szCs w:val="21"/>
              </w:rPr>
              <w:t>②</w:t>
            </w:r>
            <w:r>
              <w:rPr>
                <w:rFonts w:ascii="Times New Roman"/>
                <w:b/>
                <w:bCs/>
                <w:snapToGrid w:val="0"/>
                <w:color w:val="000000"/>
                <w:spacing w:val="-6"/>
                <w:kern w:val="21"/>
                <w:sz w:val="21"/>
                <w:szCs w:val="21"/>
              </w:rPr>
              <w:fldChar w:fldCharType="end"/>
            </w:r>
          </w:p>
        </w:tc>
        <w:tc>
          <w:tcPr>
            <w:tcW w:w="1701" w:type="dxa"/>
            <w:tcMar>
              <w:left w:w="28" w:type="dxa"/>
              <w:right w:w="28" w:type="dxa"/>
            </w:tcMar>
            <w:vAlign w:val="center"/>
          </w:tcPr>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在建工程</w:t>
            </w:r>
          </w:p>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排放量（固体废物产生量）（</w:t>
            </w:r>
            <w:r>
              <w:rPr>
                <w:rFonts w:ascii="Times New Roman"/>
                <w:b/>
                <w:bCs/>
                <w:color w:val="000000"/>
                <w:sz w:val="21"/>
                <w:szCs w:val="21"/>
              </w:rPr>
              <w:t>t/a</w:t>
            </w:r>
            <w:r>
              <w:rPr>
                <w:rFonts w:ascii="Times New Roman"/>
                <w:b/>
                <w:bCs/>
                <w:snapToGrid w:val="0"/>
                <w:color w:val="000000"/>
                <w:spacing w:val="-6"/>
                <w:kern w:val="21"/>
                <w:sz w:val="21"/>
                <w:szCs w:val="21"/>
              </w:rPr>
              <w:t>）</w:t>
            </w:r>
            <w:r>
              <w:rPr>
                <w:rFonts w:ascii="Times New Roman"/>
                <w:b/>
                <w:bCs/>
                <w:snapToGrid w:val="0"/>
                <w:color w:val="000000"/>
                <w:spacing w:val="-6"/>
                <w:kern w:val="21"/>
                <w:sz w:val="21"/>
                <w:szCs w:val="21"/>
              </w:rPr>
              <w:fldChar w:fldCharType="begin"/>
            </w:r>
            <w:r>
              <w:rPr>
                <w:rFonts w:ascii="Times New Roman"/>
                <w:b/>
                <w:bCs/>
                <w:snapToGrid w:val="0"/>
                <w:color w:val="000000"/>
                <w:spacing w:val="-6"/>
                <w:kern w:val="21"/>
                <w:sz w:val="21"/>
                <w:szCs w:val="21"/>
              </w:rPr>
              <w:instrText xml:space="preserve"> = 3 \* GB3 \* MERGEFORMAT </w:instrText>
            </w:r>
            <w:r>
              <w:rPr>
                <w:rFonts w:ascii="Times New Roman"/>
                <w:b/>
                <w:bCs/>
                <w:snapToGrid w:val="0"/>
                <w:color w:val="000000"/>
                <w:spacing w:val="-6"/>
                <w:kern w:val="21"/>
                <w:sz w:val="21"/>
                <w:szCs w:val="21"/>
              </w:rPr>
              <w:fldChar w:fldCharType="separate"/>
            </w:r>
            <w:r>
              <w:rPr>
                <w:rFonts w:ascii="Times New Roman"/>
                <w:b/>
                <w:bCs/>
                <w:kern w:val="2"/>
                <w:sz w:val="21"/>
                <w:szCs w:val="21"/>
              </w:rPr>
              <w:t>③</w:t>
            </w:r>
            <w:r>
              <w:rPr>
                <w:rFonts w:ascii="Times New Roman"/>
                <w:b/>
                <w:bCs/>
                <w:snapToGrid w:val="0"/>
                <w:color w:val="000000"/>
                <w:spacing w:val="-6"/>
                <w:kern w:val="21"/>
                <w:sz w:val="21"/>
                <w:szCs w:val="21"/>
              </w:rPr>
              <w:fldChar w:fldCharType="end"/>
            </w:r>
          </w:p>
        </w:tc>
        <w:tc>
          <w:tcPr>
            <w:tcW w:w="1559" w:type="dxa"/>
            <w:tcMar>
              <w:left w:w="28" w:type="dxa"/>
              <w:right w:w="28" w:type="dxa"/>
            </w:tcMar>
            <w:vAlign w:val="center"/>
          </w:tcPr>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本项目</w:t>
            </w:r>
          </w:p>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排放量（固体废物产生量）（</w:t>
            </w:r>
            <w:r>
              <w:rPr>
                <w:rFonts w:ascii="Times New Roman"/>
                <w:b/>
                <w:bCs/>
                <w:color w:val="000000"/>
                <w:sz w:val="21"/>
                <w:szCs w:val="21"/>
              </w:rPr>
              <w:t>t/a</w:t>
            </w:r>
            <w:r>
              <w:rPr>
                <w:rFonts w:ascii="Times New Roman"/>
                <w:b/>
                <w:bCs/>
                <w:snapToGrid w:val="0"/>
                <w:color w:val="000000"/>
                <w:spacing w:val="-6"/>
                <w:kern w:val="21"/>
                <w:sz w:val="21"/>
                <w:szCs w:val="21"/>
              </w:rPr>
              <w:t>）</w:t>
            </w:r>
            <w:r>
              <w:rPr>
                <w:rFonts w:ascii="Times New Roman"/>
                <w:b/>
                <w:bCs/>
                <w:snapToGrid w:val="0"/>
                <w:color w:val="000000"/>
                <w:spacing w:val="-6"/>
                <w:kern w:val="21"/>
                <w:sz w:val="21"/>
                <w:szCs w:val="21"/>
              </w:rPr>
              <w:fldChar w:fldCharType="begin"/>
            </w:r>
            <w:r>
              <w:rPr>
                <w:rFonts w:ascii="Times New Roman"/>
                <w:b/>
                <w:bCs/>
                <w:snapToGrid w:val="0"/>
                <w:color w:val="000000"/>
                <w:spacing w:val="-6"/>
                <w:kern w:val="21"/>
                <w:sz w:val="21"/>
                <w:szCs w:val="21"/>
              </w:rPr>
              <w:instrText xml:space="preserve"> = 4 \* GB3 \* MERGEFORMAT </w:instrText>
            </w:r>
            <w:r>
              <w:rPr>
                <w:rFonts w:ascii="Times New Roman"/>
                <w:b/>
                <w:bCs/>
                <w:snapToGrid w:val="0"/>
                <w:color w:val="000000"/>
                <w:spacing w:val="-6"/>
                <w:kern w:val="21"/>
                <w:sz w:val="21"/>
                <w:szCs w:val="21"/>
              </w:rPr>
              <w:fldChar w:fldCharType="separate"/>
            </w:r>
            <w:r>
              <w:rPr>
                <w:rFonts w:ascii="Times New Roman"/>
                <w:b/>
                <w:bCs/>
                <w:kern w:val="2"/>
                <w:sz w:val="21"/>
                <w:szCs w:val="21"/>
              </w:rPr>
              <w:t>④</w:t>
            </w:r>
            <w:r>
              <w:rPr>
                <w:rFonts w:ascii="Times New Roman"/>
                <w:b/>
                <w:bCs/>
                <w:snapToGrid w:val="0"/>
                <w:color w:val="000000"/>
                <w:spacing w:val="-6"/>
                <w:kern w:val="21"/>
                <w:sz w:val="21"/>
                <w:szCs w:val="21"/>
              </w:rPr>
              <w:fldChar w:fldCharType="end"/>
            </w:r>
          </w:p>
        </w:tc>
        <w:tc>
          <w:tcPr>
            <w:tcW w:w="1761" w:type="dxa"/>
            <w:tcMar>
              <w:left w:w="28" w:type="dxa"/>
              <w:right w:w="28" w:type="dxa"/>
            </w:tcMar>
            <w:vAlign w:val="center"/>
          </w:tcPr>
          <w:p>
            <w:pPr>
              <w:pStyle w:val="42"/>
              <w:spacing w:beforeLines="0" w:afterLines="0" w:line="240" w:lineRule="auto"/>
              <w:rPr>
                <w:rFonts w:ascii="Times New Roman"/>
                <w:b/>
                <w:bCs/>
                <w:snapToGrid w:val="0"/>
                <w:color w:val="000000"/>
                <w:spacing w:val="-16"/>
                <w:kern w:val="21"/>
                <w:sz w:val="21"/>
                <w:szCs w:val="21"/>
              </w:rPr>
            </w:pPr>
            <w:r>
              <w:rPr>
                <w:rFonts w:ascii="Times New Roman"/>
                <w:b/>
                <w:bCs/>
                <w:snapToGrid w:val="0"/>
                <w:color w:val="000000"/>
                <w:spacing w:val="-16"/>
                <w:kern w:val="21"/>
                <w:sz w:val="21"/>
                <w:szCs w:val="21"/>
              </w:rPr>
              <w:t>以新带老削减量</w:t>
            </w:r>
          </w:p>
          <w:p>
            <w:pPr>
              <w:pStyle w:val="42"/>
              <w:spacing w:beforeLines="0" w:afterLines="0" w:line="240" w:lineRule="auto"/>
              <w:rPr>
                <w:rFonts w:ascii="Times New Roman"/>
                <w:b/>
                <w:bCs/>
                <w:snapToGrid w:val="0"/>
                <w:color w:val="000000"/>
                <w:spacing w:val="-16"/>
                <w:kern w:val="21"/>
                <w:sz w:val="21"/>
                <w:szCs w:val="21"/>
              </w:rPr>
            </w:pPr>
            <w:r>
              <w:rPr>
                <w:rFonts w:ascii="Times New Roman"/>
                <w:b/>
                <w:bCs/>
                <w:snapToGrid w:val="0"/>
                <w:color w:val="000000"/>
                <w:spacing w:val="-16"/>
                <w:kern w:val="21"/>
                <w:sz w:val="21"/>
                <w:szCs w:val="21"/>
              </w:rPr>
              <w:t>（新建项目不填）</w:t>
            </w:r>
            <w:r>
              <w:rPr>
                <w:rFonts w:ascii="Times New Roman"/>
                <w:b/>
                <w:bCs/>
                <w:snapToGrid w:val="0"/>
                <w:color w:val="000000"/>
                <w:spacing w:val="-6"/>
                <w:kern w:val="21"/>
                <w:sz w:val="21"/>
                <w:szCs w:val="21"/>
              </w:rPr>
              <w:t>（</w:t>
            </w:r>
            <w:r>
              <w:rPr>
                <w:rFonts w:ascii="Times New Roman"/>
                <w:b/>
                <w:bCs/>
                <w:color w:val="000000"/>
                <w:sz w:val="21"/>
                <w:szCs w:val="21"/>
              </w:rPr>
              <w:t>t/a</w:t>
            </w:r>
            <w:r>
              <w:rPr>
                <w:rFonts w:ascii="Times New Roman"/>
                <w:b/>
                <w:bCs/>
                <w:snapToGrid w:val="0"/>
                <w:color w:val="000000"/>
                <w:spacing w:val="-6"/>
                <w:kern w:val="21"/>
                <w:sz w:val="21"/>
                <w:szCs w:val="21"/>
              </w:rPr>
              <w:t>）</w:t>
            </w:r>
            <w:r>
              <w:rPr>
                <w:rFonts w:ascii="Times New Roman"/>
                <w:b/>
                <w:bCs/>
                <w:snapToGrid w:val="0"/>
                <w:color w:val="000000"/>
                <w:spacing w:val="-16"/>
                <w:kern w:val="21"/>
                <w:sz w:val="21"/>
                <w:szCs w:val="21"/>
              </w:rPr>
              <w:fldChar w:fldCharType="begin"/>
            </w:r>
            <w:r>
              <w:rPr>
                <w:rFonts w:ascii="Times New Roman"/>
                <w:b/>
                <w:bCs/>
                <w:snapToGrid w:val="0"/>
                <w:color w:val="000000"/>
                <w:spacing w:val="-16"/>
                <w:kern w:val="21"/>
                <w:sz w:val="21"/>
                <w:szCs w:val="21"/>
              </w:rPr>
              <w:instrText xml:space="preserve"> = 5 \* GB3 \* MERGEFORMAT </w:instrText>
            </w:r>
            <w:r>
              <w:rPr>
                <w:rFonts w:ascii="Times New Roman"/>
                <w:b/>
                <w:bCs/>
                <w:snapToGrid w:val="0"/>
                <w:color w:val="000000"/>
                <w:spacing w:val="-16"/>
                <w:kern w:val="21"/>
                <w:sz w:val="21"/>
                <w:szCs w:val="21"/>
              </w:rPr>
              <w:fldChar w:fldCharType="separate"/>
            </w:r>
            <w:r>
              <w:rPr>
                <w:rFonts w:ascii="Times New Roman"/>
                <w:b/>
                <w:bCs/>
                <w:kern w:val="2"/>
                <w:sz w:val="21"/>
                <w:szCs w:val="21"/>
              </w:rPr>
              <w:t>⑤</w:t>
            </w:r>
            <w:r>
              <w:rPr>
                <w:rFonts w:ascii="Times New Roman"/>
                <w:b/>
                <w:bCs/>
                <w:snapToGrid w:val="0"/>
                <w:color w:val="000000"/>
                <w:spacing w:val="-16"/>
                <w:kern w:val="21"/>
                <w:sz w:val="21"/>
                <w:szCs w:val="21"/>
              </w:rPr>
              <w:fldChar w:fldCharType="end"/>
            </w:r>
          </w:p>
        </w:tc>
        <w:tc>
          <w:tcPr>
            <w:tcW w:w="1724" w:type="dxa"/>
            <w:tcMar>
              <w:left w:w="28" w:type="dxa"/>
              <w:right w:w="28" w:type="dxa"/>
            </w:tcMar>
            <w:vAlign w:val="center"/>
          </w:tcPr>
          <w:p>
            <w:pPr>
              <w:pStyle w:val="42"/>
              <w:spacing w:beforeLines="0" w:afterLines="0" w:line="240" w:lineRule="auto"/>
              <w:rPr>
                <w:rFonts w:ascii="Times New Roman"/>
                <w:b/>
                <w:bCs/>
                <w:snapToGrid w:val="0"/>
                <w:color w:val="000000"/>
                <w:spacing w:val="-16"/>
                <w:kern w:val="21"/>
                <w:sz w:val="21"/>
                <w:szCs w:val="21"/>
              </w:rPr>
            </w:pPr>
            <w:r>
              <w:rPr>
                <w:rFonts w:ascii="Times New Roman"/>
                <w:b/>
                <w:bCs/>
                <w:snapToGrid w:val="0"/>
                <w:color w:val="000000"/>
                <w:spacing w:val="-16"/>
                <w:kern w:val="21"/>
                <w:sz w:val="21"/>
                <w:szCs w:val="21"/>
              </w:rPr>
              <w:t>本项目建成后</w:t>
            </w:r>
          </w:p>
          <w:p>
            <w:pPr>
              <w:pStyle w:val="42"/>
              <w:spacing w:beforeLines="0" w:afterLines="0" w:line="240" w:lineRule="auto"/>
              <w:rPr>
                <w:rFonts w:ascii="Times New Roman"/>
                <w:b/>
                <w:bCs/>
                <w:snapToGrid w:val="0"/>
                <w:color w:val="000000"/>
                <w:spacing w:val="-16"/>
                <w:kern w:val="21"/>
                <w:sz w:val="21"/>
                <w:szCs w:val="21"/>
              </w:rPr>
            </w:pPr>
            <w:r>
              <w:rPr>
                <w:rFonts w:ascii="Times New Roman"/>
                <w:b/>
                <w:bCs/>
                <w:snapToGrid w:val="0"/>
                <w:color w:val="000000"/>
                <w:spacing w:val="-16"/>
                <w:kern w:val="21"/>
                <w:sz w:val="21"/>
                <w:szCs w:val="21"/>
              </w:rPr>
              <w:t>全厂排放量（固体废物产生量）</w:t>
            </w:r>
            <w:r>
              <w:rPr>
                <w:rFonts w:ascii="Times New Roman"/>
                <w:b/>
                <w:bCs/>
                <w:snapToGrid w:val="0"/>
                <w:color w:val="000000"/>
                <w:spacing w:val="-6"/>
                <w:kern w:val="21"/>
                <w:sz w:val="21"/>
                <w:szCs w:val="21"/>
              </w:rPr>
              <w:t>（</w:t>
            </w:r>
            <w:r>
              <w:rPr>
                <w:rFonts w:ascii="Times New Roman"/>
                <w:b/>
                <w:bCs/>
                <w:color w:val="000000"/>
                <w:sz w:val="21"/>
                <w:szCs w:val="21"/>
              </w:rPr>
              <w:t>t/a</w:t>
            </w:r>
            <w:r>
              <w:rPr>
                <w:rFonts w:ascii="Times New Roman"/>
                <w:b/>
                <w:bCs/>
                <w:snapToGrid w:val="0"/>
                <w:color w:val="000000"/>
                <w:spacing w:val="-6"/>
                <w:kern w:val="21"/>
                <w:sz w:val="21"/>
                <w:szCs w:val="21"/>
              </w:rPr>
              <w:t>）</w:t>
            </w:r>
            <w:r>
              <w:rPr>
                <w:rFonts w:ascii="Times New Roman"/>
                <w:b/>
                <w:bCs/>
                <w:snapToGrid w:val="0"/>
                <w:color w:val="000000"/>
                <w:spacing w:val="-16"/>
                <w:kern w:val="21"/>
                <w:sz w:val="21"/>
                <w:szCs w:val="21"/>
              </w:rPr>
              <w:fldChar w:fldCharType="begin"/>
            </w:r>
            <w:r>
              <w:rPr>
                <w:rFonts w:ascii="Times New Roman"/>
                <w:b/>
                <w:bCs/>
                <w:snapToGrid w:val="0"/>
                <w:color w:val="000000"/>
                <w:spacing w:val="-16"/>
                <w:kern w:val="21"/>
                <w:sz w:val="21"/>
                <w:szCs w:val="21"/>
              </w:rPr>
              <w:instrText xml:space="preserve"> = 6 \* GB3 \* MERGEFORMAT </w:instrText>
            </w:r>
            <w:r>
              <w:rPr>
                <w:rFonts w:ascii="Times New Roman"/>
                <w:b/>
                <w:bCs/>
                <w:snapToGrid w:val="0"/>
                <w:color w:val="000000"/>
                <w:spacing w:val="-16"/>
                <w:kern w:val="21"/>
                <w:sz w:val="21"/>
                <w:szCs w:val="21"/>
              </w:rPr>
              <w:fldChar w:fldCharType="separate"/>
            </w:r>
            <w:r>
              <w:rPr>
                <w:rFonts w:ascii="Times New Roman"/>
                <w:b/>
                <w:bCs/>
                <w:kern w:val="2"/>
                <w:sz w:val="21"/>
                <w:szCs w:val="21"/>
              </w:rPr>
              <w:t>⑥</w:t>
            </w:r>
            <w:r>
              <w:rPr>
                <w:rFonts w:ascii="Times New Roman"/>
                <w:b/>
                <w:bCs/>
                <w:snapToGrid w:val="0"/>
                <w:color w:val="000000"/>
                <w:spacing w:val="-16"/>
                <w:kern w:val="21"/>
                <w:sz w:val="21"/>
                <w:szCs w:val="21"/>
              </w:rPr>
              <w:fldChar w:fldCharType="end"/>
            </w:r>
          </w:p>
        </w:tc>
        <w:tc>
          <w:tcPr>
            <w:tcW w:w="1061" w:type="dxa"/>
            <w:tcMar>
              <w:left w:w="28" w:type="dxa"/>
              <w:right w:w="28" w:type="dxa"/>
            </w:tcMar>
            <w:vAlign w:val="center"/>
          </w:tcPr>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变化量</w:t>
            </w:r>
          </w:p>
          <w:p>
            <w:pPr>
              <w:pStyle w:val="42"/>
              <w:spacing w:beforeLines="0" w:afterLines="0" w:line="240" w:lineRule="auto"/>
              <w:rPr>
                <w:rFonts w:ascii="Times New Roman"/>
                <w:b/>
                <w:bCs/>
                <w:snapToGrid w:val="0"/>
                <w:color w:val="000000"/>
                <w:spacing w:val="-6"/>
                <w:kern w:val="21"/>
                <w:sz w:val="21"/>
                <w:szCs w:val="21"/>
              </w:rPr>
            </w:pPr>
            <w:r>
              <w:rPr>
                <w:rFonts w:ascii="Times New Roman"/>
                <w:b/>
                <w:bCs/>
                <w:snapToGrid w:val="0"/>
                <w:color w:val="000000"/>
                <w:spacing w:val="-6"/>
                <w:kern w:val="21"/>
                <w:sz w:val="21"/>
                <w:szCs w:val="21"/>
              </w:rPr>
              <w:t>（</w:t>
            </w:r>
            <w:r>
              <w:rPr>
                <w:rFonts w:ascii="Times New Roman"/>
                <w:b/>
                <w:bCs/>
                <w:color w:val="000000"/>
                <w:sz w:val="21"/>
                <w:szCs w:val="21"/>
              </w:rPr>
              <w:t>t/a</w:t>
            </w:r>
            <w:r>
              <w:rPr>
                <w:rFonts w:ascii="Times New Roman"/>
                <w:b/>
                <w:bCs/>
                <w:snapToGrid w:val="0"/>
                <w:color w:val="000000"/>
                <w:spacing w:val="-6"/>
                <w:kern w:val="21"/>
                <w:sz w:val="21"/>
                <w:szCs w:val="21"/>
              </w:rPr>
              <w:t>）</w:t>
            </w:r>
            <w:r>
              <w:rPr>
                <w:rFonts w:ascii="Times New Roman"/>
                <w:b/>
                <w:bCs/>
                <w:snapToGrid w:val="0"/>
                <w:color w:val="000000"/>
                <w:spacing w:val="-6"/>
                <w:kern w:val="21"/>
                <w:sz w:val="21"/>
                <w:szCs w:val="21"/>
              </w:rPr>
              <w:fldChar w:fldCharType="begin"/>
            </w:r>
            <w:r>
              <w:rPr>
                <w:rFonts w:ascii="Times New Roman"/>
                <w:b/>
                <w:bCs/>
                <w:snapToGrid w:val="0"/>
                <w:color w:val="000000"/>
                <w:spacing w:val="-6"/>
                <w:kern w:val="21"/>
                <w:sz w:val="21"/>
                <w:szCs w:val="21"/>
              </w:rPr>
              <w:instrText xml:space="preserve"> = 7 \* GB3 \* MERGEFORMAT </w:instrText>
            </w:r>
            <w:r>
              <w:rPr>
                <w:rFonts w:ascii="Times New Roman"/>
                <w:b/>
                <w:bCs/>
                <w:snapToGrid w:val="0"/>
                <w:color w:val="000000"/>
                <w:spacing w:val="-6"/>
                <w:kern w:val="21"/>
                <w:sz w:val="21"/>
                <w:szCs w:val="21"/>
              </w:rPr>
              <w:fldChar w:fldCharType="separate"/>
            </w:r>
            <w:r>
              <w:rPr>
                <w:rFonts w:ascii="Times New Roman"/>
                <w:b/>
                <w:bCs/>
                <w:kern w:val="2"/>
                <w:sz w:val="21"/>
                <w:szCs w:val="21"/>
              </w:rPr>
              <w:t>⑦</w:t>
            </w:r>
            <w:r>
              <w:rPr>
                <w:rFonts w:ascii="Times New Roman"/>
                <w:b/>
                <w:bCs/>
                <w:snapToGrid w:val="0"/>
                <w:color w:val="000000"/>
                <w:spacing w:val="-6"/>
                <w:kern w:val="21"/>
                <w:sz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485" w:type="dxa"/>
            <w:vAlign w:val="center"/>
          </w:tcPr>
          <w:p>
            <w:pPr>
              <w:pStyle w:val="42"/>
              <w:spacing w:beforeLines="0" w:afterLines="0" w:line="240" w:lineRule="auto"/>
              <w:rPr>
                <w:rFonts w:ascii="Times New Roman"/>
                <w:snapToGrid w:val="0"/>
                <w:color w:val="000000"/>
                <w:kern w:val="21"/>
                <w:sz w:val="21"/>
                <w:szCs w:val="21"/>
              </w:rPr>
            </w:pPr>
            <w:r>
              <w:rPr>
                <w:rFonts w:hint="eastAsia" w:ascii="Times New Roman"/>
                <w:snapToGrid w:val="0"/>
                <w:color w:val="000000"/>
                <w:kern w:val="21"/>
                <w:sz w:val="21"/>
                <w:szCs w:val="21"/>
              </w:rPr>
              <w:t>废气</w:t>
            </w:r>
          </w:p>
        </w:tc>
        <w:tc>
          <w:tcPr>
            <w:tcW w:w="1680" w:type="dxa"/>
            <w:vAlign w:val="center"/>
          </w:tcPr>
          <w:p>
            <w:pPr>
              <w:pStyle w:val="42"/>
              <w:spacing w:beforeLines="0" w:afterLines="0" w:line="240" w:lineRule="auto"/>
              <w:rPr>
                <w:rFonts w:ascii="Times New Roman"/>
                <w:snapToGrid w:val="0"/>
                <w:kern w:val="21"/>
                <w:sz w:val="21"/>
                <w:szCs w:val="21"/>
              </w:rPr>
            </w:pPr>
            <w:r>
              <w:rPr>
                <w:rFonts w:hint="eastAsia" w:ascii="Times New Roman"/>
                <w:snapToGrid w:val="0"/>
                <w:kern w:val="21"/>
                <w:sz w:val="21"/>
                <w:szCs w:val="21"/>
              </w:rPr>
              <w:t>颗粒物</w:t>
            </w:r>
          </w:p>
        </w:tc>
        <w:tc>
          <w:tcPr>
            <w:tcW w:w="1541" w:type="dxa"/>
            <w:vAlign w:val="center"/>
          </w:tcPr>
          <w:p>
            <w:pPr>
              <w:jc w:val="center"/>
              <w:rPr>
                <w:sz w:val="21"/>
                <w:szCs w:val="21"/>
                <w:lang w:bidi="ar"/>
              </w:rPr>
            </w:pPr>
            <w:r>
              <w:rPr>
                <w:sz w:val="21"/>
                <w:szCs w:val="21"/>
                <w:lang w:bidi="ar"/>
              </w:rPr>
              <w:t>0</w:t>
            </w:r>
          </w:p>
        </w:tc>
        <w:tc>
          <w:tcPr>
            <w:tcW w:w="1276" w:type="dxa"/>
            <w:vAlign w:val="center"/>
          </w:tcPr>
          <w:p>
            <w:pPr>
              <w:jc w:val="center"/>
              <w:rPr>
                <w:sz w:val="21"/>
                <w:szCs w:val="21"/>
                <w:lang w:bidi="ar"/>
              </w:rPr>
            </w:pPr>
            <w:r>
              <w:rPr>
                <w:sz w:val="21"/>
                <w:szCs w:val="21"/>
                <w:lang w:bidi="ar"/>
              </w:rPr>
              <w:t>0</w:t>
            </w:r>
          </w:p>
        </w:tc>
        <w:tc>
          <w:tcPr>
            <w:tcW w:w="1701" w:type="dxa"/>
            <w:vAlign w:val="center"/>
          </w:tcPr>
          <w:p>
            <w:pPr>
              <w:jc w:val="center"/>
              <w:rPr>
                <w:sz w:val="21"/>
                <w:szCs w:val="21"/>
                <w:lang w:bidi="ar"/>
              </w:rPr>
            </w:pPr>
            <w:r>
              <w:rPr>
                <w:sz w:val="21"/>
                <w:szCs w:val="21"/>
                <w:lang w:bidi="ar"/>
              </w:rPr>
              <w:t>0</w:t>
            </w:r>
          </w:p>
        </w:tc>
        <w:tc>
          <w:tcPr>
            <w:tcW w:w="1559" w:type="dxa"/>
            <w:vAlign w:val="center"/>
          </w:tcPr>
          <w:p>
            <w:pPr>
              <w:pStyle w:val="42"/>
              <w:spacing w:beforeLines="0" w:afterLines="0" w:line="240" w:lineRule="auto"/>
              <w:rPr>
                <w:rFonts w:ascii="Times New Roman"/>
                <w:sz w:val="21"/>
                <w:szCs w:val="21"/>
              </w:rPr>
            </w:pPr>
            <w:r>
              <w:rPr>
                <w:rFonts w:ascii="Times New Roman"/>
                <w:sz w:val="21"/>
                <w:szCs w:val="21"/>
              </w:rPr>
              <w:t>0.315</w:t>
            </w:r>
          </w:p>
        </w:tc>
        <w:tc>
          <w:tcPr>
            <w:tcW w:w="1761" w:type="dxa"/>
            <w:vAlign w:val="center"/>
          </w:tcPr>
          <w:p>
            <w:pPr>
              <w:jc w:val="center"/>
              <w:rPr>
                <w:sz w:val="21"/>
                <w:szCs w:val="21"/>
                <w:lang w:bidi="ar"/>
              </w:rPr>
            </w:pPr>
            <w:r>
              <w:rPr>
                <w:rFonts w:hint="eastAsia"/>
                <w:sz w:val="21"/>
                <w:szCs w:val="21"/>
                <w:lang w:bidi="ar"/>
              </w:rPr>
              <w:t>0</w:t>
            </w:r>
          </w:p>
        </w:tc>
        <w:tc>
          <w:tcPr>
            <w:tcW w:w="1724" w:type="dxa"/>
            <w:vAlign w:val="center"/>
          </w:tcPr>
          <w:p>
            <w:pPr>
              <w:pStyle w:val="42"/>
              <w:spacing w:beforeLines="0" w:afterLines="0" w:line="240" w:lineRule="auto"/>
              <w:rPr>
                <w:rFonts w:ascii="Times New Roman"/>
                <w:sz w:val="21"/>
                <w:szCs w:val="21"/>
              </w:rPr>
            </w:pPr>
            <w:r>
              <w:rPr>
                <w:rFonts w:ascii="Times New Roman"/>
                <w:sz w:val="21"/>
                <w:szCs w:val="21"/>
              </w:rPr>
              <w:t>0.315</w:t>
            </w:r>
          </w:p>
        </w:tc>
        <w:tc>
          <w:tcPr>
            <w:tcW w:w="1061" w:type="dxa"/>
            <w:vAlign w:val="center"/>
          </w:tcPr>
          <w:p>
            <w:pPr>
              <w:pStyle w:val="42"/>
              <w:spacing w:beforeLines="0" w:afterLines="0" w:line="240" w:lineRule="auto"/>
              <w:rPr>
                <w:rFonts w:ascii="Times New Roman"/>
                <w:sz w:val="21"/>
                <w:szCs w:val="21"/>
              </w:rPr>
            </w:pPr>
            <w:r>
              <w:rPr>
                <w:rFonts w:hint="eastAsia" w:ascii="Times New Roman"/>
                <w:sz w:val="21"/>
                <w:szCs w:val="21"/>
              </w:rPr>
              <w:t>+</w:t>
            </w:r>
            <w:r>
              <w:rPr>
                <w:rFonts w:ascii="Times New Roman"/>
                <w:sz w:val="21"/>
                <w:szCs w:val="21"/>
              </w:rPr>
              <w:t>0.315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485" w:type="dxa"/>
            <w:vMerge w:val="restart"/>
            <w:vAlign w:val="center"/>
          </w:tcPr>
          <w:p>
            <w:pPr>
              <w:pStyle w:val="42"/>
              <w:spacing w:beforeLines="0" w:afterLines="0" w:line="240" w:lineRule="auto"/>
              <w:rPr>
                <w:rFonts w:ascii="Times New Roman"/>
                <w:snapToGrid w:val="0"/>
                <w:color w:val="000000"/>
                <w:kern w:val="21"/>
                <w:sz w:val="21"/>
                <w:szCs w:val="21"/>
              </w:rPr>
            </w:pPr>
            <w:r>
              <w:rPr>
                <w:rFonts w:ascii="Times New Roman"/>
                <w:snapToGrid w:val="0"/>
                <w:color w:val="000000"/>
                <w:kern w:val="21"/>
                <w:sz w:val="21"/>
                <w:szCs w:val="21"/>
              </w:rPr>
              <w:t>废水</w:t>
            </w:r>
          </w:p>
        </w:tc>
        <w:tc>
          <w:tcPr>
            <w:tcW w:w="1680" w:type="dxa"/>
            <w:vAlign w:val="center"/>
          </w:tcPr>
          <w:p>
            <w:pPr>
              <w:pStyle w:val="42"/>
              <w:spacing w:beforeLines="0" w:afterLines="0" w:line="240" w:lineRule="auto"/>
              <w:rPr>
                <w:rFonts w:ascii="Times New Roman"/>
                <w:snapToGrid w:val="0"/>
                <w:kern w:val="21"/>
                <w:sz w:val="21"/>
                <w:szCs w:val="21"/>
              </w:rPr>
            </w:pPr>
            <w:r>
              <w:rPr>
                <w:rFonts w:ascii="Times New Roman"/>
                <w:snapToGrid w:val="0"/>
                <w:kern w:val="21"/>
                <w:sz w:val="21"/>
                <w:szCs w:val="21"/>
              </w:rPr>
              <w:t>废水量</w:t>
            </w:r>
          </w:p>
        </w:tc>
        <w:tc>
          <w:tcPr>
            <w:tcW w:w="1541" w:type="dxa"/>
            <w:vAlign w:val="center"/>
          </w:tcPr>
          <w:p>
            <w:pPr>
              <w:jc w:val="center"/>
              <w:rPr>
                <w:sz w:val="21"/>
                <w:szCs w:val="21"/>
                <w:lang w:bidi="ar"/>
              </w:rPr>
            </w:pPr>
            <w:r>
              <w:rPr>
                <w:sz w:val="21"/>
                <w:szCs w:val="21"/>
                <w:lang w:bidi="ar"/>
              </w:rPr>
              <w:t>0</w:t>
            </w:r>
          </w:p>
        </w:tc>
        <w:tc>
          <w:tcPr>
            <w:tcW w:w="1276" w:type="dxa"/>
            <w:vAlign w:val="center"/>
          </w:tcPr>
          <w:p>
            <w:pPr>
              <w:jc w:val="center"/>
              <w:rPr>
                <w:sz w:val="21"/>
                <w:szCs w:val="21"/>
                <w:lang w:bidi="ar"/>
              </w:rPr>
            </w:pPr>
            <w:r>
              <w:rPr>
                <w:sz w:val="21"/>
                <w:szCs w:val="21"/>
                <w:lang w:bidi="ar"/>
              </w:rPr>
              <w:t>0</w:t>
            </w:r>
          </w:p>
        </w:tc>
        <w:tc>
          <w:tcPr>
            <w:tcW w:w="1701" w:type="dxa"/>
            <w:vAlign w:val="center"/>
          </w:tcPr>
          <w:p>
            <w:pPr>
              <w:jc w:val="center"/>
              <w:rPr>
                <w:sz w:val="21"/>
                <w:szCs w:val="21"/>
                <w:lang w:bidi="ar"/>
              </w:rPr>
            </w:pPr>
            <w:r>
              <w:rPr>
                <w:sz w:val="21"/>
                <w:szCs w:val="21"/>
                <w:lang w:bidi="ar"/>
              </w:rPr>
              <w:t>0</w:t>
            </w:r>
          </w:p>
        </w:tc>
        <w:tc>
          <w:tcPr>
            <w:tcW w:w="1559" w:type="dxa"/>
            <w:vAlign w:val="center"/>
          </w:tcPr>
          <w:p>
            <w:pPr>
              <w:jc w:val="center"/>
              <w:rPr>
                <w:sz w:val="21"/>
                <w:szCs w:val="21"/>
                <w:lang w:bidi="ar"/>
              </w:rPr>
            </w:pPr>
            <w:r>
              <w:rPr>
                <w:sz w:val="21"/>
                <w:szCs w:val="21"/>
                <w:lang w:bidi="ar"/>
              </w:rPr>
              <w:t>0</w:t>
            </w:r>
          </w:p>
        </w:tc>
        <w:tc>
          <w:tcPr>
            <w:tcW w:w="1761" w:type="dxa"/>
            <w:vAlign w:val="center"/>
          </w:tcPr>
          <w:p>
            <w:pPr>
              <w:jc w:val="center"/>
              <w:rPr>
                <w:sz w:val="21"/>
                <w:szCs w:val="21"/>
                <w:lang w:bidi="ar"/>
              </w:rPr>
            </w:pPr>
            <w:r>
              <w:rPr>
                <w:sz w:val="21"/>
                <w:szCs w:val="21"/>
                <w:lang w:bidi="ar"/>
              </w:rPr>
              <w:t>0</w:t>
            </w:r>
          </w:p>
        </w:tc>
        <w:tc>
          <w:tcPr>
            <w:tcW w:w="1724" w:type="dxa"/>
            <w:vAlign w:val="center"/>
          </w:tcPr>
          <w:p>
            <w:pPr>
              <w:jc w:val="center"/>
              <w:rPr>
                <w:sz w:val="21"/>
                <w:szCs w:val="21"/>
                <w:lang w:bidi="ar"/>
              </w:rPr>
            </w:pPr>
            <w:r>
              <w:rPr>
                <w:sz w:val="21"/>
                <w:szCs w:val="21"/>
                <w:lang w:bidi="ar"/>
              </w:rPr>
              <w:t>0</w:t>
            </w:r>
          </w:p>
        </w:tc>
        <w:tc>
          <w:tcPr>
            <w:tcW w:w="1061" w:type="dxa"/>
            <w:vAlign w:val="center"/>
          </w:tcPr>
          <w:p>
            <w:pPr>
              <w:jc w:val="center"/>
              <w:rPr>
                <w:sz w:val="21"/>
                <w:szCs w:val="21"/>
                <w:lang w:bidi="ar"/>
              </w:rPr>
            </w:pPr>
            <w:r>
              <w:rPr>
                <w:sz w:val="21"/>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continue"/>
            <w:vAlign w:val="center"/>
          </w:tcPr>
          <w:p>
            <w:pPr>
              <w:pStyle w:val="42"/>
              <w:spacing w:beforeLines="0" w:afterLines="0" w:line="240" w:lineRule="auto"/>
              <w:rPr>
                <w:rFonts w:ascii="Times New Roman"/>
                <w:snapToGrid w:val="0"/>
                <w:color w:val="000000"/>
                <w:kern w:val="21"/>
                <w:sz w:val="21"/>
                <w:szCs w:val="21"/>
              </w:rPr>
            </w:pPr>
          </w:p>
        </w:tc>
        <w:tc>
          <w:tcPr>
            <w:tcW w:w="1680" w:type="dxa"/>
            <w:vAlign w:val="center"/>
          </w:tcPr>
          <w:p>
            <w:pPr>
              <w:pStyle w:val="42"/>
              <w:spacing w:beforeLines="0" w:afterLines="0" w:line="240" w:lineRule="auto"/>
              <w:rPr>
                <w:rFonts w:ascii="Times New Roman"/>
                <w:snapToGrid w:val="0"/>
                <w:kern w:val="21"/>
                <w:sz w:val="21"/>
                <w:szCs w:val="21"/>
              </w:rPr>
            </w:pPr>
            <w:r>
              <w:rPr>
                <w:rFonts w:ascii="Times New Roman"/>
                <w:snapToGrid w:val="0"/>
                <w:kern w:val="21"/>
                <w:sz w:val="21"/>
                <w:szCs w:val="21"/>
              </w:rPr>
              <w:t>COD</w:t>
            </w:r>
          </w:p>
        </w:tc>
        <w:tc>
          <w:tcPr>
            <w:tcW w:w="1541" w:type="dxa"/>
            <w:vAlign w:val="center"/>
          </w:tcPr>
          <w:p>
            <w:pPr>
              <w:jc w:val="center"/>
              <w:rPr>
                <w:snapToGrid w:val="0"/>
                <w:kern w:val="21"/>
                <w:sz w:val="21"/>
                <w:szCs w:val="21"/>
              </w:rPr>
            </w:pPr>
            <w:r>
              <w:rPr>
                <w:sz w:val="21"/>
                <w:szCs w:val="21"/>
                <w:lang w:bidi="ar"/>
              </w:rPr>
              <w:t>0</w:t>
            </w:r>
          </w:p>
        </w:tc>
        <w:tc>
          <w:tcPr>
            <w:tcW w:w="1276" w:type="dxa"/>
            <w:vAlign w:val="center"/>
          </w:tcPr>
          <w:p>
            <w:pPr>
              <w:jc w:val="center"/>
              <w:rPr>
                <w:snapToGrid w:val="0"/>
                <w:kern w:val="21"/>
                <w:sz w:val="21"/>
                <w:szCs w:val="21"/>
              </w:rPr>
            </w:pPr>
            <w:r>
              <w:rPr>
                <w:sz w:val="21"/>
                <w:szCs w:val="21"/>
                <w:lang w:bidi="ar"/>
              </w:rPr>
              <w:t>0</w:t>
            </w:r>
          </w:p>
        </w:tc>
        <w:tc>
          <w:tcPr>
            <w:tcW w:w="1701" w:type="dxa"/>
            <w:vAlign w:val="center"/>
          </w:tcPr>
          <w:p>
            <w:pPr>
              <w:jc w:val="center"/>
              <w:rPr>
                <w:snapToGrid w:val="0"/>
                <w:kern w:val="21"/>
                <w:sz w:val="21"/>
                <w:szCs w:val="21"/>
              </w:rPr>
            </w:pPr>
            <w:r>
              <w:rPr>
                <w:sz w:val="21"/>
                <w:szCs w:val="21"/>
                <w:lang w:bidi="ar"/>
              </w:rPr>
              <w:t>0</w:t>
            </w:r>
          </w:p>
        </w:tc>
        <w:tc>
          <w:tcPr>
            <w:tcW w:w="1559" w:type="dxa"/>
            <w:vAlign w:val="center"/>
          </w:tcPr>
          <w:p>
            <w:pPr>
              <w:jc w:val="center"/>
              <w:rPr>
                <w:snapToGrid w:val="0"/>
                <w:kern w:val="21"/>
                <w:sz w:val="21"/>
                <w:szCs w:val="21"/>
              </w:rPr>
            </w:pPr>
            <w:r>
              <w:rPr>
                <w:sz w:val="21"/>
                <w:szCs w:val="21"/>
                <w:lang w:bidi="ar"/>
              </w:rPr>
              <w:t>0</w:t>
            </w:r>
          </w:p>
        </w:tc>
        <w:tc>
          <w:tcPr>
            <w:tcW w:w="1761" w:type="dxa"/>
            <w:vAlign w:val="center"/>
          </w:tcPr>
          <w:p>
            <w:pPr>
              <w:jc w:val="center"/>
              <w:rPr>
                <w:snapToGrid w:val="0"/>
                <w:kern w:val="21"/>
                <w:sz w:val="21"/>
                <w:szCs w:val="21"/>
              </w:rPr>
            </w:pPr>
            <w:r>
              <w:rPr>
                <w:sz w:val="21"/>
                <w:szCs w:val="21"/>
                <w:lang w:bidi="ar"/>
              </w:rPr>
              <w:t>0</w:t>
            </w:r>
          </w:p>
        </w:tc>
        <w:tc>
          <w:tcPr>
            <w:tcW w:w="1724" w:type="dxa"/>
            <w:vAlign w:val="center"/>
          </w:tcPr>
          <w:p>
            <w:pPr>
              <w:jc w:val="center"/>
              <w:rPr>
                <w:snapToGrid w:val="0"/>
                <w:kern w:val="21"/>
                <w:sz w:val="21"/>
                <w:szCs w:val="21"/>
              </w:rPr>
            </w:pPr>
            <w:r>
              <w:rPr>
                <w:sz w:val="21"/>
                <w:szCs w:val="21"/>
                <w:lang w:bidi="ar"/>
              </w:rPr>
              <w:t>0</w:t>
            </w:r>
          </w:p>
        </w:tc>
        <w:tc>
          <w:tcPr>
            <w:tcW w:w="1061" w:type="dxa"/>
            <w:vAlign w:val="center"/>
          </w:tcPr>
          <w:p>
            <w:pPr>
              <w:jc w:val="center"/>
              <w:rPr>
                <w:snapToGrid w:val="0"/>
                <w:kern w:val="21"/>
                <w:sz w:val="21"/>
                <w:szCs w:val="21"/>
              </w:rPr>
            </w:pPr>
            <w:r>
              <w:rPr>
                <w:sz w:val="21"/>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continue"/>
            <w:vAlign w:val="center"/>
          </w:tcPr>
          <w:p>
            <w:pPr>
              <w:pStyle w:val="42"/>
              <w:spacing w:beforeLines="0" w:afterLines="0" w:line="240" w:lineRule="auto"/>
              <w:rPr>
                <w:rFonts w:ascii="Times New Roman"/>
                <w:snapToGrid w:val="0"/>
                <w:color w:val="000000"/>
                <w:kern w:val="21"/>
                <w:sz w:val="21"/>
                <w:szCs w:val="21"/>
              </w:rPr>
            </w:pPr>
          </w:p>
        </w:tc>
        <w:tc>
          <w:tcPr>
            <w:tcW w:w="1680" w:type="dxa"/>
            <w:vAlign w:val="center"/>
          </w:tcPr>
          <w:p>
            <w:pPr>
              <w:pStyle w:val="42"/>
              <w:spacing w:beforeLines="0" w:afterLines="0" w:line="240" w:lineRule="auto"/>
              <w:rPr>
                <w:rFonts w:ascii="Times New Roman"/>
                <w:snapToGrid w:val="0"/>
                <w:kern w:val="21"/>
                <w:sz w:val="21"/>
                <w:szCs w:val="21"/>
              </w:rPr>
            </w:pPr>
            <w:r>
              <w:rPr>
                <w:rFonts w:ascii="Times New Roman"/>
                <w:snapToGrid w:val="0"/>
                <w:kern w:val="21"/>
                <w:sz w:val="21"/>
                <w:szCs w:val="21"/>
              </w:rPr>
              <w:t>NH</w:t>
            </w:r>
            <w:r>
              <w:rPr>
                <w:rFonts w:ascii="Times New Roman"/>
                <w:snapToGrid w:val="0"/>
                <w:kern w:val="21"/>
                <w:sz w:val="21"/>
                <w:szCs w:val="21"/>
                <w:vertAlign w:val="subscript"/>
              </w:rPr>
              <w:t>3</w:t>
            </w:r>
            <w:r>
              <w:rPr>
                <w:rFonts w:ascii="Times New Roman"/>
                <w:snapToGrid w:val="0"/>
                <w:kern w:val="21"/>
                <w:sz w:val="21"/>
                <w:szCs w:val="21"/>
              </w:rPr>
              <w:t>-N</w:t>
            </w:r>
          </w:p>
        </w:tc>
        <w:tc>
          <w:tcPr>
            <w:tcW w:w="1541" w:type="dxa"/>
            <w:vAlign w:val="center"/>
          </w:tcPr>
          <w:p>
            <w:pPr>
              <w:jc w:val="center"/>
              <w:rPr>
                <w:snapToGrid w:val="0"/>
                <w:kern w:val="21"/>
                <w:sz w:val="21"/>
                <w:szCs w:val="21"/>
              </w:rPr>
            </w:pPr>
            <w:r>
              <w:rPr>
                <w:sz w:val="21"/>
                <w:szCs w:val="21"/>
                <w:lang w:bidi="ar"/>
              </w:rPr>
              <w:t>0</w:t>
            </w:r>
          </w:p>
        </w:tc>
        <w:tc>
          <w:tcPr>
            <w:tcW w:w="1276" w:type="dxa"/>
            <w:vAlign w:val="center"/>
          </w:tcPr>
          <w:p>
            <w:pPr>
              <w:jc w:val="center"/>
              <w:rPr>
                <w:snapToGrid w:val="0"/>
                <w:kern w:val="21"/>
                <w:sz w:val="21"/>
                <w:szCs w:val="21"/>
              </w:rPr>
            </w:pPr>
            <w:r>
              <w:rPr>
                <w:sz w:val="21"/>
                <w:szCs w:val="21"/>
                <w:lang w:bidi="ar"/>
              </w:rPr>
              <w:t>0</w:t>
            </w:r>
          </w:p>
        </w:tc>
        <w:tc>
          <w:tcPr>
            <w:tcW w:w="1701" w:type="dxa"/>
            <w:vAlign w:val="center"/>
          </w:tcPr>
          <w:p>
            <w:pPr>
              <w:jc w:val="center"/>
              <w:rPr>
                <w:snapToGrid w:val="0"/>
                <w:kern w:val="21"/>
                <w:sz w:val="21"/>
                <w:szCs w:val="21"/>
              </w:rPr>
            </w:pPr>
            <w:r>
              <w:rPr>
                <w:sz w:val="21"/>
                <w:szCs w:val="21"/>
                <w:lang w:bidi="ar"/>
              </w:rPr>
              <w:t>0</w:t>
            </w:r>
          </w:p>
        </w:tc>
        <w:tc>
          <w:tcPr>
            <w:tcW w:w="1559" w:type="dxa"/>
            <w:vAlign w:val="center"/>
          </w:tcPr>
          <w:p>
            <w:pPr>
              <w:jc w:val="center"/>
              <w:rPr>
                <w:snapToGrid w:val="0"/>
                <w:kern w:val="21"/>
                <w:sz w:val="21"/>
                <w:szCs w:val="21"/>
              </w:rPr>
            </w:pPr>
            <w:r>
              <w:rPr>
                <w:sz w:val="21"/>
                <w:szCs w:val="21"/>
                <w:lang w:bidi="ar"/>
              </w:rPr>
              <w:t>0</w:t>
            </w:r>
          </w:p>
        </w:tc>
        <w:tc>
          <w:tcPr>
            <w:tcW w:w="1761" w:type="dxa"/>
            <w:vAlign w:val="center"/>
          </w:tcPr>
          <w:p>
            <w:pPr>
              <w:jc w:val="center"/>
              <w:rPr>
                <w:snapToGrid w:val="0"/>
                <w:kern w:val="21"/>
                <w:sz w:val="21"/>
                <w:szCs w:val="21"/>
              </w:rPr>
            </w:pPr>
            <w:r>
              <w:rPr>
                <w:sz w:val="21"/>
                <w:szCs w:val="21"/>
                <w:lang w:bidi="ar"/>
              </w:rPr>
              <w:t>0</w:t>
            </w:r>
          </w:p>
        </w:tc>
        <w:tc>
          <w:tcPr>
            <w:tcW w:w="1724" w:type="dxa"/>
            <w:vAlign w:val="center"/>
          </w:tcPr>
          <w:p>
            <w:pPr>
              <w:jc w:val="center"/>
              <w:rPr>
                <w:snapToGrid w:val="0"/>
                <w:kern w:val="21"/>
                <w:sz w:val="21"/>
                <w:szCs w:val="21"/>
              </w:rPr>
            </w:pPr>
            <w:r>
              <w:rPr>
                <w:sz w:val="21"/>
                <w:szCs w:val="21"/>
                <w:lang w:bidi="ar"/>
              </w:rPr>
              <w:t>0</w:t>
            </w:r>
          </w:p>
        </w:tc>
        <w:tc>
          <w:tcPr>
            <w:tcW w:w="1061" w:type="dxa"/>
            <w:vAlign w:val="center"/>
          </w:tcPr>
          <w:p>
            <w:pPr>
              <w:jc w:val="center"/>
              <w:rPr>
                <w:snapToGrid w:val="0"/>
                <w:kern w:val="21"/>
                <w:sz w:val="21"/>
                <w:szCs w:val="21"/>
              </w:rPr>
            </w:pPr>
            <w:r>
              <w:rPr>
                <w:sz w:val="21"/>
                <w:szCs w:val="21"/>
                <w:lang w:bidi="ar"/>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85" w:type="dxa"/>
            <w:vMerge w:val="restart"/>
            <w:vAlign w:val="center"/>
          </w:tcPr>
          <w:p>
            <w:pPr>
              <w:pStyle w:val="42"/>
              <w:spacing w:beforeLines="0" w:afterLines="0" w:line="240" w:lineRule="auto"/>
              <w:rPr>
                <w:rFonts w:ascii="Times New Roman"/>
                <w:snapToGrid w:val="0"/>
                <w:color w:val="000000"/>
                <w:kern w:val="21"/>
                <w:sz w:val="21"/>
                <w:szCs w:val="21"/>
              </w:rPr>
            </w:pPr>
            <w:r>
              <w:rPr>
                <w:rFonts w:ascii="Times New Roman"/>
                <w:sz w:val="21"/>
                <w:szCs w:val="21"/>
              </w:rPr>
              <w:t>一般固废</w:t>
            </w:r>
          </w:p>
        </w:tc>
        <w:tc>
          <w:tcPr>
            <w:tcW w:w="1680" w:type="dxa"/>
            <w:vAlign w:val="center"/>
          </w:tcPr>
          <w:p>
            <w:pPr>
              <w:jc w:val="center"/>
              <w:rPr>
                <w:sz w:val="21"/>
                <w:szCs w:val="21"/>
              </w:rPr>
            </w:pPr>
            <w:r>
              <w:rPr>
                <w:rFonts w:hint="eastAsia"/>
                <w:sz w:val="21"/>
                <w:szCs w:val="21"/>
              </w:rPr>
              <w:t>不合格品</w:t>
            </w:r>
          </w:p>
        </w:tc>
        <w:tc>
          <w:tcPr>
            <w:tcW w:w="1541" w:type="dxa"/>
            <w:vAlign w:val="center"/>
          </w:tcPr>
          <w:p>
            <w:pPr>
              <w:jc w:val="center"/>
              <w:rPr>
                <w:sz w:val="21"/>
                <w:szCs w:val="21"/>
                <w:lang w:bidi="ar"/>
              </w:rPr>
            </w:pPr>
            <w:r>
              <w:rPr>
                <w:sz w:val="21"/>
                <w:szCs w:val="21"/>
                <w:lang w:bidi="ar"/>
              </w:rPr>
              <w:t>0</w:t>
            </w:r>
          </w:p>
        </w:tc>
        <w:tc>
          <w:tcPr>
            <w:tcW w:w="1276" w:type="dxa"/>
            <w:vAlign w:val="center"/>
          </w:tcPr>
          <w:p>
            <w:pPr>
              <w:jc w:val="center"/>
              <w:rPr>
                <w:sz w:val="21"/>
                <w:szCs w:val="21"/>
                <w:lang w:bidi="ar"/>
              </w:rPr>
            </w:pPr>
            <w:r>
              <w:rPr>
                <w:sz w:val="21"/>
                <w:szCs w:val="21"/>
                <w:lang w:bidi="ar"/>
              </w:rPr>
              <w:t>0</w:t>
            </w:r>
          </w:p>
        </w:tc>
        <w:tc>
          <w:tcPr>
            <w:tcW w:w="1701" w:type="dxa"/>
            <w:vAlign w:val="center"/>
          </w:tcPr>
          <w:p>
            <w:pPr>
              <w:jc w:val="center"/>
              <w:rPr>
                <w:sz w:val="21"/>
                <w:szCs w:val="21"/>
                <w:lang w:bidi="ar"/>
              </w:rPr>
            </w:pPr>
            <w:r>
              <w:rPr>
                <w:sz w:val="21"/>
                <w:szCs w:val="21"/>
                <w:lang w:bidi="ar"/>
              </w:rPr>
              <w:t>0</w:t>
            </w:r>
          </w:p>
        </w:tc>
        <w:tc>
          <w:tcPr>
            <w:tcW w:w="1559" w:type="dxa"/>
            <w:vAlign w:val="center"/>
          </w:tcPr>
          <w:p>
            <w:pPr>
              <w:jc w:val="center"/>
              <w:rPr>
                <w:sz w:val="21"/>
                <w:szCs w:val="21"/>
              </w:rPr>
            </w:pPr>
            <w:r>
              <w:rPr>
                <w:sz w:val="21"/>
                <w:szCs w:val="21"/>
                <w:lang w:bidi="ar"/>
              </w:rPr>
              <w:t>0.5</w:t>
            </w:r>
          </w:p>
        </w:tc>
        <w:tc>
          <w:tcPr>
            <w:tcW w:w="1761" w:type="dxa"/>
            <w:vAlign w:val="center"/>
          </w:tcPr>
          <w:p>
            <w:pPr>
              <w:jc w:val="center"/>
              <w:rPr>
                <w:sz w:val="21"/>
                <w:szCs w:val="21"/>
                <w:lang w:bidi="ar"/>
              </w:rPr>
            </w:pPr>
            <w:r>
              <w:rPr>
                <w:sz w:val="21"/>
                <w:szCs w:val="21"/>
                <w:lang w:bidi="ar"/>
              </w:rPr>
              <w:t>0</w:t>
            </w:r>
          </w:p>
        </w:tc>
        <w:tc>
          <w:tcPr>
            <w:tcW w:w="1724" w:type="dxa"/>
            <w:vAlign w:val="center"/>
          </w:tcPr>
          <w:p>
            <w:pPr>
              <w:jc w:val="center"/>
              <w:rPr>
                <w:sz w:val="21"/>
                <w:szCs w:val="21"/>
              </w:rPr>
            </w:pPr>
            <w:r>
              <w:rPr>
                <w:sz w:val="21"/>
                <w:szCs w:val="21"/>
                <w:lang w:bidi="ar"/>
              </w:rPr>
              <w:t>0.5</w:t>
            </w:r>
          </w:p>
        </w:tc>
        <w:tc>
          <w:tcPr>
            <w:tcW w:w="1061" w:type="dxa"/>
            <w:vAlign w:val="center"/>
          </w:tcPr>
          <w:p>
            <w:pPr>
              <w:jc w:val="center"/>
              <w:rPr>
                <w:sz w:val="21"/>
                <w:szCs w:val="21"/>
              </w:rPr>
            </w:pPr>
            <w:r>
              <w:rPr>
                <w:rFonts w:hint="eastAsia"/>
                <w:sz w:val="21"/>
                <w:szCs w:val="21"/>
                <w:lang w:bidi="ar"/>
              </w:rPr>
              <w:t>+</w:t>
            </w:r>
            <w:r>
              <w:rPr>
                <w:sz w:val="21"/>
                <w:szCs w:val="21"/>
                <w:lang w:bidi="ar"/>
              </w:rPr>
              <w:t>0.5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continue"/>
            <w:vAlign w:val="center"/>
          </w:tcPr>
          <w:p>
            <w:pPr>
              <w:pStyle w:val="42"/>
              <w:spacing w:beforeLines="0" w:afterLines="0" w:line="240" w:lineRule="auto"/>
              <w:rPr>
                <w:rFonts w:ascii="Times New Roman"/>
                <w:snapToGrid w:val="0"/>
                <w:color w:val="000000"/>
                <w:kern w:val="21"/>
                <w:sz w:val="21"/>
                <w:szCs w:val="21"/>
              </w:rPr>
            </w:pPr>
          </w:p>
        </w:tc>
        <w:tc>
          <w:tcPr>
            <w:tcW w:w="1680" w:type="dxa"/>
            <w:vAlign w:val="center"/>
          </w:tcPr>
          <w:p>
            <w:pPr>
              <w:jc w:val="center"/>
              <w:rPr>
                <w:sz w:val="21"/>
                <w:szCs w:val="21"/>
              </w:rPr>
            </w:pPr>
            <w:r>
              <w:rPr>
                <w:rFonts w:hint="eastAsia"/>
                <w:sz w:val="21"/>
                <w:szCs w:val="21"/>
              </w:rPr>
              <w:t>废边角料</w:t>
            </w:r>
          </w:p>
        </w:tc>
        <w:tc>
          <w:tcPr>
            <w:tcW w:w="1541" w:type="dxa"/>
            <w:vAlign w:val="center"/>
          </w:tcPr>
          <w:p>
            <w:pPr>
              <w:jc w:val="center"/>
              <w:rPr>
                <w:sz w:val="21"/>
                <w:szCs w:val="21"/>
                <w:lang w:bidi="ar"/>
              </w:rPr>
            </w:pPr>
            <w:r>
              <w:rPr>
                <w:sz w:val="21"/>
                <w:szCs w:val="21"/>
                <w:lang w:bidi="ar"/>
              </w:rPr>
              <w:t>0</w:t>
            </w:r>
          </w:p>
        </w:tc>
        <w:tc>
          <w:tcPr>
            <w:tcW w:w="1276" w:type="dxa"/>
            <w:vAlign w:val="center"/>
          </w:tcPr>
          <w:p>
            <w:pPr>
              <w:jc w:val="center"/>
              <w:rPr>
                <w:sz w:val="21"/>
                <w:szCs w:val="21"/>
                <w:lang w:bidi="ar"/>
              </w:rPr>
            </w:pPr>
            <w:r>
              <w:rPr>
                <w:sz w:val="21"/>
                <w:szCs w:val="21"/>
                <w:lang w:bidi="ar"/>
              </w:rPr>
              <w:t>0</w:t>
            </w:r>
          </w:p>
        </w:tc>
        <w:tc>
          <w:tcPr>
            <w:tcW w:w="1701" w:type="dxa"/>
            <w:vAlign w:val="center"/>
          </w:tcPr>
          <w:p>
            <w:pPr>
              <w:jc w:val="center"/>
              <w:rPr>
                <w:sz w:val="21"/>
                <w:szCs w:val="21"/>
                <w:lang w:bidi="ar"/>
              </w:rPr>
            </w:pPr>
            <w:r>
              <w:rPr>
                <w:sz w:val="21"/>
                <w:szCs w:val="21"/>
                <w:lang w:bidi="ar"/>
              </w:rPr>
              <w:t>0</w:t>
            </w:r>
          </w:p>
        </w:tc>
        <w:tc>
          <w:tcPr>
            <w:tcW w:w="1559" w:type="dxa"/>
            <w:vAlign w:val="center"/>
          </w:tcPr>
          <w:p>
            <w:pPr>
              <w:jc w:val="center"/>
              <w:rPr>
                <w:sz w:val="21"/>
                <w:szCs w:val="21"/>
              </w:rPr>
            </w:pPr>
            <w:r>
              <w:rPr>
                <w:sz w:val="21"/>
                <w:szCs w:val="21"/>
                <w:lang w:bidi="ar"/>
              </w:rPr>
              <w:t>0.1</w:t>
            </w:r>
          </w:p>
        </w:tc>
        <w:tc>
          <w:tcPr>
            <w:tcW w:w="1761" w:type="dxa"/>
            <w:vAlign w:val="center"/>
          </w:tcPr>
          <w:p>
            <w:pPr>
              <w:jc w:val="center"/>
              <w:rPr>
                <w:sz w:val="21"/>
                <w:szCs w:val="21"/>
                <w:lang w:bidi="ar"/>
              </w:rPr>
            </w:pPr>
            <w:r>
              <w:rPr>
                <w:sz w:val="21"/>
                <w:szCs w:val="21"/>
                <w:lang w:bidi="ar"/>
              </w:rPr>
              <w:t>0</w:t>
            </w:r>
          </w:p>
        </w:tc>
        <w:tc>
          <w:tcPr>
            <w:tcW w:w="1724" w:type="dxa"/>
            <w:vAlign w:val="center"/>
          </w:tcPr>
          <w:p>
            <w:pPr>
              <w:jc w:val="center"/>
              <w:rPr>
                <w:sz w:val="21"/>
                <w:szCs w:val="21"/>
              </w:rPr>
            </w:pPr>
            <w:r>
              <w:rPr>
                <w:sz w:val="21"/>
                <w:szCs w:val="21"/>
                <w:lang w:bidi="ar"/>
              </w:rPr>
              <w:t>0.1</w:t>
            </w:r>
          </w:p>
        </w:tc>
        <w:tc>
          <w:tcPr>
            <w:tcW w:w="1061" w:type="dxa"/>
            <w:vAlign w:val="center"/>
          </w:tcPr>
          <w:p>
            <w:pPr>
              <w:jc w:val="center"/>
              <w:rPr>
                <w:sz w:val="21"/>
                <w:szCs w:val="21"/>
              </w:rPr>
            </w:pPr>
            <w:r>
              <w:rPr>
                <w:rFonts w:hint="eastAsia"/>
                <w:sz w:val="21"/>
                <w:szCs w:val="21"/>
                <w:lang w:bidi="ar"/>
              </w:rPr>
              <w:t>+</w:t>
            </w:r>
            <w:r>
              <w:rPr>
                <w:sz w:val="21"/>
                <w:szCs w:val="21"/>
                <w:lang w:bidi="ar"/>
              </w:rPr>
              <w:t>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continue"/>
            <w:vAlign w:val="center"/>
          </w:tcPr>
          <w:p>
            <w:pPr>
              <w:pStyle w:val="42"/>
              <w:spacing w:beforeLines="0" w:afterLines="0" w:line="240" w:lineRule="auto"/>
              <w:rPr>
                <w:rFonts w:ascii="Times New Roman"/>
                <w:snapToGrid w:val="0"/>
                <w:color w:val="000000"/>
                <w:kern w:val="21"/>
                <w:sz w:val="21"/>
                <w:szCs w:val="21"/>
              </w:rPr>
            </w:pPr>
          </w:p>
        </w:tc>
        <w:tc>
          <w:tcPr>
            <w:tcW w:w="1680" w:type="dxa"/>
            <w:vAlign w:val="center"/>
          </w:tcPr>
          <w:p>
            <w:pPr>
              <w:jc w:val="center"/>
              <w:rPr>
                <w:sz w:val="21"/>
                <w:szCs w:val="21"/>
              </w:rPr>
            </w:pPr>
            <w:r>
              <w:rPr>
                <w:rFonts w:hint="eastAsia"/>
                <w:sz w:val="21"/>
                <w:szCs w:val="21"/>
              </w:rPr>
              <w:t>沉淀池底泥</w:t>
            </w:r>
          </w:p>
        </w:tc>
        <w:tc>
          <w:tcPr>
            <w:tcW w:w="1541" w:type="dxa"/>
            <w:vAlign w:val="center"/>
          </w:tcPr>
          <w:p>
            <w:pPr>
              <w:jc w:val="center"/>
              <w:rPr>
                <w:sz w:val="21"/>
                <w:szCs w:val="21"/>
                <w:lang w:bidi="ar"/>
              </w:rPr>
            </w:pPr>
            <w:r>
              <w:rPr>
                <w:sz w:val="21"/>
                <w:szCs w:val="21"/>
                <w:lang w:bidi="ar"/>
              </w:rPr>
              <w:t>0</w:t>
            </w:r>
          </w:p>
        </w:tc>
        <w:tc>
          <w:tcPr>
            <w:tcW w:w="1276" w:type="dxa"/>
            <w:vAlign w:val="center"/>
          </w:tcPr>
          <w:p>
            <w:pPr>
              <w:jc w:val="center"/>
              <w:rPr>
                <w:sz w:val="21"/>
                <w:szCs w:val="21"/>
                <w:lang w:bidi="ar"/>
              </w:rPr>
            </w:pPr>
            <w:r>
              <w:rPr>
                <w:sz w:val="21"/>
                <w:szCs w:val="21"/>
                <w:lang w:bidi="ar"/>
              </w:rPr>
              <w:t>0</w:t>
            </w:r>
          </w:p>
        </w:tc>
        <w:tc>
          <w:tcPr>
            <w:tcW w:w="1701" w:type="dxa"/>
            <w:vAlign w:val="center"/>
          </w:tcPr>
          <w:p>
            <w:pPr>
              <w:jc w:val="center"/>
              <w:rPr>
                <w:sz w:val="21"/>
                <w:szCs w:val="21"/>
                <w:lang w:bidi="ar"/>
              </w:rPr>
            </w:pPr>
            <w:r>
              <w:rPr>
                <w:sz w:val="21"/>
                <w:szCs w:val="21"/>
                <w:lang w:bidi="ar"/>
              </w:rPr>
              <w:t>0</w:t>
            </w:r>
          </w:p>
        </w:tc>
        <w:tc>
          <w:tcPr>
            <w:tcW w:w="1559" w:type="dxa"/>
            <w:vAlign w:val="center"/>
          </w:tcPr>
          <w:p>
            <w:pPr>
              <w:jc w:val="center"/>
              <w:rPr>
                <w:sz w:val="21"/>
                <w:szCs w:val="21"/>
              </w:rPr>
            </w:pPr>
            <w:r>
              <w:rPr>
                <w:sz w:val="21"/>
                <w:szCs w:val="21"/>
              </w:rPr>
              <w:t>0.2</w:t>
            </w:r>
          </w:p>
        </w:tc>
        <w:tc>
          <w:tcPr>
            <w:tcW w:w="1761" w:type="dxa"/>
            <w:vAlign w:val="center"/>
          </w:tcPr>
          <w:p>
            <w:pPr>
              <w:jc w:val="center"/>
              <w:rPr>
                <w:sz w:val="21"/>
                <w:szCs w:val="21"/>
                <w:lang w:bidi="ar"/>
              </w:rPr>
            </w:pPr>
            <w:r>
              <w:rPr>
                <w:sz w:val="21"/>
                <w:szCs w:val="21"/>
                <w:lang w:bidi="ar"/>
              </w:rPr>
              <w:t>0</w:t>
            </w:r>
          </w:p>
        </w:tc>
        <w:tc>
          <w:tcPr>
            <w:tcW w:w="1724" w:type="dxa"/>
            <w:vAlign w:val="center"/>
          </w:tcPr>
          <w:p>
            <w:pPr>
              <w:jc w:val="center"/>
              <w:rPr>
                <w:sz w:val="21"/>
                <w:szCs w:val="21"/>
              </w:rPr>
            </w:pPr>
            <w:r>
              <w:rPr>
                <w:sz w:val="21"/>
                <w:szCs w:val="21"/>
              </w:rPr>
              <w:t>0.2</w:t>
            </w:r>
          </w:p>
        </w:tc>
        <w:tc>
          <w:tcPr>
            <w:tcW w:w="1061" w:type="dxa"/>
            <w:vAlign w:val="center"/>
          </w:tcPr>
          <w:p>
            <w:pPr>
              <w:jc w:val="center"/>
              <w:rPr>
                <w:sz w:val="21"/>
                <w:szCs w:val="21"/>
              </w:rPr>
            </w:pPr>
            <w:r>
              <w:rPr>
                <w:rFonts w:hint="eastAsia"/>
                <w:sz w:val="21"/>
                <w:szCs w:val="21"/>
              </w:rPr>
              <w:t>+</w:t>
            </w:r>
            <w:r>
              <w:rPr>
                <w:sz w:val="21"/>
                <w:szCs w:val="21"/>
              </w:rPr>
              <w:t>0.2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continue"/>
            <w:vAlign w:val="center"/>
          </w:tcPr>
          <w:p>
            <w:pPr>
              <w:pStyle w:val="42"/>
              <w:spacing w:beforeLines="0" w:afterLines="0" w:line="240" w:lineRule="auto"/>
              <w:rPr>
                <w:rFonts w:ascii="Times New Roman"/>
                <w:snapToGrid w:val="0"/>
                <w:color w:val="000000"/>
                <w:kern w:val="21"/>
                <w:sz w:val="21"/>
                <w:szCs w:val="21"/>
              </w:rPr>
            </w:pPr>
          </w:p>
        </w:tc>
        <w:tc>
          <w:tcPr>
            <w:tcW w:w="1680" w:type="dxa"/>
            <w:vAlign w:val="center"/>
          </w:tcPr>
          <w:p>
            <w:pPr>
              <w:jc w:val="center"/>
              <w:rPr>
                <w:sz w:val="21"/>
                <w:szCs w:val="21"/>
              </w:rPr>
            </w:pPr>
            <w:r>
              <w:rPr>
                <w:rFonts w:hint="eastAsia"/>
                <w:sz w:val="21"/>
                <w:szCs w:val="21"/>
              </w:rPr>
              <w:t>收集的粉尘</w:t>
            </w:r>
          </w:p>
        </w:tc>
        <w:tc>
          <w:tcPr>
            <w:tcW w:w="1541" w:type="dxa"/>
            <w:vAlign w:val="center"/>
          </w:tcPr>
          <w:p>
            <w:pPr>
              <w:jc w:val="center"/>
              <w:rPr>
                <w:sz w:val="21"/>
                <w:szCs w:val="21"/>
                <w:lang w:bidi="ar"/>
              </w:rPr>
            </w:pPr>
            <w:r>
              <w:rPr>
                <w:sz w:val="21"/>
                <w:szCs w:val="21"/>
                <w:lang w:bidi="ar"/>
              </w:rPr>
              <w:t>0</w:t>
            </w:r>
          </w:p>
        </w:tc>
        <w:tc>
          <w:tcPr>
            <w:tcW w:w="1276" w:type="dxa"/>
            <w:vAlign w:val="center"/>
          </w:tcPr>
          <w:p>
            <w:pPr>
              <w:jc w:val="center"/>
              <w:rPr>
                <w:sz w:val="21"/>
                <w:szCs w:val="21"/>
                <w:lang w:bidi="ar"/>
              </w:rPr>
            </w:pPr>
            <w:r>
              <w:rPr>
                <w:sz w:val="21"/>
                <w:szCs w:val="21"/>
                <w:lang w:bidi="ar"/>
              </w:rPr>
              <w:t>0</w:t>
            </w:r>
          </w:p>
        </w:tc>
        <w:tc>
          <w:tcPr>
            <w:tcW w:w="1701" w:type="dxa"/>
            <w:vAlign w:val="center"/>
          </w:tcPr>
          <w:p>
            <w:pPr>
              <w:jc w:val="center"/>
              <w:rPr>
                <w:sz w:val="21"/>
                <w:szCs w:val="21"/>
                <w:lang w:bidi="ar"/>
              </w:rPr>
            </w:pPr>
            <w:r>
              <w:rPr>
                <w:sz w:val="21"/>
                <w:szCs w:val="21"/>
                <w:lang w:bidi="ar"/>
              </w:rPr>
              <w:t>0</w:t>
            </w:r>
          </w:p>
        </w:tc>
        <w:tc>
          <w:tcPr>
            <w:tcW w:w="1559" w:type="dxa"/>
            <w:vAlign w:val="center"/>
          </w:tcPr>
          <w:p>
            <w:pPr>
              <w:jc w:val="center"/>
              <w:rPr>
                <w:sz w:val="21"/>
                <w:szCs w:val="21"/>
              </w:rPr>
            </w:pPr>
            <w:r>
              <w:rPr>
                <w:rFonts w:hint="eastAsia"/>
                <w:sz w:val="21"/>
                <w:szCs w:val="21"/>
              </w:rPr>
              <w:t>15.3723</w:t>
            </w:r>
          </w:p>
        </w:tc>
        <w:tc>
          <w:tcPr>
            <w:tcW w:w="1761" w:type="dxa"/>
            <w:vAlign w:val="center"/>
          </w:tcPr>
          <w:p>
            <w:pPr>
              <w:jc w:val="center"/>
              <w:rPr>
                <w:sz w:val="21"/>
                <w:szCs w:val="21"/>
                <w:lang w:bidi="ar"/>
              </w:rPr>
            </w:pPr>
            <w:r>
              <w:rPr>
                <w:sz w:val="21"/>
                <w:szCs w:val="21"/>
                <w:lang w:bidi="ar"/>
              </w:rPr>
              <w:t>0</w:t>
            </w:r>
          </w:p>
        </w:tc>
        <w:tc>
          <w:tcPr>
            <w:tcW w:w="1724" w:type="dxa"/>
            <w:vAlign w:val="center"/>
          </w:tcPr>
          <w:p>
            <w:pPr>
              <w:jc w:val="center"/>
              <w:rPr>
                <w:sz w:val="21"/>
                <w:szCs w:val="21"/>
              </w:rPr>
            </w:pPr>
            <w:r>
              <w:rPr>
                <w:rFonts w:hint="eastAsia"/>
                <w:sz w:val="21"/>
                <w:szCs w:val="21"/>
              </w:rPr>
              <w:t>15.3723</w:t>
            </w:r>
          </w:p>
        </w:tc>
        <w:tc>
          <w:tcPr>
            <w:tcW w:w="1061" w:type="dxa"/>
            <w:vAlign w:val="center"/>
          </w:tcPr>
          <w:p>
            <w:pPr>
              <w:jc w:val="center"/>
              <w:rPr>
                <w:sz w:val="21"/>
                <w:szCs w:val="21"/>
              </w:rPr>
            </w:pPr>
            <w:r>
              <w:rPr>
                <w:rFonts w:hint="eastAsia"/>
                <w:sz w:val="21"/>
                <w:szCs w:val="21"/>
              </w:rPr>
              <w:t>+15.3723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continue"/>
            <w:vAlign w:val="center"/>
          </w:tcPr>
          <w:p>
            <w:pPr>
              <w:pStyle w:val="42"/>
              <w:spacing w:beforeLines="0" w:afterLines="0" w:line="240" w:lineRule="auto"/>
              <w:rPr>
                <w:rFonts w:ascii="Times New Roman"/>
                <w:snapToGrid w:val="0"/>
                <w:color w:val="000000"/>
                <w:kern w:val="21"/>
                <w:sz w:val="21"/>
                <w:szCs w:val="21"/>
              </w:rPr>
            </w:pPr>
          </w:p>
        </w:tc>
        <w:tc>
          <w:tcPr>
            <w:tcW w:w="1680" w:type="dxa"/>
            <w:vAlign w:val="center"/>
          </w:tcPr>
          <w:p>
            <w:pPr>
              <w:jc w:val="center"/>
              <w:rPr>
                <w:rFonts w:hint="default" w:eastAsia="宋体"/>
                <w:sz w:val="21"/>
                <w:szCs w:val="21"/>
                <w:lang w:val="en-US" w:eastAsia="zh-CN"/>
              </w:rPr>
            </w:pPr>
            <w:r>
              <w:rPr>
                <w:rFonts w:hint="eastAsia"/>
                <w:sz w:val="21"/>
                <w:szCs w:val="21"/>
                <w:lang w:val="en-US" w:eastAsia="zh-CN"/>
              </w:rPr>
              <w:t>废钢丝条</w:t>
            </w:r>
          </w:p>
        </w:tc>
        <w:tc>
          <w:tcPr>
            <w:tcW w:w="1541" w:type="dxa"/>
            <w:vAlign w:val="center"/>
          </w:tcPr>
          <w:p>
            <w:pPr>
              <w:jc w:val="center"/>
              <w:rPr>
                <w:rFonts w:ascii="Times New Roman" w:hAnsi="Times New Roman" w:eastAsia="宋体" w:cs="Times New Roman"/>
                <w:kern w:val="2"/>
                <w:sz w:val="21"/>
                <w:szCs w:val="21"/>
                <w:lang w:val="en-US" w:eastAsia="zh-CN" w:bidi="ar"/>
              </w:rPr>
            </w:pPr>
            <w:r>
              <w:rPr>
                <w:sz w:val="21"/>
                <w:szCs w:val="21"/>
                <w:lang w:bidi="ar"/>
              </w:rPr>
              <w:t>0</w:t>
            </w:r>
          </w:p>
        </w:tc>
        <w:tc>
          <w:tcPr>
            <w:tcW w:w="1276" w:type="dxa"/>
            <w:vAlign w:val="center"/>
          </w:tcPr>
          <w:p>
            <w:pPr>
              <w:jc w:val="center"/>
              <w:rPr>
                <w:rFonts w:ascii="Times New Roman" w:hAnsi="Times New Roman" w:eastAsia="宋体" w:cs="Times New Roman"/>
                <w:kern w:val="2"/>
                <w:sz w:val="21"/>
                <w:szCs w:val="21"/>
                <w:lang w:val="en-US" w:eastAsia="zh-CN" w:bidi="ar"/>
              </w:rPr>
            </w:pPr>
            <w:r>
              <w:rPr>
                <w:sz w:val="21"/>
                <w:szCs w:val="21"/>
                <w:lang w:bidi="ar"/>
              </w:rPr>
              <w:t>0</w:t>
            </w:r>
          </w:p>
        </w:tc>
        <w:tc>
          <w:tcPr>
            <w:tcW w:w="1701" w:type="dxa"/>
            <w:vAlign w:val="center"/>
          </w:tcPr>
          <w:p>
            <w:pPr>
              <w:jc w:val="center"/>
              <w:rPr>
                <w:rFonts w:ascii="Times New Roman" w:hAnsi="Times New Roman" w:eastAsia="宋体" w:cs="Times New Roman"/>
                <w:kern w:val="2"/>
                <w:sz w:val="21"/>
                <w:szCs w:val="21"/>
                <w:lang w:val="en-US" w:eastAsia="zh-CN" w:bidi="ar"/>
              </w:rPr>
            </w:pPr>
            <w:r>
              <w:rPr>
                <w:sz w:val="21"/>
                <w:szCs w:val="21"/>
                <w:lang w:bidi="ar"/>
              </w:rPr>
              <w:t>0</w:t>
            </w:r>
          </w:p>
        </w:tc>
        <w:tc>
          <w:tcPr>
            <w:tcW w:w="1559" w:type="dxa"/>
            <w:vAlign w:val="center"/>
          </w:tcPr>
          <w:p>
            <w:pPr>
              <w:jc w:val="center"/>
              <w:rPr>
                <w:rFonts w:hint="default" w:eastAsia="宋体"/>
                <w:sz w:val="21"/>
                <w:szCs w:val="21"/>
                <w:lang w:val="en-US" w:eastAsia="zh-CN"/>
              </w:rPr>
            </w:pPr>
            <w:r>
              <w:rPr>
                <w:rFonts w:hint="eastAsia"/>
                <w:sz w:val="21"/>
                <w:szCs w:val="21"/>
                <w:lang w:val="en-US" w:eastAsia="zh-CN"/>
              </w:rPr>
              <w:t>0.001</w:t>
            </w:r>
          </w:p>
        </w:tc>
        <w:tc>
          <w:tcPr>
            <w:tcW w:w="1761" w:type="dxa"/>
            <w:vAlign w:val="center"/>
          </w:tcPr>
          <w:p>
            <w:pPr>
              <w:jc w:val="center"/>
              <w:rPr>
                <w:rFonts w:hint="eastAsia" w:eastAsia="宋体"/>
                <w:sz w:val="21"/>
                <w:szCs w:val="21"/>
                <w:lang w:val="en-US" w:eastAsia="zh-CN" w:bidi="ar"/>
              </w:rPr>
            </w:pPr>
            <w:r>
              <w:rPr>
                <w:rFonts w:hint="eastAsia"/>
                <w:sz w:val="21"/>
                <w:szCs w:val="21"/>
                <w:lang w:val="en-US" w:eastAsia="zh-CN" w:bidi="ar"/>
              </w:rPr>
              <w:t>0</w:t>
            </w:r>
          </w:p>
        </w:tc>
        <w:tc>
          <w:tcPr>
            <w:tcW w:w="1724" w:type="dxa"/>
            <w:vAlign w:val="center"/>
          </w:tcPr>
          <w:p>
            <w:pPr>
              <w:jc w:val="center"/>
              <w:rPr>
                <w:rFonts w:hint="default"/>
                <w:sz w:val="21"/>
                <w:szCs w:val="21"/>
                <w:lang w:val="en-US" w:eastAsia="zh-CN"/>
              </w:rPr>
            </w:pPr>
            <w:r>
              <w:rPr>
                <w:rFonts w:hint="eastAsia"/>
                <w:sz w:val="21"/>
                <w:szCs w:val="21"/>
                <w:lang w:val="en-US" w:eastAsia="zh-CN"/>
              </w:rPr>
              <w:t>0.001</w:t>
            </w:r>
          </w:p>
        </w:tc>
        <w:tc>
          <w:tcPr>
            <w:tcW w:w="1061" w:type="dxa"/>
            <w:vAlign w:val="center"/>
          </w:tcPr>
          <w:p>
            <w:pPr>
              <w:jc w:val="center"/>
              <w:rPr>
                <w:rFonts w:hint="default" w:eastAsia="宋体"/>
                <w:sz w:val="21"/>
                <w:szCs w:val="21"/>
                <w:lang w:val="en-US" w:eastAsia="zh-CN"/>
              </w:rPr>
            </w:pPr>
            <w:r>
              <w:rPr>
                <w:rFonts w:hint="eastAsia"/>
                <w:sz w:val="21"/>
                <w:szCs w:val="21"/>
                <w:lang w:val="en-US" w:eastAsia="zh-CN"/>
              </w:rPr>
              <w:t>+0.001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restart"/>
            <w:vAlign w:val="center"/>
          </w:tcPr>
          <w:p>
            <w:pPr>
              <w:pStyle w:val="42"/>
              <w:spacing w:beforeLines="0" w:afterLines="0" w:line="240" w:lineRule="auto"/>
              <w:rPr>
                <w:rFonts w:ascii="Times New Roman"/>
                <w:snapToGrid w:val="0"/>
                <w:color w:val="000000"/>
                <w:kern w:val="21"/>
                <w:sz w:val="21"/>
                <w:szCs w:val="21"/>
              </w:rPr>
            </w:pPr>
            <w:r>
              <w:rPr>
                <w:rFonts w:hint="eastAsia" w:ascii="Times New Roman"/>
                <w:snapToGrid w:val="0"/>
                <w:color w:val="000000"/>
                <w:kern w:val="21"/>
                <w:sz w:val="21"/>
                <w:szCs w:val="21"/>
              </w:rPr>
              <w:t>危险废物</w:t>
            </w:r>
          </w:p>
        </w:tc>
        <w:tc>
          <w:tcPr>
            <w:tcW w:w="1680" w:type="dxa"/>
            <w:vAlign w:val="center"/>
          </w:tcPr>
          <w:p>
            <w:pPr>
              <w:jc w:val="center"/>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bidi="ar"/>
              </w:rPr>
              <w:t>废机油</w:t>
            </w:r>
          </w:p>
        </w:tc>
        <w:tc>
          <w:tcPr>
            <w:tcW w:w="1541" w:type="dxa"/>
            <w:vAlign w:val="center"/>
          </w:tcPr>
          <w:p>
            <w:pPr>
              <w:jc w:val="center"/>
              <w:rPr>
                <w:rFonts w:ascii="Times New Roman" w:hAnsi="Times New Roman" w:eastAsia="宋体" w:cs="Times New Roman"/>
                <w:sz w:val="21"/>
                <w:szCs w:val="21"/>
                <w:lang w:val="en-US" w:eastAsia="zh-CN" w:bidi="ar"/>
              </w:rPr>
            </w:pPr>
            <w:r>
              <w:rPr>
                <w:rFonts w:ascii="Times New Roman" w:hAnsi="Times New Roman" w:eastAsia="宋体" w:cs="Times New Roman"/>
                <w:sz w:val="21"/>
                <w:szCs w:val="21"/>
                <w:lang w:bidi="ar"/>
              </w:rPr>
              <w:t>0</w:t>
            </w:r>
          </w:p>
        </w:tc>
        <w:tc>
          <w:tcPr>
            <w:tcW w:w="1276" w:type="dxa"/>
            <w:vAlign w:val="center"/>
          </w:tcPr>
          <w:p>
            <w:pPr>
              <w:jc w:val="center"/>
              <w:rPr>
                <w:rFonts w:ascii="Times New Roman" w:hAnsi="Times New Roman" w:eastAsia="宋体" w:cs="Times New Roman"/>
                <w:sz w:val="21"/>
                <w:szCs w:val="21"/>
                <w:lang w:val="en-US" w:eastAsia="zh-CN" w:bidi="ar"/>
              </w:rPr>
            </w:pPr>
            <w:r>
              <w:rPr>
                <w:rFonts w:ascii="Times New Roman" w:hAnsi="Times New Roman" w:eastAsia="宋体" w:cs="Times New Roman"/>
                <w:sz w:val="21"/>
                <w:szCs w:val="21"/>
                <w:lang w:bidi="ar"/>
              </w:rPr>
              <w:t>0</w:t>
            </w:r>
          </w:p>
        </w:tc>
        <w:tc>
          <w:tcPr>
            <w:tcW w:w="1701" w:type="dxa"/>
            <w:vAlign w:val="center"/>
          </w:tcPr>
          <w:p>
            <w:pPr>
              <w:jc w:val="center"/>
              <w:rPr>
                <w:rFonts w:ascii="Times New Roman" w:hAnsi="Times New Roman" w:eastAsia="宋体" w:cs="Times New Roman"/>
                <w:sz w:val="21"/>
                <w:szCs w:val="21"/>
                <w:lang w:val="en-US" w:eastAsia="zh-CN" w:bidi="ar"/>
              </w:rPr>
            </w:pPr>
            <w:r>
              <w:rPr>
                <w:rFonts w:ascii="Times New Roman" w:hAnsi="Times New Roman" w:eastAsia="宋体" w:cs="Times New Roman"/>
                <w:sz w:val="21"/>
                <w:szCs w:val="21"/>
                <w:lang w:bidi="ar"/>
              </w:rPr>
              <w:t>0</w:t>
            </w:r>
          </w:p>
        </w:tc>
        <w:tc>
          <w:tcPr>
            <w:tcW w:w="1559" w:type="dxa"/>
            <w:vAlign w:val="center"/>
          </w:tcPr>
          <w:p>
            <w:pPr>
              <w:jc w:val="center"/>
              <w:rPr>
                <w:rFonts w:hint="eastAsia" w:ascii="Times New Roman" w:hAnsi="Times New Roman" w:eastAsia="宋体" w:cs="Times New Roman"/>
                <w:sz w:val="21"/>
                <w:szCs w:val="21"/>
                <w:lang w:val="en-US" w:eastAsia="zh-CN" w:bidi="ar"/>
              </w:rPr>
            </w:pPr>
            <w:r>
              <w:rPr>
                <w:rFonts w:ascii="Times New Roman" w:hAnsi="Times New Roman" w:eastAsia="宋体" w:cs="Times New Roman"/>
                <w:sz w:val="21"/>
                <w:szCs w:val="21"/>
                <w:lang w:bidi="ar"/>
              </w:rPr>
              <w:t>0.0</w:t>
            </w:r>
            <w:r>
              <w:rPr>
                <w:rFonts w:hint="eastAsia" w:ascii="Times New Roman" w:hAnsi="Times New Roman" w:eastAsia="宋体" w:cs="Times New Roman"/>
                <w:sz w:val="21"/>
                <w:szCs w:val="21"/>
                <w:lang w:bidi="ar"/>
              </w:rPr>
              <w:t>1</w:t>
            </w:r>
          </w:p>
        </w:tc>
        <w:tc>
          <w:tcPr>
            <w:tcW w:w="1761" w:type="dxa"/>
            <w:vAlign w:val="center"/>
          </w:tcPr>
          <w:p>
            <w:pPr>
              <w:jc w:val="center"/>
              <w:rPr>
                <w:rFonts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bidi="ar"/>
              </w:rPr>
              <w:t>0</w:t>
            </w:r>
          </w:p>
        </w:tc>
        <w:tc>
          <w:tcPr>
            <w:tcW w:w="1724" w:type="dxa"/>
            <w:vAlign w:val="center"/>
          </w:tcPr>
          <w:p>
            <w:pPr>
              <w:jc w:val="center"/>
              <w:rPr>
                <w:rFonts w:hint="eastAsia" w:ascii="Times New Roman" w:hAnsi="Times New Roman" w:eastAsia="宋体" w:cs="Times New Roman"/>
                <w:sz w:val="21"/>
                <w:szCs w:val="21"/>
                <w:lang w:val="en-US" w:eastAsia="zh-CN" w:bidi="ar"/>
              </w:rPr>
            </w:pPr>
            <w:r>
              <w:rPr>
                <w:rFonts w:ascii="Times New Roman" w:hAnsi="Times New Roman" w:eastAsia="宋体" w:cs="Times New Roman"/>
                <w:sz w:val="21"/>
                <w:szCs w:val="21"/>
                <w:lang w:bidi="ar"/>
              </w:rPr>
              <w:t>0.0</w:t>
            </w:r>
            <w:r>
              <w:rPr>
                <w:rFonts w:hint="eastAsia" w:ascii="Times New Roman" w:hAnsi="Times New Roman" w:eastAsia="宋体" w:cs="Times New Roman"/>
                <w:sz w:val="21"/>
                <w:szCs w:val="21"/>
                <w:lang w:bidi="ar"/>
              </w:rPr>
              <w:t>1</w:t>
            </w:r>
          </w:p>
        </w:tc>
        <w:tc>
          <w:tcPr>
            <w:tcW w:w="1061" w:type="dxa"/>
            <w:vAlign w:val="center"/>
          </w:tcPr>
          <w:p>
            <w:pPr>
              <w:jc w:val="center"/>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bidi="ar"/>
              </w:rPr>
              <w:t>+</w:t>
            </w:r>
            <w:r>
              <w:rPr>
                <w:rFonts w:ascii="Times New Roman" w:hAnsi="Times New Roman" w:eastAsia="宋体" w:cs="Times New Roman"/>
                <w:sz w:val="21"/>
                <w:szCs w:val="21"/>
                <w:lang w:bidi="ar"/>
              </w:rPr>
              <w:t>0.0</w:t>
            </w:r>
            <w:r>
              <w:rPr>
                <w:rFonts w:hint="eastAsia" w:ascii="Times New Roman" w:hAnsi="Times New Roman" w:eastAsia="宋体" w:cs="Times New Roman"/>
                <w:sz w:val="21"/>
                <w:szCs w:val="21"/>
                <w:lang w:bidi="ar"/>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5" w:type="dxa"/>
            <w:vMerge w:val="continue"/>
            <w:vAlign w:val="center"/>
          </w:tcPr>
          <w:p>
            <w:pPr>
              <w:pStyle w:val="42"/>
              <w:spacing w:beforeLines="0" w:afterLines="0" w:line="240" w:lineRule="auto"/>
              <w:rPr>
                <w:rFonts w:ascii="Times New Roman"/>
                <w:snapToGrid w:val="0"/>
                <w:color w:val="000000"/>
                <w:kern w:val="21"/>
                <w:sz w:val="21"/>
                <w:szCs w:val="21"/>
              </w:rPr>
            </w:pPr>
          </w:p>
        </w:tc>
        <w:tc>
          <w:tcPr>
            <w:tcW w:w="1680" w:type="dxa"/>
            <w:vAlign w:val="center"/>
          </w:tcPr>
          <w:p>
            <w:pPr>
              <w:jc w:val="center"/>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bidi="ar"/>
              </w:rPr>
              <w:t>废机油桶</w:t>
            </w:r>
          </w:p>
        </w:tc>
        <w:tc>
          <w:tcPr>
            <w:tcW w:w="1541" w:type="dxa"/>
            <w:vAlign w:val="center"/>
          </w:tcPr>
          <w:p>
            <w:pPr>
              <w:jc w:val="center"/>
              <w:rPr>
                <w:rFonts w:ascii="Times New Roman" w:hAnsi="Times New Roman" w:eastAsia="宋体" w:cs="Times New Roman"/>
                <w:sz w:val="21"/>
                <w:szCs w:val="21"/>
                <w:lang w:val="en-US" w:eastAsia="zh-CN" w:bidi="ar"/>
              </w:rPr>
            </w:pPr>
            <w:r>
              <w:rPr>
                <w:rFonts w:ascii="Times New Roman" w:hAnsi="Times New Roman" w:eastAsia="宋体" w:cs="Times New Roman"/>
                <w:sz w:val="21"/>
                <w:szCs w:val="21"/>
                <w:lang w:bidi="ar"/>
              </w:rPr>
              <w:t>0</w:t>
            </w:r>
          </w:p>
        </w:tc>
        <w:tc>
          <w:tcPr>
            <w:tcW w:w="1276" w:type="dxa"/>
            <w:vAlign w:val="center"/>
          </w:tcPr>
          <w:p>
            <w:pPr>
              <w:jc w:val="center"/>
              <w:rPr>
                <w:rFonts w:ascii="Times New Roman" w:hAnsi="Times New Roman" w:eastAsia="宋体" w:cs="Times New Roman"/>
                <w:sz w:val="21"/>
                <w:szCs w:val="21"/>
                <w:lang w:val="en-US" w:eastAsia="zh-CN" w:bidi="ar"/>
              </w:rPr>
            </w:pPr>
            <w:r>
              <w:rPr>
                <w:rFonts w:ascii="Times New Roman" w:hAnsi="Times New Roman" w:eastAsia="宋体" w:cs="Times New Roman"/>
                <w:sz w:val="21"/>
                <w:szCs w:val="21"/>
                <w:lang w:bidi="ar"/>
              </w:rPr>
              <w:t>0</w:t>
            </w:r>
          </w:p>
        </w:tc>
        <w:tc>
          <w:tcPr>
            <w:tcW w:w="1701" w:type="dxa"/>
            <w:vAlign w:val="center"/>
          </w:tcPr>
          <w:p>
            <w:pPr>
              <w:jc w:val="center"/>
              <w:rPr>
                <w:rFonts w:ascii="Times New Roman" w:hAnsi="Times New Roman" w:eastAsia="宋体" w:cs="Times New Roman"/>
                <w:sz w:val="21"/>
                <w:szCs w:val="21"/>
                <w:lang w:val="en-US" w:eastAsia="zh-CN" w:bidi="ar"/>
              </w:rPr>
            </w:pPr>
            <w:r>
              <w:rPr>
                <w:rFonts w:ascii="Times New Roman" w:hAnsi="Times New Roman" w:eastAsia="宋体" w:cs="Times New Roman"/>
                <w:sz w:val="21"/>
                <w:szCs w:val="21"/>
                <w:lang w:bidi="ar"/>
              </w:rPr>
              <w:t>0</w:t>
            </w:r>
          </w:p>
        </w:tc>
        <w:tc>
          <w:tcPr>
            <w:tcW w:w="1559" w:type="dxa"/>
            <w:vAlign w:val="center"/>
          </w:tcPr>
          <w:p>
            <w:pPr>
              <w:jc w:val="center"/>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bidi="ar"/>
              </w:rPr>
              <w:t>0.02</w:t>
            </w:r>
          </w:p>
        </w:tc>
        <w:tc>
          <w:tcPr>
            <w:tcW w:w="1761" w:type="dxa"/>
            <w:vAlign w:val="center"/>
          </w:tcPr>
          <w:p>
            <w:pPr>
              <w:jc w:val="center"/>
              <w:rPr>
                <w:rFonts w:ascii="Times New Roman" w:hAnsi="Times New Roman" w:eastAsia="宋体" w:cs="Times New Roman"/>
                <w:sz w:val="21"/>
                <w:szCs w:val="21"/>
                <w:lang w:val="en-US" w:eastAsia="zh-CN" w:bidi="ar"/>
              </w:rPr>
            </w:pPr>
            <w:r>
              <w:rPr>
                <w:rFonts w:ascii="Times New Roman" w:hAnsi="Times New Roman" w:eastAsia="宋体" w:cs="Times New Roman"/>
                <w:sz w:val="21"/>
                <w:szCs w:val="21"/>
                <w:lang w:bidi="ar"/>
              </w:rPr>
              <w:t>0</w:t>
            </w:r>
          </w:p>
        </w:tc>
        <w:tc>
          <w:tcPr>
            <w:tcW w:w="1724" w:type="dxa"/>
            <w:vAlign w:val="center"/>
          </w:tcPr>
          <w:p>
            <w:pPr>
              <w:jc w:val="center"/>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bidi="ar"/>
              </w:rPr>
              <w:t>0.02</w:t>
            </w:r>
          </w:p>
        </w:tc>
        <w:tc>
          <w:tcPr>
            <w:tcW w:w="1061" w:type="dxa"/>
            <w:vAlign w:val="center"/>
          </w:tcPr>
          <w:p>
            <w:pPr>
              <w:jc w:val="center"/>
              <w:rPr>
                <w:rFonts w:hint="eastAsia" w:ascii="Times New Roman" w:hAnsi="Times New Roman" w:eastAsia="宋体" w:cs="Times New Roman"/>
                <w:sz w:val="21"/>
                <w:szCs w:val="21"/>
                <w:lang w:val="en-US" w:eastAsia="zh-CN" w:bidi="ar"/>
              </w:rPr>
            </w:pPr>
            <w:r>
              <w:rPr>
                <w:rFonts w:hint="eastAsia" w:ascii="Times New Roman" w:hAnsi="Times New Roman" w:eastAsia="宋体" w:cs="Times New Roman"/>
                <w:sz w:val="21"/>
                <w:szCs w:val="21"/>
                <w:lang w:bidi="ar"/>
              </w:rPr>
              <w:t>+0.02</w:t>
            </w:r>
          </w:p>
        </w:tc>
      </w:tr>
    </w:tbl>
    <w:p>
      <w:pPr>
        <w:pStyle w:val="42"/>
        <w:spacing w:before="192" w:beforeLines="80" w:after="24"/>
        <w:jc w:val="left"/>
        <w:sectPr>
          <w:headerReference r:id="rId9" w:type="default"/>
          <w:footerReference r:id="rId10" w:type="default"/>
          <w:pgSz w:w="16838" w:h="11906" w:orient="landscape"/>
          <w:pgMar w:top="1701" w:right="1531" w:bottom="1701" w:left="1531" w:header="851" w:footer="851" w:gutter="0"/>
          <w:cols w:space="720" w:num="1"/>
          <w:docGrid w:linePitch="312" w:charSpace="0"/>
        </w:sectPr>
      </w:pPr>
      <w:r>
        <w:rPr>
          <w:rFonts w:ascii="Times New Roman"/>
          <w:snapToGrid w:val="0"/>
          <w:color w:val="000000"/>
          <w:kern w:val="21"/>
          <w:szCs w:val="21"/>
        </w:rPr>
        <w:t>注：</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ascii="Times New Roman"/>
          <w:szCs w:val="21"/>
        </w:rPr>
        <w:t>③</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ascii="Times New Roman"/>
          <w:szCs w:val="21"/>
        </w:rPr>
        <w:t>④</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ascii="Times New Roman"/>
          <w:szCs w:val="21"/>
        </w:rPr>
        <w:t>⑤</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ascii="Times New Roman"/>
          <w:szCs w:val="21"/>
        </w:rPr>
        <w:t>⑦</w:t>
      </w:r>
      <w:r>
        <w:rPr>
          <w:rFonts w:ascii="Times New Roman"/>
          <w:snapToGrid w:val="0"/>
          <w:color w:val="000000"/>
          <w:spacing w:val="-6"/>
          <w:kern w:val="21"/>
          <w:szCs w:val="21"/>
        </w:rPr>
        <w:fldChar w:fldCharType="end"/>
      </w:r>
      <w:r>
        <w:rPr>
          <w:rFonts w:ascii="Times New Roman"/>
          <w:snapToGrid w:val="0"/>
          <w:color w:val="000000"/>
          <w:spacing w:val="-6"/>
          <w:kern w:val="21"/>
          <w:szCs w:val="21"/>
        </w:rPr>
        <w:t>=</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ascii="Times New Roman"/>
          <w:szCs w:val="21"/>
        </w:rPr>
        <w:t>⑥</w:t>
      </w:r>
      <w:r>
        <w:rPr>
          <w:rFonts w:ascii="Times New Roman"/>
          <w:snapToGrid w:val="0"/>
          <w:color w:val="000000"/>
          <w:spacing w:val="-16"/>
          <w:kern w:val="21"/>
          <w:szCs w:val="21"/>
        </w:rPr>
        <w:fldChar w:fldCharType="end"/>
      </w:r>
      <w:r>
        <w:rPr>
          <w:rFonts w:ascii="Times New Roman"/>
          <w:snapToGrid w:val="0"/>
          <w:color w:val="000000"/>
          <w:spacing w:val="-16"/>
          <w:kern w:val="21"/>
          <w:szCs w:val="21"/>
        </w:rPr>
        <w:t>-</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ascii="Times New Roman"/>
          <w:szCs w:val="21"/>
        </w:rPr>
        <w:t>①</w:t>
      </w:r>
      <w:r>
        <w:rPr>
          <w:rFonts w:ascii="Times New Roman"/>
          <w:snapToGrid w:val="0"/>
          <w:color w:val="000000"/>
          <w:spacing w:val="-6"/>
          <w:kern w:val="21"/>
          <w:szCs w:val="21"/>
        </w:rPr>
        <w:fldChar w:fldCharType="end"/>
      </w:r>
    </w:p>
    <w:p/>
    <w:sectPr>
      <w:headerReference r:id="rId11" w:type="default"/>
      <w:footerReference r:id="rId12" w:type="default"/>
      <w:pgSz w:w="11906" w:h="16838"/>
      <w:pgMar w:top="1701" w:right="1531" w:bottom="1701" w:left="153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gbsnu54">
    <w:altName w:val="Times New Roman"/>
    <w:panose1 w:val="00000000000000000000"/>
    <w:charset w:val="00"/>
    <w:family w:val="auto"/>
    <w:pitch w:val="default"/>
    <w:sig w:usb0="00000000" w:usb1="00000000" w:usb2="00000000" w:usb3="00000000" w:csb0="00000001" w:csb1="00000000"/>
  </w:font>
  <w:font w:name="方正小标宋_GBK">
    <w:altName w:val="宋体"/>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3</w:t>
    </w:r>
    <w:r>
      <w:fldChar w:fldCharType="end"/>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141605</wp:posOffset>
              </wp:positionV>
              <wp:extent cx="1828800" cy="1828800"/>
              <wp:effectExtent l="0" t="0" r="0" b="0"/>
              <wp:wrapNone/>
              <wp:docPr id="2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11.15pt;height:144pt;width:144pt;mso-position-horizontal:center;mso-position-horizontal-relative:margin;mso-wrap-style:none;z-index:251659264;mso-width-relative:page;mso-height-relative:page;" filled="f" stroked="f" coordsize="21600,21600" o:gfxdata="UEsDBAoAAAAAAIdO4kAAAAAAAAAAAAAAAAAEAAAAZHJzL1BLAwQUAAAACACHTuJALsr9R9MAAAAH&#10;AQAADwAAAGRycy9kb3ducmV2LnhtbE2PvU7EMBCEeyTewVokOs75kSAKca44iYaOAyHR+eK9OMJe&#10;R7Yvl7w9SwXlzoxmvu32q3diwZimQArKXQECaQhmolHBx/vLQwMiZU1Gu0CoYMME+/72ptOtCVd6&#10;w+WYR8EllFqtwOY8t1KmwaLXaRdmJPbOIXqd+YyjNFFfudw7WRXFo/R6Il6wesaDxeH7ePEKntbP&#10;gHPCA36dlyHaaWvc66bU/V1ZPIPIuOa/MPziMzr0zHQKFzJJOAX8SFZQVTUIdqumYeGkoC6LGmTf&#10;yf/8/Q9QSwMEFAAAAAgAh07iQNt7lwPFAQAAkQMAAA4AAABkcnMvZTJvRG9jLnhtbK1TS27bMBDd&#10;F8gdCO5jygJaGILlIIGRIkDQFkh7AJqiLAL8gUNb8gXaG3TVTfc9l8/RISU5bbrJohtqODN8M+/N&#10;aH0zGE2OMoBytqbLRUGJtMI1yu5r+uXz/fWKEojcNlw7K2t6kkBvNldv1r2vZOk6pxsZCIJYqHpf&#10;0y5GXzEGopOGw8J5aTHYumB4xGvYsybwHtGNZmVRvGO9C40PTkgA9G7HIJ0Qw2sAXdsqIbdOHIy0&#10;cUQNUvOIlKBTHugmd9u2UsSPbQsyEl1TZBrziUXQ3qWTbda82gfuOyWmFvhrWnjByXBlsegFassj&#10;J4eg/oEySgQHro0L4QwbiWRFkMWyeKHNU8e9zFxQavAX0eH/wYoPx0+BqKamZUmJ5QYnfv7+7fzj&#10;1/nnV7IsyrdJot5DhZlPHnPjcOcGXJzZD+hMzIc2mPRFTgTjKPDpIrAcIhHp0apcrQoMCYzNF8Rn&#10;z899gPheOkOSUdOAE8zC8uMjxDF1TknVrLtXWucpavuXAzGTh6Xexx6TFYfdMBHaueaEfHocfk0t&#10;7jol+sGitmlPZiPMxm4yUg3wt4eIhXM/CXWEmorhpDKjaavSKvx5z1nPf9Lm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7K/UfTAAAABwEAAA8AAAAAAAAAAQAgAAAAIgAAAGRycy9kb3ducmV2Lnht&#10;bFBLAQIUABQAAAAIAIdO4kDbe5cDxQEAAJEDAAAOAAAAAAAAAAEAIAAAACIBAABkcnMvZTJvRG9j&#10;LnhtbFBLBQYAAAAABgAGAFkBAABZ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690A55"/>
    <w:multiLevelType w:val="multilevel"/>
    <w:tmpl w:val="24690A55"/>
    <w:lvl w:ilvl="0" w:tentative="0">
      <w:start w:val="1"/>
      <w:numFmt w:val="upperRoman"/>
      <w:lvlText w:val="%1."/>
      <w:lvlJc w:val="left"/>
      <w:pPr>
        <w:tabs>
          <w:tab w:val="left" w:pos="425"/>
        </w:tabs>
        <w:ind w:left="0" w:firstLine="0"/>
      </w:pPr>
    </w:lvl>
    <w:lvl w:ilvl="1" w:tentative="0">
      <w:start w:val="1"/>
      <w:numFmt w:val="upperLetter"/>
      <w:lvlText w:val="%2."/>
      <w:lvlJc w:val="left"/>
      <w:pPr>
        <w:tabs>
          <w:tab w:val="left" w:pos="1505"/>
        </w:tabs>
        <w:ind w:left="1080" w:firstLine="0"/>
      </w:pPr>
    </w:lvl>
    <w:lvl w:ilvl="2" w:tentative="0">
      <w:start w:val="1"/>
      <w:numFmt w:val="decimal"/>
      <w:pStyle w:val="4"/>
      <w:lvlText w:val="%3."/>
      <w:lvlJc w:val="left"/>
      <w:pPr>
        <w:tabs>
          <w:tab w:val="left" w:pos="2126"/>
        </w:tabs>
        <w:ind w:left="1701" w:firstLine="0"/>
      </w:pPr>
    </w:lvl>
    <w:lvl w:ilvl="3" w:tentative="0">
      <w:start w:val="1"/>
      <w:numFmt w:val="lowerLetter"/>
      <w:lvlText w:val="%4)"/>
      <w:lvlJc w:val="left"/>
      <w:pPr>
        <w:tabs>
          <w:tab w:val="left" w:pos="2976"/>
        </w:tabs>
        <w:ind w:left="2551" w:firstLine="0"/>
      </w:pPr>
    </w:lvl>
    <w:lvl w:ilvl="4" w:tentative="0">
      <w:start w:val="1"/>
      <w:numFmt w:val="decimal"/>
      <w:pStyle w:val="6"/>
      <w:lvlText w:val="(%5)"/>
      <w:lvlJc w:val="left"/>
      <w:pPr>
        <w:tabs>
          <w:tab w:val="left" w:pos="3827"/>
        </w:tabs>
        <w:ind w:left="3402" w:firstLine="0"/>
      </w:pPr>
    </w:lvl>
    <w:lvl w:ilvl="5" w:tentative="0">
      <w:start w:val="1"/>
      <w:numFmt w:val="lowerLetter"/>
      <w:lvlText w:val="(%6)"/>
      <w:lvlJc w:val="left"/>
      <w:pPr>
        <w:tabs>
          <w:tab w:val="left" w:pos="4677"/>
        </w:tabs>
        <w:ind w:left="4252" w:firstLine="0"/>
      </w:p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1">
    <w:nsid w:val="612C2EAF"/>
    <w:multiLevelType w:val="multilevel"/>
    <w:tmpl w:val="612C2EAF"/>
    <w:lvl w:ilvl="0" w:tentative="0">
      <w:start w:val="1"/>
      <w:numFmt w:val="chineseCountingThousand"/>
      <w:suff w:val="nothing"/>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isLgl/>
      <w:suff w:val="space"/>
      <w:lvlText w:val="%1.%2.%3"/>
      <w:lvlJc w:val="left"/>
      <w:pPr>
        <w:ind w:left="0" w:firstLine="0"/>
      </w:pPr>
      <w:rPr>
        <w:rFonts w:hint="eastAsia"/>
      </w:rPr>
    </w:lvl>
    <w:lvl w:ilvl="3" w:tentative="0">
      <w:start w:val="1"/>
      <w:numFmt w:val="decimal"/>
      <w:lvlRestart w:val="2"/>
      <w:pStyle w:val="73"/>
      <w:isLgl/>
      <w:suff w:val="space"/>
      <w:lvlText w:val="表%1.%2-%4"/>
      <w:lvlJc w:val="left"/>
      <w:pPr>
        <w:ind w:left="0" w:firstLine="0"/>
      </w:pPr>
      <w:rPr>
        <w:rFonts w:hint="eastAsia"/>
      </w:rPr>
    </w:lvl>
    <w:lvl w:ilvl="4" w:tentative="0">
      <w:start w:val="1"/>
      <w:numFmt w:val="decimal"/>
      <w:lvlRestart w:val="2"/>
      <w:isLgl/>
      <w:suff w:val="space"/>
      <w:lvlText w:val="图%1.%2-%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60B3"/>
    <w:rsid w:val="0002296D"/>
    <w:rsid w:val="00043144"/>
    <w:rsid w:val="0004364B"/>
    <w:rsid w:val="00061B1F"/>
    <w:rsid w:val="000733C4"/>
    <w:rsid w:val="00073647"/>
    <w:rsid w:val="00074783"/>
    <w:rsid w:val="0008070B"/>
    <w:rsid w:val="000810AC"/>
    <w:rsid w:val="00081A02"/>
    <w:rsid w:val="00082231"/>
    <w:rsid w:val="000841B8"/>
    <w:rsid w:val="00092D38"/>
    <w:rsid w:val="0009377B"/>
    <w:rsid w:val="000A20C9"/>
    <w:rsid w:val="000B058F"/>
    <w:rsid w:val="000B4467"/>
    <w:rsid w:val="000B4DB9"/>
    <w:rsid w:val="000C09AC"/>
    <w:rsid w:val="000C767F"/>
    <w:rsid w:val="000D5A44"/>
    <w:rsid w:val="000E3ED2"/>
    <w:rsid w:val="00100C59"/>
    <w:rsid w:val="00131F42"/>
    <w:rsid w:val="001357F1"/>
    <w:rsid w:val="00140FA8"/>
    <w:rsid w:val="001421B0"/>
    <w:rsid w:val="00142FEB"/>
    <w:rsid w:val="00143A2D"/>
    <w:rsid w:val="00145A41"/>
    <w:rsid w:val="00151675"/>
    <w:rsid w:val="00157435"/>
    <w:rsid w:val="00172A27"/>
    <w:rsid w:val="00174D04"/>
    <w:rsid w:val="0017504D"/>
    <w:rsid w:val="0017671A"/>
    <w:rsid w:val="00177422"/>
    <w:rsid w:val="00184590"/>
    <w:rsid w:val="001870D1"/>
    <w:rsid w:val="0018781E"/>
    <w:rsid w:val="0019262D"/>
    <w:rsid w:val="00196D6D"/>
    <w:rsid w:val="001A1B35"/>
    <w:rsid w:val="001A48A2"/>
    <w:rsid w:val="001A62EE"/>
    <w:rsid w:val="001A6F61"/>
    <w:rsid w:val="001B72B8"/>
    <w:rsid w:val="001C5364"/>
    <w:rsid w:val="001C69B3"/>
    <w:rsid w:val="001D5595"/>
    <w:rsid w:val="001D7874"/>
    <w:rsid w:val="001D7F22"/>
    <w:rsid w:val="001E7FA2"/>
    <w:rsid w:val="001F0F17"/>
    <w:rsid w:val="001F3347"/>
    <w:rsid w:val="001F3ADA"/>
    <w:rsid w:val="001F69E4"/>
    <w:rsid w:val="002125B4"/>
    <w:rsid w:val="002155B8"/>
    <w:rsid w:val="00224839"/>
    <w:rsid w:val="002249B2"/>
    <w:rsid w:val="00226574"/>
    <w:rsid w:val="002278EC"/>
    <w:rsid w:val="0023280E"/>
    <w:rsid w:val="002377D1"/>
    <w:rsid w:val="002506BC"/>
    <w:rsid w:val="00254345"/>
    <w:rsid w:val="00264557"/>
    <w:rsid w:val="00264EAE"/>
    <w:rsid w:val="002805AB"/>
    <w:rsid w:val="00284204"/>
    <w:rsid w:val="00291773"/>
    <w:rsid w:val="002A0EF2"/>
    <w:rsid w:val="002A168C"/>
    <w:rsid w:val="002A3DC7"/>
    <w:rsid w:val="002B49E2"/>
    <w:rsid w:val="002B7B00"/>
    <w:rsid w:val="002B7C44"/>
    <w:rsid w:val="002C2B17"/>
    <w:rsid w:val="002D3DD0"/>
    <w:rsid w:val="002E1F3A"/>
    <w:rsid w:val="002E298A"/>
    <w:rsid w:val="00301978"/>
    <w:rsid w:val="0030332C"/>
    <w:rsid w:val="003051C2"/>
    <w:rsid w:val="00311A5F"/>
    <w:rsid w:val="00312296"/>
    <w:rsid w:val="00314F0E"/>
    <w:rsid w:val="00321D8E"/>
    <w:rsid w:val="00325928"/>
    <w:rsid w:val="00330291"/>
    <w:rsid w:val="00332863"/>
    <w:rsid w:val="0033684D"/>
    <w:rsid w:val="00337B42"/>
    <w:rsid w:val="00341B42"/>
    <w:rsid w:val="0034348F"/>
    <w:rsid w:val="00346C30"/>
    <w:rsid w:val="00356653"/>
    <w:rsid w:val="0035743F"/>
    <w:rsid w:val="00357BE2"/>
    <w:rsid w:val="0036170C"/>
    <w:rsid w:val="00366E0F"/>
    <w:rsid w:val="00381A72"/>
    <w:rsid w:val="00384676"/>
    <w:rsid w:val="003854E0"/>
    <w:rsid w:val="00385AC9"/>
    <w:rsid w:val="00390857"/>
    <w:rsid w:val="003A4BF3"/>
    <w:rsid w:val="003B420D"/>
    <w:rsid w:val="003C6C16"/>
    <w:rsid w:val="003D794D"/>
    <w:rsid w:val="003E3058"/>
    <w:rsid w:val="003E76A9"/>
    <w:rsid w:val="003F0809"/>
    <w:rsid w:val="003F6A8C"/>
    <w:rsid w:val="003F755C"/>
    <w:rsid w:val="0040206D"/>
    <w:rsid w:val="004039CF"/>
    <w:rsid w:val="00406F01"/>
    <w:rsid w:val="00414848"/>
    <w:rsid w:val="00416D50"/>
    <w:rsid w:val="00416FD5"/>
    <w:rsid w:val="00417772"/>
    <w:rsid w:val="00417EF4"/>
    <w:rsid w:val="00420E6A"/>
    <w:rsid w:val="00425A9E"/>
    <w:rsid w:val="00426D6B"/>
    <w:rsid w:val="00431E6C"/>
    <w:rsid w:val="00433CE7"/>
    <w:rsid w:val="00452738"/>
    <w:rsid w:val="00456091"/>
    <w:rsid w:val="00466321"/>
    <w:rsid w:val="00484B9B"/>
    <w:rsid w:val="004855F6"/>
    <w:rsid w:val="0048661E"/>
    <w:rsid w:val="00494670"/>
    <w:rsid w:val="004A3823"/>
    <w:rsid w:val="004D1B1C"/>
    <w:rsid w:val="004D5ED6"/>
    <w:rsid w:val="004E0863"/>
    <w:rsid w:val="004E6946"/>
    <w:rsid w:val="004F1AD8"/>
    <w:rsid w:val="00501EE6"/>
    <w:rsid w:val="005039CB"/>
    <w:rsid w:val="005043F3"/>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0ED7"/>
    <w:rsid w:val="00594D77"/>
    <w:rsid w:val="005958FC"/>
    <w:rsid w:val="005969E4"/>
    <w:rsid w:val="005A06B7"/>
    <w:rsid w:val="005A1759"/>
    <w:rsid w:val="005A68A7"/>
    <w:rsid w:val="005D36AB"/>
    <w:rsid w:val="00617CC3"/>
    <w:rsid w:val="00621E33"/>
    <w:rsid w:val="006377A6"/>
    <w:rsid w:val="00637A3D"/>
    <w:rsid w:val="006411EF"/>
    <w:rsid w:val="00661709"/>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126F9"/>
    <w:rsid w:val="00732922"/>
    <w:rsid w:val="0075162E"/>
    <w:rsid w:val="00754034"/>
    <w:rsid w:val="00756556"/>
    <w:rsid w:val="007618C4"/>
    <w:rsid w:val="00767980"/>
    <w:rsid w:val="00770B19"/>
    <w:rsid w:val="0077463F"/>
    <w:rsid w:val="007819FF"/>
    <w:rsid w:val="007836EA"/>
    <w:rsid w:val="00784CDA"/>
    <w:rsid w:val="0078768E"/>
    <w:rsid w:val="007906C4"/>
    <w:rsid w:val="007940EA"/>
    <w:rsid w:val="007967E8"/>
    <w:rsid w:val="007A2170"/>
    <w:rsid w:val="007A22BF"/>
    <w:rsid w:val="007A3323"/>
    <w:rsid w:val="007B2417"/>
    <w:rsid w:val="007B72B8"/>
    <w:rsid w:val="007B7A58"/>
    <w:rsid w:val="007C21B5"/>
    <w:rsid w:val="007E4BD2"/>
    <w:rsid w:val="00801393"/>
    <w:rsid w:val="00802F88"/>
    <w:rsid w:val="00806FB7"/>
    <w:rsid w:val="0081293E"/>
    <w:rsid w:val="00815465"/>
    <w:rsid w:val="00816543"/>
    <w:rsid w:val="00817E9A"/>
    <w:rsid w:val="008306BD"/>
    <w:rsid w:val="00831A80"/>
    <w:rsid w:val="00833743"/>
    <w:rsid w:val="008340A4"/>
    <w:rsid w:val="00837766"/>
    <w:rsid w:val="0087135F"/>
    <w:rsid w:val="00872D94"/>
    <w:rsid w:val="00880364"/>
    <w:rsid w:val="00891592"/>
    <w:rsid w:val="00891E9E"/>
    <w:rsid w:val="00894764"/>
    <w:rsid w:val="008A2F68"/>
    <w:rsid w:val="008B4FA6"/>
    <w:rsid w:val="008B5282"/>
    <w:rsid w:val="008B7C17"/>
    <w:rsid w:val="008C2D01"/>
    <w:rsid w:val="008C40E6"/>
    <w:rsid w:val="008D0F7A"/>
    <w:rsid w:val="008D2851"/>
    <w:rsid w:val="008D68E4"/>
    <w:rsid w:val="008E0506"/>
    <w:rsid w:val="008E0CFF"/>
    <w:rsid w:val="008E5D6B"/>
    <w:rsid w:val="008E76F0"/>
    <w:rsid w:val="008F15FE"/>
    <w:rsid w:val="008F2D29"/>
    <w:rsid w:val="008F5187"/>
    <w:rsid w:val="008F60D8"/>
    <w:rsid w:val="00902727"/>
    <w:rsid w:val="00902C2A"/>
    <w:rsid w:val="0090312B"/>
    <w:rsid w:val="009049D8"/>
    <w:rsid w:val="0091736D"/>
    <w:rsid w:val="00930024"/>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A456F"/>
    <w:rsid w:val="009B0897"/>
    <w:rsid w:val="009B7BD9"/>
    <w:rsid w:val="009C7DD5"/>
    <w:rsid w:val="009E227D"/>
    <w:rsid w:val="009E3B38"/>
    <w:rsid w:val="009E5019"/>
    <w:rsid w:val="00A04F1B"/>
    <w:rsid w:val="00A0501B"/>
    <w:rsid w:val="00A14947"/>
    <w:rsid w:val="00A32A83"/>
    <w:rsid w:val="00A368DB"/>
    <w:rsid w:val="00A423AA"/>
    <w:rsid w:val="00A53EC6"/>
    <w:rsid w:val="00A55C0F"/>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33CF"/>
    <w:rsid w:val="00AF4D50"/>
    <w:rsid w:val="00AF6179"/>
    <w:rsid w:val="00B00300"/>
    <w:rsid w:val="00B107EF"/>
    <w:rsid w:val="00B1295A"/>
    <w:rsid w:val="00B20A45"/>
    <w:rsid w:val="00B22C5C"/>
    <w:rsid w:val="00B24F30"/>
    <w:rsid w:val="00B31ABF"/>
    <w:rsid w:val="00B33BE3"/>
    <w:rsid w:val="00B3627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528D4"/>
    <w:rsid w:val="00C61E4B"/>
    <w:rsid w:val="00C64BFF"/>
    <w:rsid w:val="00C704E9"/>
    <w:rsid w:val="00C74CEB"/>
    <w:rsid w:val="00C763C9"/>
    <w:rsid w:val="00C80057"/>
    <w:rsid w:val="00C82232"/>
    <w:rsid w:val="00C82913"/>
    <w:rsid w:val="00C86B63"/>
    <w:rsid w:val="00C972B1"/>
    <w:rsid w:val="00CA2CCE"/>
    <w:rsid w:val="00CA43FD"/>
    <w:rsid w:val="00CA7EF8"/>
    <w:rsid w:val="00CC489B"/>
    <w:rsid w:val="00CD2BCD"/>
    <w:rsid w:val="00CD3A4C"/>
    <w:rsid w:val="00CE10E9"/>
    <w:rsid w:val="00CE2910"/>
    <w:rsid w:val="00CE5393"/>
    <w:rsid w:val="00CF36BE"/>
    <w:rsid w:val="00CF6000"/>
    <w:rsid w:val="00D003F3"/>
    <w:rsid w:val="00D0364F"/>
    <w:rsid w:val="00D06834"/>
    <w:rsid w:val="00D074CA"/>
    <w:rsid w:val="00D20B4D"/>
    <w:rsid w:val="00D308ED"/>
    <w:rsid w:val="00D36D86"/>
    <w:rsid w:val="00D428AA"/>
    <w:rsid w:val="00D50A34"/>
    <w:rsid w:val="00D53EFA"/>
    <w:rsid w:val="00D939D3"/>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1FBD"/>
    <w:rsid w:val="00EB5255"/>
    <w:rsid w:val="00EB5C47"/>
    <w:rsid w:val="00EC3065"/>
    <w:rsid w:val="00EC5D85"/>
    <w:rsid w:val="00ED0639"/>
    <w:rsid w:val="00ED7E9B"/>
    <w:rsid w:val="00EF4755"/>
    <w:rsid w:val="00EF7135"/>
    <w:rsid w:val="00F027DB"/>
    <w:rsid w:val="00F14A7A"/>
    <w:rsid w:val="00F22985"/>
    <w:rsid w:val="00F27441"/>
    <w:rsid w:val="00F3383E"/>
    <w:rsid w:val="00F367EA"/>
    <w:rsid w:val="00F465A7"/>
    <w:rsid w:val="00F50B7C"/>
    <w:rsid w:val="00F550E6"/>
    <w:rsid w:val="00F74345"/>
    <w:rsid w:val="00F74A57"/>
    <w:rsid w:val="00F80A0A"/>
    <w:rsid w:val="00F82B19"/>
    <w:rsid w:val="00F9212D"/>
    <w:rsid w:val="00F965DA"/>
    <w:rsid w:val="00FA406A"/>
    <w:rsid w:val="00FB3CE5"/>
    <w:rsid w:val="00FB503A"/>
    <w:rsid w:val="00FB516C"/>
    <w:rsid w:val="00FC206D"/>
    <w:rsid w:val="00FD0236"/>
    <w:rsid w:val="00FD18F4"/>
    <w:rsid w:val="00FD54DB"/>
    <w:rsid w:val="00FD619F"/>
    <w:rsid w:val="00FE6B5D"/>
    <w:rsid w:val="0103164E"/>
    <w:rsid w:val="01211AD4"/>
    <w:rsid w:val="01290F7E"/>
    <w:rsid w:val="01345D7E"/>
    <w:rsid w:val="01346AC4"/>
    <w:rsid w:val="013C06BC"/>
    <w:rsid w:val="0140076C"/>
    <w:rsid w:val="014852B3"/>
    <w:rsid w:val="015D1E09"/>
    <w:rsid w:val="0179059C"/>
    <w:rsid w:val="017971B0"/>
    <w:rsid w:val="018067FB"/>
    <w:rsid w:val="018966A0"/>
    <w:rsid w:val="019A3B52"/>
    <w:rsid w:val="019B3BD1"/>
    <w:rsid w:val="019F1377"/>
    <w:rsid w:val="01BD4E93"/>
    <w:rsid w:val="01CA251A"/>
    <w:rsid w:val="01DB6127"/>
    <w:rsid w:val="01EC3E90"/>
    <w:rsid w:val="01F42D45"/>
    <w:rsid w:val="021627C3"/>
    <w:rsid w:val="02203B3A"/>
    <w:rsid w:val="02210575"/>
    <w:rsid w:val="022B0E5C"/>
    <w:rsid w:val="023575E5"/>
    <w:rsid w:val="02441F1E"/>
    <w:rsid w:val="025657AD"/>
    <w:rsid w:val="025D4D8E"/>
    <w:rsid w:val="02697903"/>
    <w:rsid w:val="026B3007"/>
    <w:rsid w:val="02867E41"/>
    <w:rsid w:val="02994018"/>
    <w:rsid w:val="02B26E88"/>
    <w:rsid w:val="02C61DCD"/>
    <w:rsid w:val="02CC01C5"/>
    <w:rsid w:val="02E35293"/>
    <w:rsid w:val="02E64D83"/>
    <w:rsid w:val="02EB239A"/>
    <w:rsid w:val="02EE3C38"/>
    <w:rsid w:val="02F330DA"/>
    <w:rsid w:val="02F70D3E"/>
    <w:rsid w:val="02F96569"/>
    <w:rsid w:val="02F971EB"/>
    <w:rsid w:val="030376E3"/>
    <w:rsid w:val="030B7C9B"/>
    <w:rsid w:val="030D523F"/>
    <w:rsid w:val="032633D2"/>
    <w:rsid w:val="032D4760"/>
    <w:rsid w:val="033124A2"/>
    <w:rsid w:val="03463A74"/>
    <w:rsid w:val="034D1C76"/>
    <w:rsid w:val="035E4919"/>
    <w:rsid w:val="036208AE"/>
    <w:rsid w:val="036A7762"/>
    <w:rsid w:val="038A1BB2"/>
    <w:rsid w:val="03920A67"/>
    <w:rsid w:val="039842CF"/>
    <w:rsid w:val="03A603A5"/>
    <w:rsid w:val="03A964DC"/>
    <w:rsid w:val="03AA5DB1"/>
    <w:rsid w:val="03C86237"/>
    <w:rsid w:val="03CF3A69"/>
    <w:rsid w:val="03CF5E7E"/>
    <w:rsid w:val="03CF6ECC"/>
    <w:rsid w:val="03E87422"/>
    <w:rsid w:val="03EA7B21"/>
    <w:rsid w:val="03F62DA4"/>
    <w:rsid w:val="04037293"/>
    <w:rsid w:val="040E6340"/>
    <w:rsid w:val="04163446"/>
    <w:rsid w:val="041B280B"/>
    <w:rsid w:val="043A5387"/>
    <w:rsid w:val="043A7135"/>
    <w:rsid w:val="043D6C25"/>
    <w:rsid w:val="04447FB3"/>
    <w:rsid w:val="04484019"/>
    <w:rsid w:val="045B52FD"/>
    <w:rsid w:val="045F7C26"/>
    <w:rsid w:val="046046C1"/>
    <w:rsid w:val="04654CFD"/>
    <w:rsid w:val="047014D1"/>
    <w:rsid w:val="047B2AB9"/>
    <w:rsid w:val="047F0FEB"/>
    <w:rsid w:val="047F723D"/>
    <w:rsid w:val="0485183B"/>
    <w:rsid w:val="04951EB1"/>
    <w:rsid w:val="049F51EA"/>
    <w:rsid w:val="04AA0914"/>
    <w:rsid w:val="04B2316F"/>
    <w:rsid w:val="04B52C5F"/>
    <w:rsid w:val="04D446C3"/>
    <w:rsid w:val="04D72BD5"/>
    <w:rsid w:val="04F75026"/>
    <w:rsid w:val="04FD51F2"/>
    <w:rsid w:val="05015EA4"/>
    <w:rsid w:val="05341DD6"/>
    <w:rsid w:val="054D2E98"/>
    <w:rsid w:val="054D527E"/>
    <w:rsid w:val="055712AE"/>
    <w:rsid w:val="057C377D"/>
    <w:rsid w:val="058E37D6"/>
    <w:rsid w:val="05917228"/>
    <w:rsid w:val="05B55C2C"/>
    <w:rsid w:val="05BC1DCB"/>
    <w:rsid w:val="05C13B60"/>
    <w:rsid w:val="05C25634"/>
    <w:rsid w:val="05D435B9"/>
    <w:rsid w:val="05D55542"/>
    <w:rsid w:val="05E57574"/>
    <w:rsid w:val="05F17CC7"/>
    <w:rsid w:val="05F41565"/>
    <w:rsid w:val="05F83EAE"/>
    <w:rsid w:val="0607573C"/>
    <w:rsid w:val="06155A2B"/>
    <w:rsid w:val="06175254"/>
    <w:rsid w:val="062956B3"/>
    <w:rsid w:val="06304C93"/>
    <w:rsid w:val="063E7D85"/>
    <w:rsid w:val="064249C6"/>
    <w:rsid w:val="06456265"/>
    <w:rsid w:val="06491ADB"/>
    <w:rsid w:val="065018C3"/>
    <w:rsid w:val="06695AAF"/>
    <w:rsid w:val="0671705A"/>
    <w:rsid w:val="06740057"/>
    <w:rsid w:val="067A4160"/>
    <w:rsid w:val="067B3A34"/>
    <w:rsid w:val="067D2D8D"/>
    <w:rsid w:val="068E3768"/>
    <w:rsid w:val="06905732"/>
    <w:rsid w:val="06A55DD7"/>
    <w:rsid w:val="06D7667D"/>
    <w:rsid w:val="06DF5D71"/>
    <w:rsid w:val="06E635A4"/>
    <w:rsid w:val="06F36B5B"/>
    <w:rsid w:val="07031337"/>
    <w:rsid w:val="07034B09"/>
    <w:rsid w:val="070677A2"/>
    <w:rsid w:val="070B4DB8"/>
    <w:rsid w:val="070B6B66"/>
    <w:rsid w:val="070D6D82"/>
    <w:rsid w:val="07135A4D"/>
    <w:rsid w:val="071D4AEC"/>
    <w:rsid w:val="07240FEF"/>
    <w:rsid w:val="07287718"/>
    <w:rsid w:val="07293586"/>
    <w:rsid w:val="07295285"/>
    <w:rsid w:val="072B0FB7"/>
    <w:rsid w:val="072D4D2F"/>
    <w:rsid w:val="07375B44"/>
    <w:rsid w:val="07375ECB"/>
    <w:rsid w:val="0738154D"/>
    <w:rsid w:val="073C42AE"/>
    <w:rsid w:val="0753050D"/>
    <w:rsid w:val="075D1DD8"/>
    <w:rsid w:val="07636392"/>
    <w:rsid w:val="076369A2"/>
    <w:rsid w:val="07663572"/>
    <w:rsid w:val="07691ADF"/>
    <w:rsid w:val="07770C56"/>
    <w:rsid w:val="077B0190"/>
    <w:rsid w:val="077B2790"/>
    <w:rsid w:val="07846919"/>
    <w:rsid w:val="07852DBD"/>
    <w:rsid w:val="0797489E"/>
    <w:rsid w:val="07A1396F"/>
    <w:rsid w:val="07A1571D"/>
    <w:rsid w:val="07A42E2C"/>
    <w:rsid w:val="07AF1BE8"/>
    <w:rsid w:val="07B40FAC"/>
    <w:rsid w:val="07C1191B"/>
    <w:rsid w:val="07CF5DE6"/>
    <w:rsid w:val="07D23B28"/>
    <w:rsid w:val="07E2383B"/>
    <w:rsid w:val="07ED2710"/>
    <w:rsid w:val="07F043DF"/>
    <w:rsid w:val="07F41CF0"/>
    <w:rsid w:val="07FB4E2D"/>
    <w:rsid w:val="07FC0BA5"/>
    <w:rsid w:val="08033CE1"/>
    <w:rsid w:val="080A5070"/>
    <w:rsid w:val="08122176"/>
    <w:rsid w:val="08166358"/>
    <w:rsid w:val="0822685D"/>
    <w:rsid w:val="082500FC"/>
    <w:rsid w:val="082E2A41"/>
    <w:rsid w:val="082F138B"/>
    <w:rsid w:val="08381BDD"/>
    <w:rsid w:val="083D71F3"/>
    <w:rsid w:val="084B123E"/>
    <w:rsid w:val="085E3C98"/>
    <w:rsid w:val="08640C24"/>
    <w:rsid w:val="08680C58"/>
    <w:rsid w:val="08691299"/>
    <w:rsid w:val="086F1D0B"/>
    <w:rsid w:val="08705C0F"/>
    <w:rsid w:val="087075CB"/>
    <w:rsid w:val="087D0B85"/>
    <w:rsid w:val="087F0370"/>
    <w:rsid w:val="088143F7"/>
    <w:rsid w:val="08844E22"/>
    <w:rsid w:val="088A62C2"/>
    <w:rsid w:val="08962DA7"/>
    <w:rsid w:val="089661A8"/>
    <w:rsid w:val="08A05597"/>
    <w:rsid w:val="08A6123D"/>
    <w:rsid w:val="08B1373D"/>
    <w:rsid w:val="08B374B6"/>
    <w:rsid w:val="08C01BD2"/>
    <w:rsid w:val="08C6368D"/>
    <w:rsid w:val="08C77405"/>
    <w:rsid w:val="08CC4A1B"/>
    <w:rsid w:val="08D31906"/>
    <w:rsid w:val="09012917"/>
    <w:rsid w:val="09095327"/>
    <w:rsid w:val="090D408D"/>
    <w:rsid w:val="092217DD"/>
    <w:rsid w:val="092569E5"/>
    <w:rsid w:val="09320D22"/>
    <w:rsid w:val="093A7294"/>
    <w:rsid w:val="0949606C"/>
    <w:rsid w:val="09497E1A"/>
    <w:rsid w:val="095659DC"/>
    <w:rsid w:val="09736C45"/>
    <w:rsid w:val="098470A4"/>
    <w:rsid w:val="09970B85"/>
    <w:rsid w:val="099C263F"/>
    <w:rsid w:val="099E0166"/>
    <w:rsid w:val="09B2776D"/>
    <w:rsid w:val="09C000DC"/>
    <w:rsid w:val="09C0632E"/>
    <w:rsid w:val="09C556F2"/>
    <w:rsid w:val="09C63218"/>
    <w:rsid w:val="09C851E3"/>
    <w:rsid w:val="09E71B0D"/>
    <w:rsid w:val="09EB0ED1"/>
    <w:rsid w:val="09EC7123"/>
    <w:rsid w:val="09FD7740"/>
    <w:rsid w:val="0A0106F5"/>
    <w:rsid w:val="0A0D0E47"/>
    <w:rsid w:val="0A1605D4"/>
    <w:rsid w:val="0A1B0A5C"/>
    <w:rsid w:val="0A1B3564"/>
    <w:rsid w:val="0A1C108A"/>
    <w:rsid w:val="0A256191"/>
    <w:rsid w:val="0A263993"/>
    <w:rsid w:val="0A2D3AC2"/>
    <w:rsid w:val="0A310FDA"/>
    <w:rsid w:val="0A334D52"/>
    <w:rsid w:val="0A3D797F"/>
    <w:rsid w:val="0A4C7BC2"/>
    <w:rsid w:val="0A60366D"/>
    <w:rsid w:val="0A6D18E6"/>
    <w:rsid w:val="0A717628"/>
    <w:rsid w:val="0A76043E"/>
    <w:rsid w:val="0A8530D4"/>
    <w:rsid w:val="0A8729A8"/>
    <w:rsid w:val="0A8D3D36"/>
    <w:rsid w:val="0A8E01DA"/>
    <w:rsid w:val="0A9519AB"/>
    <w:rsid w:val="0A984BB5"/>
    <w:rsid w:val="0AA755DF"/>
    <w:rsid w:val="0AB94B2B"/>
    <w:rsid w:val="0AC71CBA"/>
    <w:rsid w:val="0AD656DD"/>
    <w:rsid w:val="0AD904CE"/>
    <w:rsid w:val="0ADA081B"/>
    <w:rsid w:val="0AF142C5"/>
    <w:rsid w:val="0AFF69E2"/>
    <w:rsid w:val="0B0622AA"/>
    <w:rsid w:val="0B096E95"/>
    <w:rsid w:val="0B120D44"/>
    <w:rsid w:val="0B281F0F"/>
    <w:rsid w:val="0B2B21D7"/>
    <w:rsid w:val="0B472137"/>
    <w:rsid w:val="0B631417"/>
    <w:rsid w:val="0B642CE9"/>
    <w:rsid w:val="0B757C84"/>
    <w:rsid w:val="0B860EB1"/>
    <w:rsid w:val="0B867103"/>
    <w:rsid w:val="0B92607E"/>
    <w:rsid w:val="0B9B7C60"/>
    <w:rsid w:val="0BAE21B6"/>
    <w:rsid w:val="0BAF0250"/>
    <w:rsid w:val="0BC1638D"/>
    <w:rsid w:val="0BC814CA"/>
    <w:rsid w:val="0BC8652D"/>
    <w:rsid w:val="0BD27BF6"/>
    <w:rsid w:val="0BDF05C2"/>
    <w:rsid w:val="0BDF4A68"/>
    <w:rsid w:val="0BE107DE"/>
    <w:rsid w:val="0BE34556"/>
    <w:rsid w:val="0BE91440"/>
    <w:rsid w:val="0BF176BC"/>
    <w:rsid w:val="0BF37322"/>
    <w:rsid w:val="0BF73BE1"/>
    <w:rsid w:val="0C037893"/>
    <w:rsid w:val="0C061FF2"/>
    <w:rsid w:val="0C0A7D34"/>
    <w:rsid w:val="0C1069CD"/>
    <w:rsid w:val="0C14470F"/>
    <w:rsid w:val="0C1B5796"/>
    <w:rsid w:val="0C27052E"/>
    <w:rsid w:val="0C3778D6"/>
    <w:rsid w:val="0C3B3C7D"/>
    <w:rsid w:val="0C41127C"/>
    <w:rsid w:val="0C7A3242"/>
    <w:rsid w:val="0C880C59"/>
    <w:rsid w:val="0C8A019E"/>
    <w:rsid w:val="0C9361EA"/>
    <w:rsid w:val="0C9B098C"/>
    <w:rsid w:val="0CA21D1B"/>
    <w:rsid w:val="0CAB2EAE"/>
    <w:rsid w:val="0CBA5D7D"/>
    <w:rsid w:val="0CBD0903"/>
    <w:rsid w:val="0CC84AD5"/>
    <w:rsid w:val="0CC978DE"/>
    <w:rsid w:val="0CCF4ADA"/>
    <w:rsid w:val="0CDD2D53"/>
    <w:rsid w:val="0CF12CA2"/>
    <w:rsid w:val="0CFB58CF"/>
    <w:rsid w:val="0D011755"/>
    <w:rsid w:val="0D162709"/>
    <w:rsid w:val="0D272220"/>
    <w:rsid w:val="0D330DC1"/>
    <w:rsid w:val="0D3C3C5D"/>
    <w:rsid w:val="0D3F33D7"/>
    <w:rsid w:val="0D4728C2"/>
    <w:rsid w:val="0D496C4D"/>
    <w:rsid w:val="0D522C49"/>
    <w:rsid w:val="0D621C7D"/>
    <w:rsid w:val="0D774F56"/>
    <w:rsid w:val="0D9D0734"/>
    <w:rsid w:val="0DA10224"/>
    <w:rsid w:val="0DA11B28"/>
    <w:rsid w:val="0DAE0D96"/>
    <w:rsid w:val="0DB30DF6"/>
    <w:rsid w:val="0DC90EE9"/>
    <w:rsid w:val="0DCF7019"/>
    <w:rsid w:val="0DD4182A"/>
    <w:rsid w:val="0DD96F24"/>
    <w:rsid w:val="0DDA54E4"/>
    <w:rsid w:val="0DE17BE2"/>
    <w:rsid w:val="0DE6032D"/>
    <w:rsid w:val="0DE819AF"/>
    <w:rsid w:val="0DEE3F64"/>
    <w:rsid w:val="0DFA5B18"/>
    <w:rsid w:val="0E124E75"/>
    <w:rsid w:val="0E151F6C"/>
    <w:rsid w:val="0E1674B9"/>
    <w:rsid w:val="0E176739"/>
    <w:rsid w:val="0E1E1875"/>
    <w:rsid w:val="0E2449B2"/>
    <w:rsid w:val="0E305D56"/>
    <w:rsid w:val="0E323572"/>
    <w:rsid w:val="0E330F57"/>
    <w:rsid w:val="0E337741"/>
    <w:rsid w:val="0E35096D"/>
    <w:rsid w:val="0E460A03"/>
    <w:rsid w:val="0E4A266A"/>
    <w:rsid w:val="0E4B0190"/>
    <w:rsid w:val="0E6B25E0"/>
    <w:rsid w:val="0E73034D"/>
    <w:rsid w:val="0E730F46"/>
    <w:rsid w:val="0E7E40C2"/>
    <w:rsid w:val="0E80503C"/>
    <w:rsid w:val="0EAC0C2F"/>
    <w:rsid w:val="0ECE6360"/>
    <w:rsid w:val="0ED2440E"/>
    <w:rsid w:val="0EDB1514"/>
    <w:rsid w:val="0EE0616F"/>
    <w:rsid w:val="0EED1247"/>
    <w:rsid w:val="0EFB1BB6"/>
    <w:rsid w:val="0F0C5B71"/>
    <w:rsid w:val="0F0C791F"/>
    <w:rsid w:val="0F0F5662"/>
    <w:rsid w:val="0F1113DA"/>
    <w:rsid w:val="0F13775A"/>
    <w:rsid w:val="0F145FAB"/>
    <w:rsid w:val="0F24110D"/>
    <w:rsid w:val="0F2E3D3A"/>
    <w:rsid w:val="0F34013A"/>
    <w:rsid w:val="0F340C24"/>
    <w:rsid w:val="0F347685"/>
    <w:rsid w:val="0F3B6457"/>
    <w:rsid w:val="0F415982"/>
    <w:rsid w:val="0F5512C6"/>
    <w:rsid w:val="0F59068B"/>
    <w:rsid w:val="0F5E0B8C"/>
    <w:rsid w:val="0F5F45FE"/>
    <w:rsid w:val="0F756EB2"/>
    <w:rsid w:val="0F87344A"/>
    <w:rsid w:val="0F985657"/>
    <w:rsid w:val="0F9A02A3"/>
    <w:rsid w:val="0F9A112B"/>
    <w:rsid w:val="0FA61B22"/>
    <w:rsid w:val="0FAC6B21"/>
    <w:rsid w:val="0FB35FED"/>
    <w:rsid w:val="0FB73D2F"/>
    <w:rsid w:val="0FBC7598"/>
    <w:rsid w:val="0FBF5DA7"/>
    <w:rsid w:val="0FC116DC"/>
    <w:rsid w:val="0FD06B9F"/>
    <w:rsid w:val="0FF97F53"/>
    <w:rsid w:val="10036F74"/>
    <w:rsid w:val="10142F30"/>
    <w:rsid w:val="101A2510"/>
    <w:rsid w:val="10250DC9"/>
    <w:rsid w:val="1035083B"/>
    <w:rsid w:val="10376C1E"/>
    <w:rsid w:val="103D37D8"/>
    <w:rsid w:val="1041184B"/>
    <w:rsid w:val="10463305"/>
    <w:rsid w:val="104D3A1E"/>
    <w:rsid w:val="104F3363"/>
    <w:rsid w:val="105772C0"/>
    <w:rsid w:val="105C48D7"/>
    <w:rsid w:val="105F7F23"/>
    <w:rsid w:val="10616A49"/>
    <w:rsid w:val="1068327B"/>
    <w:rsid w:val="106D2F64"/>
    <w:rsid w:val="106D43EE"/>
    <w:rsid w:val="107001C6"/>
    <w:rsid w:val="10833C11"/>
    <w:rsid w:val="1097590F"/>
    <w:rsid w:val="109D1177"/>
    <w:rsid w:val="109E203E"/>
    <w:rsid w:val="10AC2CED"/>
    <w:rsid w:val="10B63710"/>
    <w:rsid w:val="10BB12D9"/>
    <w:rsid w:val="10BF0533"/>
    <w:rsid w:val="10D75D0B"/>
    <w:rsid w:val="10DB1C9F"/>
    <w:rsid w:val="10DD5A17"/>
    <w:rsid w:val="10E072B6"/>
    <w:rsid w:val="10EE4DC2"/>
    <w:rsid w:val="10F10820"/>
    <w:rsid w:val="10FF706C"/>
    <w:rsid w:val="111B6540"/>
    <w:rsid w:val="111C2F7A"/>
    <w:rsid w:val="111D4066"/>
    <w:rsid w:val="11354FA8"/>
    <w:rsid w:val="113969C6"/>
    <w:rsid w:val="113E3FDC"/>
    <w:rsid w:val="114C042F"/>
    <w:rsid w:val="115074F3"/>
    <w:rsid w:val="11641C95"/>
    <w:rsid w:val="11665CA1"/>
    <w:rsid w:val="11700982"/>
    <w:rsid w:val="117B6FDE"/>
    <w:rsid w:val="117C7BAE"/>
    <w:rsid w:val="118253BD"/>
    <w:rsid w:val="119105B0"/>
    <w:rsid w:val="11943BFC"/>
    <w:rsid w:val="119C142F"/>
    <w:rsid w:val="11A9733E"/>
    <w:rsid w:val="11AA4E35"/>
    <w:rsid w:val="11C10E95"/>
    <w:rsid w:val="11C12C43"/>
    <w:rsid w:val="11C42733"/>
    <w:rsid w:val="11C97D4A"/>
    <w:rsid w:val="11D27FBC"/>
    <w:rsid w:val="11D54941"/>
    <w:rsid w:val="11DF0825"/>
    <w:rsid w:val="11F2192F"/>
    <w:rsid w:val="11FE0132"/>
    <w:rsid w:val="120945EA"/>
    <w:rsid w:val="12105979"/>
    <w:rsid w:val="12142161"/>
    <w:rsid w:val="121F796A"/>
    <w:rsid w:val="122D02D9"/>
    <w:rsid w:val="124D2729"/>
    <w:rsid w:val="12555A81"/>
    <w:rsid w:val="126006AE"/>
    <w:rsid w:val="126161D4"/>
    <w:rsid w:val="12617F82"/>
    <w:rsid w:val="126637EB"/>
    <w:rsid w:val="128123D2"/>
    <w:rsid w:val="12895E65"/>
    <w:rsid w:val="128C7B94"/>
    <w:rsid w:val="129939C8"/>
    <w:rsid w:val="1299771C"/>
    <w:rsid w:val="129C720C"/>
    <w:rsid w:val="12B72298"/>
    <w:rsid w:val="12BC165D"/>
    <w:rsid w:val="12C66037"/>
    <w:rsid w:val="12C946D7"/>
    <w:rsid w:val="12D11CBB"/>
    <w:rsid w:val="12D22C2E"/>
    <w:rsid w:val="12E267A6"/>
    <w:rsid w:val="12EF37E0"/>
    <w:rsid w:val="12F232D0"/>
    <w:rsid w:val="12F31522"/>
    <w:rsid w:val="12F901BB"/>
    <w:rsid w:val="12F9488D"/>
    <w:rsid w:val="12FC5EFD"/>
    <w:rsid w:val="1322533A"/>
    <w:rsid w:val="13306EC2"/>
    <w:rsid w:val="133E2072"/>
    <w:rsid w:val="13421B62"/>
    <w:rsid w:val="134A22CB"/>
    <w:rsid w:val="134C74FC"/>
    <w:rsid w:val="13517FF7"/>
    <w:rsid w:val="135C1146"/>
    <w:rsid w:val="137652F3"/>
    <w:rsid w:val="137D0DEC"/>
    <w:rsid w:val="13806B2E"/>
    <w:rsid w:val="13951726"/>
    <w:rsid w:val="13A504BC"/>
    <w:rsid w:val="13AA5567"/>
    <w:rsid w:val="13AC7923"/>
    <w:rsid w:val="13BC5DB8"/>
    <w:rsid w:val="13BF14BF"/>
    <w:rsid w:val="13C0517C"/>
    <w:rsid w:val="13C83004"/>
    <w:rsid w:val="13CB7DA9"/>
    <w:rsid w:val="13CC5A4F"/>
    <w:rsid w:val="13CE1647"/>
    <w:rsid w:val="13EE6BB7"/>
    <w:rsid w:val="13F75C15"/>
    <w:rsid w:val="1414228A"/>
    <w:rsid w:val="142179C9"/>
    <w:rsid w:val="14242E0D"/>
    <w:rsid w:val="1424570B"/>
    <w:rsid w:val="142C636E"/>
    <w:rsid w:val="142E7768"/>
    <w:rsid w:val="14396509"/>
    <w:rsid w:val="144063F2"/>
    <w:rsid w:val="14443E5B"/>
    <w:rsid w:val="144613FD"/>
    <w:rsid w:val="144C698B"/>
    <w:rsid w:val="145A7642"/>
    <w:rsid w:val="14665D24"/>
    <w:rsid w:val="146B158C"/>
    <w:rsid w:val="146B7C36"/>
    <w:rsid w:val="146D0E60"/>
    <w:rsid w:val="146D7C48"/>
    <w:rsid w:val="146E4BD8"/>
    <w:rsid w:val="146F4107"/>
    <w:rsid w:val="14717CE5"/>
    <w:rsid w:val="14787805"/>
    <w:rsid w:val="148F527B"/>
    <w:rsid w:val="14A037CB"/>
    <w:rsid w:val="14AC685F"/>
    <w:rsid w:val="14AD74AF"/>
    <w:rsid w:val="14BE346A"/>
    <w:rsid w:val="14CA2EEF"/>
    <w:rsid w:val="14DD2C3C"/>
    <w:rsid w:val="14F11A91"/>
    <w:rsid w:val="14F65897"/>
    <w:rsid w:val="150712B5"/>
    <w:rsid w:val="15113CA0"/>
    <w:rsid w:val="15273705"/>
    <w:rsid w:val="153674A4"/>
    <w:rsid w:val="15400323"/>
    <w:rsid w:val="15595889"/>
    <w:rsid w:val="15604521"/>
    <w:rsid w:val="156264EB"/>
    <w:rsid w:val="15657D89"/>
    <w:rsid w:val="1578154F"/>
    <w:rsid w:val="15883A78"/>
    <w:rsid w:val="159D7497"/>
    <w:rsid w:val="15AB60E4"/>
    <w:rsid w:val="15AC5E9B"/>
    <w:rsid w:val="15B1284F"/>
    <w:rsid w:val="15B17473"/>
    <w:rsid w:val="15B719C1"/>
    <w:rsid w:val="15BF2F7D"/>
    <w:rsid w:val="15CC7E09"/>
    <w:rsid w:val="15D171CD"/>
    <w:rsid w:val="15D908D7"/>
    <w:rsid w:val="15DA1E69"/>
    <w:rsid w:val="15EC04AB"/>
    <w:rsid w:val="15EC2259"/>
    <w:rsid w:val="15EC4007"/>
    <w:rsid w:val="15F35395"/>
    <w:rsid w:val="15F97EB4"/>
    <w:rsid w:val="15FA2BC8"/>
    <w:rsid w:val="15FB5B9F"/>
    <w:rsid w:val="16087E1D"/>
    <w:rsid w:val="160A26DF"/>
    <w:rsid w:val="160E6673"/>
    <w:rsid w:val="16111CBF"/>
    <w:rsid w:val="161576BA"/>
    <w:rsid w:val="161D0664"/>
    <w:rsid w:val="161D68B6"/>
    <w:rsid w:val="16210154"/>
    <w:rsid w:val="16287735"/>
    <w:rsid w:val="1635372B"/>
    <w:rsid w:val="163902BE"/>
    <w:rsid w:val="163B0AEA"/>
    <w:rsid w:val="165027E8"/>
    <w:rsid w:val="165F2E97"/>
    <w:rsid w:val="166B7621"/>
    <w:rsid w:val="166F2108"/>
    <w:rsid w:val="167D7355"/>
    <w:rsid w:val="167F4E7B"/>
    <w:rsid w:val="16832BBD"/>
    <w:rsid w:val="16AB2114"/>
    <w:rsid w:val="16C136E5"/>
    <w:rsid w:val="16C3120C"/>
    <w:rsid w:val="16C62AAA"/>
    <w:rsid w:val="16F525F2"/>
    <w:rsid w:val="16F615E1"/>
    <w:rsid w:val="1711641B"/>
    <w:rsid w:val="17201524"/>
    <w:rsid w:val="172779EC"/>
    <w:rsid w:val="1732013F"/>
    <w:rsid w:val="174560C4"/>
    <w:rsid w:val="17463BEB"/>
    <w:rsid w:val="174A6DAE"/>
    <w:rsid w:val="17502639"/>
    <w:rsid w:val="175C4B77"/>
    <w:rsid w:val="176D1177"/>
    <w:rsid w:val="176D73C9"/>
    <w:rsid w:val="17701D14"/>
    <w:rsid w:val="17735226"/>
    <w:rsid w:val="17852965"/>
    <w:rsid w:val="178E7A6B"/>
    <w:rsid w:val="178F7340"/>
    <w:rsid w:val="179667EE"/>
    <w:rsid w:val="17B15508"/>
    <w:rsid w:val="17BC3278"/>
    <w:rsid w:val="17BE19D3"/>
    <w:rsid w:val="17BF5E77"/>
    <w:rsid w:val="17C2194E"/>
    <w:rsid w:val="17C63D90"/>
    <w:rsid w:val="17C82150"/>
    <w:rsid w:val="17EB2416"/>
    <w:rsid w:val="180970F2"/>
    <w:rsid w:val="180B10BC"/>
    <w:rsid w:val="180E3B02"/>
    <w:rsid w:val="181A12FF"/>
    <w:rsid w:val="181A30AD"/>
    <w:rsid w:val="181D0DEF"/>
    <w:rsid w:val="182C4B8E"/>
    <w:rsid w:val="184C270F"/>
    <w:rsid w:val="185A1C4F"/>
    <w:rsid w:val="185C36C6"/>
    <w:rsid w:val="186D00DA"/>
    <w:rsid w:val="188D1AD1"/>
    <w:rsid w:val="189015C1"/>
    <w:rsid w:val="189602A4"/>
    <w:rsid w:val="189F624C"/>
    <w:rsid w:val="189F7A56"/>
    <w:rsid w:val="18A40BC9"/>
    <w:rsid w:val="18AE37F5"/>
    <w:rsid w:val="18C13529"/>
    <w:rsid w:val="18C543A3"/>
    <w:rsid w:val="18D47700"/>
    <w:rsid w:val="18DE232D"/>
    <w:rsid w:val="18E65685"/>
    <w:rsid w:val="18E92A80"/>
    <w:rsid w:val="18ED2570"/>
    <w:rsid w:val="18F558C8"/>
    <w:rsid w:val="1901426D"/>
    <w:rsid w:val="191775ED"/>
    <w:rsid w:val="191904C5"/>
    <w:rsid w:val="19235F91"/>
    <w:rsid w:val="192B12EA"/>
    <w:rsid w:val="19314B52"/>
    <w:rsid w:val="193804CB"/>
    <w:rsid w:val="193C7053"/>
    <w:rsid w:val="195645B9"/>
    <w:rsid w:val="19597C05"/>
    <w:rsid w:val="19632832"/>
    <w:rsid w:val="19716B2D"/>
    <w:rsid w:val="19722A75"/>
    <w:rsid w:val="198F0B2D"/>
    <w:rsid w:val="19A075E2"/>
    <w:rsid w:val="19A54BF8"/>
    <w:rsid w:val="19B906A4"/>
    <w:rsid w:val="19C15E3D"/>
    <w:rsid w:val="19C37774"/>
    <w:rsid w:val="19CC03D7"/>
    <w:rsid w:val="19D02FD9"/>
    <w:rsid w:val="19D90D46"/>
    <w:rsid w:val="19DD0836"/>
    <w:rsid w:val="1A0551AA"/>
    <w:rsid w:val="1A1C66C0"/>
    <w:rsid w:val="1A38556C"/>
    <w:rsid w:val="1A42393B"/>
    <w:rsid w:val="1A4911C5"/>
    <w:rsid w:val="1A491A28"/>
    <w:rsid w:val="1A4E5290"/>
    <w:rsid w:val="1A645E84"/>
    <w:rsid w:val="1A7867B1"/>
    <w:rsid w:val="1A802E1C"/>
    <w:rsid w:val="1A846F04"/>
    <w:rsid w:val="1A864A2A"/>
    <w:rsid w:val="1A8E1B30"/>
    <w:rsid w:val="1A9358CF"/>
    <w:rsid w:val="1AA650CC"/>
    <w:rsid w:val="1AAD45DE"/>
    <w:rsid w:val="1AB31E1B"/>
    <w:rsid w:val="1ABD41C4"/>
    <w:rsid w:val="1ABD5F72"/>
    <w:rsid w:val="1AC260F3"/>
    <w:rsid w:val="1AD42D15"/>
    <w:rsid w:val="1ADE4866"/>
    <w:rsid w:val="1AE87493"/>
    <w:rsid w:val="1AEE1D7E"/>
    <w:rsid w:val="1AEE29A9"/>
    <w:rsid w:val="1AFF3526"/>
    <w:rsid w:val="1B046F80"/>
    <w:rsid w:val="1B10783D"/>
    <w:rsid w:val="1B140288"/>
    <w:rsid w:val="1B1A1616"/>
    <w:rsid w:val="1B1E1106"/>
    <w:rsid w:val="1B1E7956"/>
    <w:rsid w:val="1B3267B5"/>
    <w:rsid w:val="1B371F86"/>
    <w:rsid w:val="1B40161D"/>
    <w:rsid w:val="1B430B6D"/>
    <w:rsid w:val="1B441859"/>
    <w:rsid w:val="1B4C03FB"/>
    <w:rsid w:val="1B5508A0"/>
    <w:rsid w:val="1B593EEC"/>
    <w:rsid w:val="1B6606B1"/>
    <w:rsid w:val="1B6861CB"/>
    <w:rsid w:val="1B6A60FA"/>
    <w:rsid w:val="1B7C5E2D"/>
    <w:rsid w:val="1B9413C8"/>
    <w:rsid w:val="1B953D74"/>
    <w:rsid w:val="1B9E0118"/>
    <w:rsid w:val="1BA3160C"/>
    <w:rsid w:val="1BAE6DBC"/>
    <w:rsid w:val="1BC03F6C"/>
    <w:rsid w:val="1BC11A92"/>
    <w:rsid w:val="1BCC7E07"/>
    <w:rsid w:val="1BD1033C"/>
    <w:rsid w:val="1BD47A17"/>
    <w:rsid w:val="1BDD2D6F"/>
    <w:rsid w:val="1BDD4B1E"/>
    <w:rsid w:val="1BDE4CD1"/>
    <w:rsid w:val="1BFD4A49"/>
    <w:rsid w:val="1C166281"/>
    <w:rsid w:val="1C177904"/>
    <w:rsid w:val="1C3D380E"/>
    <w:rsid w:val="1C427076"/>
    <w:rsid w:val="1C4A7CD9"/>
    <w:rsid w:val="1C573145"/>
    <w:rsid w:val="1C5C0D3B"/>
    <w:rsid w:val="1C5E7925"/>
    <w:rsid w:val="1C60574F"/>
    <w:rsid w:val="1C685EFD"/>
    <w:rsid w:val="1C715266"/>
    <w:rsid w:val="1C735482"/>
    <w:rsid w:val="1C79762F"/>
    <w:rsid w:val="1C844F99"/>
    <w:rsid w:val="1C9827B8"/>
    <w:rsid w:val="1C9A2A0F"/>
    <w:rsid w:val="1C9F376E"/>
    <w:rsid w:val="1CA76EDA"/>
    <w:rsid w:val="1CAC2742"/>
    <w:rsid w:val="1CAC44F0"/>
    <w:rsid w:val="1CB818FA"/>
    <w:rsid w:val="1CBD66FD"/>
    <w:rsid w:val="1CBF2475"/>
    <w:rsid w:val="1CC52076"/>
    <w:rsid w:val="1CC7132A"/>
    <w:rsid w:val="1CC950A2"/>
    <w:rsid w:val="1CCE4466"/>
    <w:rsid w:val="1CEB6DC6"/>
    <w:rsid w:val="1CEF3E83"/>
    <w:rsid w:val="1CFD070F"/>
    <w:rsid w:val="1CFE11EF"/>
    <w:rsid w:val="1D175E0D"/>
    <w:rsid w:val="1D214EDE"/>
    <w:rsid w:val="1D271DC8"/>
    <w:rsid w:val="1D305121"/>
    <w:rsid w:val="1D37025D"/>
    <w:rsid w:val="1D3A5FA0"/>
    <w:rsid w:val="1D3C776E"/>
    <w:rsid w:val="1D5F6196"/>
    <w:rsid w:val="1D6132A5"/>
    <w:rsid w:val="1D6B6159"/>
    <w:rsid w:val="1D6B6794"/>
    <w:rsid w:val="1D756FD8"/>
    <w:rsid w:val="1D8D4321"/>
    <w:rsid w:val="1D8E56D5"/>
    <w:rsid w:val="1D9456B0"/>
    <w:rsid w:val="1D970CFC"/>
    <w:rsid w:val="1D9B4C90"/>
    <w:rsid w:val="1DA839EB"/>
    <w:rsid w:val="1DB00010"/>
    <w:rsid w:val="1DBF6556"/>
    <w:rsid w:val="1DC62A9A"/>
    <w:rsid w:val="1DFE58A0"/>
    <w:rsid w:val="1E054D27"/>
    <w:rsid w:val="1E14234D"/>
    <w:rsid w:val="1E1862E1"/>
    <w:rsid w:val="1E2307E2"/>
    <w:rsid w:val="1E2527AC"/>
    <w:rsid w:val="1E26524F"/>
    <w:rsid w:val="1E283E3B"/>
    <w:rsid w:val="1E28404A"/>
    <w:rsid w:val="1E2C58E8"/>
    <w:rsid w:val="1E3824DF"/>
    <w:rsid w:val="1E404937"/>
    <w:rsid w:val="1E5835A5"/>
    <w:rsid w:val="1E5D0198"/>
    <w:rsid w:val="1E6C3F37"/>
    <w:rsid w:val="1E7A43DA"/>
    <w:rsid w:val="1E7F010E"/>
    <w:rsid w:val="1E845753"/>
    <w:rsid w:val="1EA30B0C"/>
    <w:rsid w:val="1EAC07D7"/>
    <w:rsid w:val="1EB458DE"/>
    <w:rsid w:val="1EC57AEB"/>
    <w:rsid w:val="1EC975DB"/>
    <w:rsid w:val="1EF1268E"/>
    <w:rsid w:val="1EF328AA"/>
    <w:rsid w:val="1EF67CA4"/>
    <w:rsid w:val="1EFC03E6"/>
    <w:rsid w:val="1F083B77"/>
    <w:rsid w:val="1F1A1BE5"/>
    <w:rsid w:val="1F1F6D7E"/>
    <w:rsid w:val="1F2760B0"/>
    <w:rsid w:val="1F29007A"/>
    <w:rsid w:val="1F2A4E8D"/>
    <w:rsid w:val="1F3638AE"/>
    <w:rsid w:val="1F3A5DE3"/>
    <w:rsid w:val="1F444EB4"/>
    <w:rsid w:val="1F491F3B"/>
    <w:rsid w:val="1F4C5B16"/>
    <w:rsid w:val="1F4E7296"/>
    <w:rsid w:val="1F751014"/>
    <w:rsid w:val="1F751511"/>
    <w:rsid w:val="1F7A7D72"/>
    <w:rsid w:val="1F89750C"/>
    <w:rsid w:val="1F8B663F"/>
    <w:rsid w:val="1F8E612F"/>
    <w:rsid w:val="1F901EA7"/>
    <w:rsid w:val="1F9F2E76"/>
    <w:rsid w:val="1FB1462D"/>
    <w:rsid w:val="1FC009DE"/>
    <w:rsid w:val="1FC57DA2"/>
    <w:rsid w:val="1FC63B1B"/>
    <w:rsid w:val="1FD83DBC"/>
    <w:rsid w:val="1FDC50EC"/>
    <w:rsid w:val="1FDF1D89"/>
    <w:rsid w:val="1FE42DBD"/>
    <w:rsid w:val="1FE43513"/>
    <w:rsid w:val="1FE65F6B"/>
    <w:rsid w:val="1FE7539E"/>
    <w:rsid w:val="1FFD6DD2"/>
    <w:rsid w:val="2007660D"/>
    <w:rsid w:val="20122EAB"/>
    <w:rsid w:val="20176124"/>
    <w:rsid w:val="202820DF"/>
    <w:rsid w:val="20671BE0"/>
    <w:rsid w:val="20683FDF"/>
    <w:rsid w:val="206C2914"/>
    <w:rsid w:val="206D1C0F"/>
    <w:rsid w:val="20790B8D"/>
    <w:rsid w:val="208539D6"/>
    <w:rsid w:val="2091237A"/>
    <w:rsid w:val="20963CB8"/>
    <w:rsid w:val="20A57BD4"/>
    <w:rsid w:val="20A81A1B"/>
    <w:rsid w:val="20B07FB6"/>
    <w:rsid w:val="20B56069"/>
    <w:rsid w:val="20B646FB"/>
    <w:rsid w:val="20BF0C96"/>
    <w:rsid w:val="20CD748E"/>
    <w:rsid w:val="20D63E58"/>
    <w:rsid w:val="20E73D48"/>
    <w:rsid w:val="20E97AC1"/>
    <w:rsid w:val="20FF6504"/>
    <w:rsid w:val="210448FA"/>
    <w:rsid w:val="210963B5"/>
    <w:rsid w:val="21152C53"/>
    <w:rsid w:val="211663DC"/>
    <w:rsid w:val="2116776A"/>
    <w:rsid w:val="211A411E"/>
    <w:rsid w:val="212705E9"/>
    <w:rsid w:val="2127683B"/>
    <w:rsid w:val="21374CD0"/>
    <w:rsid w:val="213B74B1"/>
    <w:rsid w:val="215533A8"/>
    <w:rsid w:val="215A2310"/>
    <w:rsid w:val="2167037F"/>
    <w:rsid w:val="21684969"/>
    <w:rsid w:val="21693DD8"/>
    <w:rsid w:val="216D5960"/>
    <w:rsid w:val="217835C5"/>
    <w:rsid w:val="217E28FF"/>
    <w:rsid w:val="217F6677"/>
    <w:rsid w:val="21815F4B"/>
    <w:rsid w:val="21871088"/>
    <w:rsid w:val="219914E7"/>
    <w:rsid w:val="219923EE"/>
    <w:rsid w:val="21B06830"/>
    <w:rsid w:val="21B46321"/>
    <w:rsid w:val="21C916A0"/>
    <w:rsid w:val="21CA41A1"/>
    <w:rsid w:val="21CD0508"/>
    <w:rsid w:val="21CD1190"/>
    <w:rsid w:val="21D17668"/>
    <w:rsid w:val="21DE318A"/>
    <w:rsid w:val="21E64000"/>
    <w:rsid w:val="21EF5B80"/>
    <w:rsid w:val="21F60190"/>
    <w:rsid w:val="220A6A12"/>
    <w:rsid w:val="221072CF"/>
    <w:rsid w:val="224C47AB"/>
    <w:rsid w:val="22512D13"/>
    <w:rsid w:val="22532F64"/>
    <w:rsid w:val="22576990"/>
    <w:rsid w:val="225D4A8A"/>
    <w:rsid w:val="22873A35"/>
    <w:rsid w:val="228757E3"/>
    <w:rsid w:val="22945BF8"/>
    <w:rsid w:val="22AA06E3"/>
    <w:rsid w:val="22AE0FC2"/>
    <w:rsid w:val="22AF4D3A"/>
    <w:rsid w:val="22BC2098"/>
    <w:rsid w:val="22CC769A"/>
    <w:rsid w:val="22CC7C80"/>
    <w:rsid w:val="22D36C7A"/>
    <w:rsid w:val="22E36792"/>
    <w:rsid w:val="22E83D48"/>
    <w:rsid w:val="22EC7A07"/>
    <w:rsid w:val="22EF5136"/>
    <w:rsid w:val="22F47480"/>
    <w:rsid w:val="22F81ED8"/>
    <w:rsid w:val="22FD59A9"/>
    <w:rsid w:val="23370B16"/>
    <w:rsid w:val="236D2C2B"/>
    <w:rsid w:val="238C433F"/>
    <w:rsid w:val="23953F30"/>
    <w:rsid w:val="23A9538D"/>
    <w:rsid w:val="23BD3B1C"/>
    <w:rsid w:val="23BF03B6"/>
    <w:rsid w:val="23C31A6D"/>
    <w:rsid w:val="23C465C3"/>
    <w:rsid w:val="23C47029"/>
    <w:rsid w:val="23DE1C48"/>
    <w:rsid w:val="23DE3FC7"/>
    <w:rsid w:val="23E42669"/>
    <w:rsid w:val="23EB7FF4"/>
    <w:rsid w:val="23EE3640"/>
    <w:rsid w:val="23FC236C"/>
    <w:rsid w:val="240210CD"/>
    <w:rsid w:val="242157C3"/>
    <w:rsid w:val="242552B4"/>
    <w:rsid w:val="24294678"/>
    <w:rsid w:val="242C11B4"/>
    <w:rsid w:val="243A0633"/>
    <w:rsid w:val="243B5DAD"/>
    <w:rsid w:val="24466FD8"/>
    <w:rsid w:val="245636BF"/>
    <w:rsid w:val="24575689"/>
    <w:rsid w:val="2463402E"/>
    <w:rsid w:val="2465033E"/>
    <w:rsid w:val="246A3F08"/>
    <w:rsid w:val="2472601F"/>
    <w:rsid w:val="24765B0F"/>
    <w:rsid w:val="247C0C4C"/>
    <w:rsid w:val="247E2C16"/>
    <w:rsid w:val="248D3654"/>
    <w:rsid w:val="249935AC"/>
    <w:rsid w:val="24AB1393"/>
    <w:rsid w:val="24B721F0"/>
    <w:rsid w:val="24BF09F7"/>
    <w:rsid w:val="24CB4D99"/>
    <w:rsid w:val="24D34D10"/>
    <w:rsid w:val="24D97F6C"/>
    <w:rsid w:val="24DC16EA"/>
    <w:rsid w:val="24DE5462"/>
    <w:rsid w:val="24E50BC6"/>
    <w:rsid w:val="24E52C95"/>
    <w:rsid w:val="24FC40EF"/>
    <w:rsid w:val="2503311B"/>
    <w:rsid w:val="251175E6"/>
    <w:rsid w:val="251946ED"/>
    <w:rsid w:val="252D53FE"/>
    <w:rsid w:val="253D03DB"/>
    <w:rsid w:val="254259F1"/>
    <w:rsid w:val="25703055"/>
    <w:rsid w:val="25776A9B"/>
    <w:rsid w:val="257D2ECD"/>
    <w:rsid w:val="258E0C37"/>
    <w:rsid w:val="259A582D"/>
    <w:rsid w:val="25B20DC9"/>
    <w:rsid w:val="25B54415"/>
    <w:rsid w:val="25CE3729"/>
    <w:rsid w:val="25D36F91"/>
    <w:rsid w:val="25D42A8C"/>
    <w:rsid w:val="25D52D09"/>
    <w:rsid w:val="25D725DE"/>
    <w:rsid w:val="25DC4098"/>
    <w:rsid w:val="25E20F82"/>
    <w:rsid w:val="25EC2D81"/>
    <w:rsid w:val="25EF5F45"/>
    <w:rsid w:val="25FA451E"/>
    <w:rsid w:val="26013AFE"/>
    <w:rsid w:val="260158AC"/>
    <w:rsid w:val="261D3BE1"/>
    <w:rsid w:val="262000C4"/>
    <w:rsid w:val="26306192"/>
    <w:rsid w:val="263317DE"/>
    <w:rsid w:val="263877A7"/>
    <w:rsid w:val="263F690E"/>
    <w:rsid w:val="26543C2E"/>
    <w:rsid w:val="265E2CFF"/>
    <w:rsid w:val="266255D5"/>
    <w:rsid w:val="2677413F"/>
    <w:rsid w:val="26793695"/>
    <w:rsid w:val="267D212B"/>
    <w:rsid w:val="267D3C82"/>
    <w:rsid w:val="267E0CAB"/>
    <w:rsid w:val="26976211"/>
    <w:rsid w:val="269D389E"/>
    <w:rsid w:val="26A34BB6"/>
    <w:rsid w:val="26B50445"/>
    <w:rsid w:val="26E127D7"/>
    <w:rsid w:val="26E8081A"/>
    <w:rsid w:val="270E64D3"/>
    <w:rsid w:val="270F7B55"/>
    <w:rsid w:val="271909D4"/>
    <w:rsid w:val="271C2272"/>
    <w:rsid w:val="272A498F"/>
    <w:rsid w:val="27455C6D"/>
    <w:rsid w:val="274A5031"/>
    <w:rsid w:val="274C0DA9"/>
    <w:rsid w:val="2755764C"/>
    <w:rsid w:val="27617FC1"/>
    <w:rsid w:val="27675EA2"/>
    <w:rsid w:val="277057A2"/>
    <w:rsid w:val="27781B9E"/>
    <w:rsid w:val="277976C4"/>
    <w:rsid w:val="27797AF9"/>
    <w:rsid w:val="278109B5"/>
    <w:rsid w:val="278A18D2"/>
    <w:rsid w:val="278F7AB7"/>
    <w:rsid w:val="27930786"/>
    <w:rsid w:val="27A110F5"/>
    <w:rsid w:val="27A30D0D"/>
    <w:rsid w:val="27A6670B"/>
    <w:rsid w:val="27A961FC"/>
    <w:rsid w:val="27C13545"/>
    <w:rsid w:val="27C272BD"/>
    <w:rsid w:val="27C913CD"/>
    <w:rsid w:val="27DB3EDB"/>
    <w:rsid w:val="27DF5779"/>
    <w:rsid w:val="27E965F8"/>
    <w:rsid w:val="27F07987"/>
    <w:rsid w:val="27F47FAC"/>
    <w:rsid w:val="27F8375E"/>
    <w:rsid w:val="27F84A8D"/>
    <w:rsid w:val="280C22E7"/>
    <w:rsid w:val="281318C7"/>
    <w:rsid w:val="2818512F"/>
    <w:rsid w:val="281C077C"/>
    <w:rsid w:val="281F201A"/>
    <w:rsid w:val="282B6C11"/>
    <w:rsid w:val="283B7AA0"/>
    <w:rsid w:val="283D06F2"/>
    <w:rsid w:val="284877C3"/>
    <w:rsid w:val="28500425"/>
    <w:rsid w:val="285D1D77"/>
    <w:rsid w:val="286839C1"/>
    <w:rsid w:val="286A598B"/>
    <w:rsid w:val="286C4629"/>
    <w:rsid w:val="28904894"/>
    <w:rsid w:val="28A16ED3"/>
    <w:rsid w:val="28AA3FD9"/>
    <w:rsid w:val="28AF15F0"/>
    <w:rsid w:val="28B11FF1"/>
    <w:rsid w:val="28B44E58"/>
    <w:rsid w:val="28C42FAB"/>
    <w:rsid w:val="28C82F8B"/>
    <w:rsid w:val="28DD38C1"/>
    <w:rsid w:val="28E868B0"/>
    <w:rsid w:val="28EF40E2"/>
    <w:rsid w:val="28F214DC"/>
    <w:rsid w:val="28FA1C0E"/>
    <w:rsid w:val="28FE2577"/>
    <w:rsid w:val="2900009D"/>
    <w:rsid w:val="291B4ED7"/>
    <w:rsid w:val="291E6775"/>
    <w:rsid w:val="29206EB8"/>
    <w:rsid w:val="29327CF8"/>
    <w:rsid w:val="294174C6"/>
    <w:rsid w:val="29457207"/>
    <w:rsid w:val="29595666"/>
    <w:rsid w:val="29610BEC"/>
    <w:rsid w:val="296F5223"/>
    <w:rsid w:val="29736AC1"/>
    <w:rsid w:val="297974FF"/>
    <w:rsid w:val="29826D04"/>
    <w:rsid w:val="29874881"/>
    <w:rsid w:val="29930F11"/>
    <w:rsid w:val="29BD5F8E"/>
    <w:rsid w:val="29C64405"/>
    <w:rsid w:val="29CC1FDD"/>
    <w:rsid w:val="29D35BE2"/>
    <w:rsid w:val="29D37560"/>
    <w:rsid w:val="29D46E34"/>
    <w:rsid w:val="29D60DFE"/>
    <w:rsid w:val="29D96894"/>
    <w:rsid w:val="29DF7CB3"/>
    <w:rsid w:val="29E325E0"/>
    <w:rsid w:val="29E96B20"/>
    <w:rsid w:val="29FF1E0B"/>
    <w:rsid w:val="2A005E7B"/>
    <w:rsid w:val="2A0B0AA8"/>
    <w:rsid w:val="2A151926"/>
    <w:rsid w:val="2A222295"/>
    <w:rsid w:val="2A2878AC"/>
    <w:rsid w:val="2A3B0CCE"/>
    <w:rsid w:val="2A4346E5"/>
    <w:rsid w:val="2A452503"/>
    <w:rsid w:val="2A495164"/>
    <w:rsid w:val="2A4D7312"/>
    <w:rsid w:val="2A516876"/>
    <w:rsid w:val="2A573CED"/>
    <w:rsid w:val="2A5E32CD"/>
    <w:rsid w:val="2A653402"/>
    <w:rsid w:val="2A691C72"/>
    <w:rsid w:val="2A71789D"/>
    <w:rsid w:val="2A766447"/>
    <w:rsid w:val="2A7C7BF7"/>
    <w:rsid w:val="2A824843"/>
    <w:rsid w:val="2A832D34"/>
    <w:rsid w:val="2A84085A"/>
    <w:rsid w:val="2A8D770F"/>
    <w:rsid w:val="2A9036A3"/>
    <w:rsid w:val="2A9632CC"/>
    <w:rsid w:val="2AAD6003"/>
    <w:rsid w:val="2AAF28A5"/>
    <w:rsid w:val="2AB609ED"/>
    <w:rsid w:val="2ABC4498"/>
    <w:rsid w:val="2AC33076"/>
    <w:rsid w:val="2AC60E73"/>
    <w:rsid w:val="2AC82E3D"/>
    <w:rsid w:val="2AD0584D"/>
    <w:rsid w:val="2B0152FC"/>
    <w:rsid w:val="2B084FE7"/>
    <w:rsid w:val="2B087979"/>
    <w:rsid w:val="2B0A5203"/>
    <w:rsid w:val="2B12230A"/>
    <w:rsid w:val="2B204512"/>
    <w:rsid w:val="2B232A0B"/>
    <w:rsid w:val="2B2F4CE3"/>
    <w:rsid w:val="2B4336FC"/>
    <w:rsid w:val="2B4A15E2"/>
    <w:rsid w:val="2B6568DD"/>
    <w:rsid w:val="2B6647AD"/>
    <w:rsid w:val="2B684295"/>
    <w:rsid w:val="2B6F5066"/>
    <w:rsid w:val="2B710DDE"/>
    <w:rsid w:val="2B78580D"/>
    <w:rsid w:val="2B886128"/>
    <w:rsid w:val="2B9D7E25"/>
    <w:rsid w:val="2BA936A8"/>
    <w:rsid w:val="2BB37649"/>
    <w:rsid w:val="2BC72555"/>
    <w:rsid w:val="2BC73380"/>
    <w:rsid w:val="2BC929C8"/>
    <w:rsid w:val="2BD1187D"/>
    <w:rsid w:val="2BF7180E"/>
    <w:rsid w:val="2C062997"/>
    <w:rsid w:val="2C2755A2"/>
    <w:rsid w:val="2C28481B"/>
    <w:rsid w:val="2C315A5A"/>
    <w:rsid w:val="2C365B84"/>
    <w:rsid w:val="2C3B319A"/>
    <w:rsid w:val="2C4B1C25"/>
    <w:rsid w:val="2C4C271E"/>
    <w:rsid w:val="2C550700"/>
    <w:rsid w:val="2C70553A"/>
    <w:rsid w:val="2C723060"/>
    <w:rsid w:val="2C82701B"/>
    <w:rsid w:val="2C842D93"/>
    <w:rsid w:val="2C9070A4"/>
    <w:rsid w:val="2C932FD6"/>
    <w:rsid w:val="2C9B4FFC"/>
    <w:rsid w:val="2C9F197B"/>
    <w:rsid w:val="2CB25B52"/>
    <w:rsid w:val="2CB35427"/>
    <w:rsid w:val="2CB46A7B"/>
    <w:rsid w:val="2CC71C7D"/>
    <w:rsid w:val="2CEA709A"/>
    <w:rsid w:val="2CEC36FF"/>
    <w:rsid w:val="2D045C82"/>
    <w:rsid w:val="2D053ED4"/>
    <w:rsid w:val="2D1E0EC6"/>
    <w:rsid w:val="2D281971"/>
    <w:rsid w:val="2D2C76B3"/>
    <w:rsid w:val="2D2D51D9"/>
    <w:rsid w:val="2D3958BC"/>
    <w:rsid w:val="2D4542D1"/>
    <w:rsid w:val="2D5C66D1"/>
    <w:rsid w:val="2D5C786C"/>
    <w:rsid w:val="2D6A01DB"/>
    <w:rsid w:val="2D962D7E"/>
    <w:rsid w:val="2D9D410D"/>
    <w:rsid w:val="2D9E56F5"/>
    <w:rsid w:val="2DA326EC"/>
    <w:rsid w:val="2DB4377E"/>
    <w:rsid w:val="2DB96A6D"/>
    <w:rsid w:val="2DC02720"/>
    <w:rsid w:val="2DC04DB1"/>
    <w:rsid w:val="2DD41AF8"/>
    <w:rsid w:val="2DD6203D"/>
    <w:rsid w:val="2DDD275B"/>
    <w:rsid w:val="2DEA0A5E"/>
    <w:rsid w:val="2DFE62DB"/>
    <w:rsid w:val="2E00644A"/>
    <w:rsid w:val="2E030E49"/>
    <w:rsid w:val="2E0777D8"/>
    <w:rsid w:val="2E0E6DB8"/>
    <w:rsid w:val="2E114AFB"/>
    <w:rsid w:val="2E162111"/>
    <w:rsid w:val="2E222864"/>
    <w:rsid w:val="2E264792"/>
    <w:rsid w:val="2E2E745B"/>
    <w:rsid w:val="2E350140"/>
    <w:rsid w:val="2E36630F"/>
    <w:rsid w:val="2E3747BF"/>
    <w:rsid w:val="2E4C5B33"/>
    <w:rsid w:val="2E5A3DAC"/>
    <w:rsid w:val="2E667F96"/>
    <w:rsid w:val="2E67296D"/>
    <w:rsid w:val="2E74422D"/>
    <w:rsid w:val="2E7806D6"/>
    <w:rsid w:val="2E7A26A0"/>
    <w:rsid w:val="2E8226AB"/>
    <w:rsid w:val="2E954DE4"/>
    <w:rsid w:val="2E970A88"/>
    <w:rsid w:val="2E9758C4"/>
    <w:rsid w:val="2EAA08FD"/>
    <w:rsid w:val="2EC35DF5"/>
    <w:rsid w:val="2EC67693"/>
    <w:rsid w:val="2ECD27D0"/>
    <w:rsid w:val="2ECD7489"/>
    <w:rsid w:val="2ECE479A"/>
    <w:rsid w:val="2ED40002"/>
    <w:rsid w:val="2ED973C6"/>
    <w:rsid w:val="2EE10029"/>
    <w:rsid w:val="2EE23612"/>
    <w:rsid w:val="2EE92449"/>
    <w:rsid w:val="2EED2E72"/>
    <w:rsid w:val="2EF76131"/>
    <w:rsid w:val="2EFE6E2D"/>
    <w:rsid w:val="2F1C72B3"/>
    <w:rsid w:val="2F1E74CF"/>
    <w:rsid w:val="2F204FF5"/>
    <w:rsid w:val="2F231104"/>
    <w:rsid w:val="2F2B5719"/>
    <w:rsid w:val="2F370591"/>
    <w:rsid w:val="2F381438"/>
    <w:rsid w:val="2F4A2072"/>
    <w:rsid w:val="2F4D56BE"/>
    <w:rsid w:val="2F57653D"/>
    <w:rsid w:val="2F803CE6"/>
    <w:rsid w:val="2F83765C"/>
    <w:rsid w:val="2F8D4F54"/>
    <w:rsid w:val="2F966858"/>
    <w:rsid w:val="2F9E720B"/>
    <w:rsid w:val="2FA21EAE"/>
    <w:rsid w:val="2FB27C17"/>
    <w:rsid w:val="2FBE0441"/>
    <w:rsid w:val="2FC71915"/>
    <w:rsid w:val="2FD065E6"/>
    <w:rsid w:val="2FD06874"/>
    <w:rsid w:val="2FD96870"/>
    <w:rsid w:val="2FDE6C5E"/>
    <w:rsid w:val="30110DE2"/>
    <w:rsid w:val="301B70A0"/>
    <w:rsid w:val="301B756B"/>
    <w:rsid w:val="301E705B"/>
    <w:rsid w:val="30224D9D"/>
    <w:rsid w:val="302428C3"/>
    <w:rsid w:val="304A11CA"/>
    <w:rsid w:val="30580BC9"/>
    <w:rsid w:val="306E746A"/>
    <w:rsid w:val="30716517"/>
    <w:rsid w:val="30717AD3"/>
    <w:rsid w:val="309061AB"/>
    <w:rsid w:val="30963095"/>
    <w:rsid w:val="30A532D8"/>
    <w:rsid w:val="30B023A9"/>
    <w:rsid w:val="30D74EFB"/>
    <w:rsid w:val="30DF67EA"/>
    <w:rsid w:val="30E738F1"/>
    <w:rsid w:val="30F351C9"/>
    <w:rsid w:val="30F71D86"/>
    <w:rsid w:val="30F878AC"/>
    <w:rsid w:val="30FC114A"/>
    <w:rsid w:val="31080D8B"/>
    <w:rsid w:val="310F3573"/>
    <w:rsid w:val="311E2ED7"/>
    <w:rsid w:val="312E29A5"/>
    <w:rsid w:val="313034EA"/>
    <w:rsid w:val="3132338F"/>
    <w:rsid w:val="31511471"/>
    <w:rsid w:val="315619EE"/>
    <w:rsid w:val="315C449C"/>
    <w:rsid w:val="31603DCF"/>
    <w:rsid w:val="316F5DC0"/>
    <w:rsid w:val="317578CB"/>
    <w:rsid w:val="317E4255"/>
    <w:rsid w:val="31807FCD"/>
    <w:rsid w:val="31813D45"/>
    <w:rsid w:val="3183186B"/>
    <w:rsid w:val="319C0F06"/>
    <w:rsid w:val="31A6555A"/>
    <w:rsid w:val="31A71603"/>
    <w:rsid w:val="31AB50F8"/>
    <w:rsid w:val="31B1462B"/>
    <w:rsid w:val="31B82709"/>
    <w:rsid w:val="31B82E65"/>
    <w:rsid w:val="31B859B9"/>
    <w:rsid w:val="31C37EBA"/>
    <w:rsid w:val="31C43A5C"/>
    <w:rsid w:val="31CA656B"/>
    <w:rsid w:val="31CD6F8B"/>
    <w:rsid w:val="31D05482"/>
    <w:rsid w:val="31D16CDB"/>
    <w:rsid w:val="31E9761B"/>
    <w:rsid w:val="31F2079F"/>
    <w:rsid w:val="31FB58A6"/>
    <w:rsid w:val="32014E69"/>
    <w:rsid w:val="32024F20"/>
    <w:rsid w:val="320329AC"/>
    <w:rsid w:val="32035F32"/>
    <w:rsid w:val="320C7AB3"/>
    <w:rsid w:val="32252923"/>
    <w:rsid w:val="322841C1"/>
    <w:rsid w:val="32331D94"/>
    <w:rsid w:val="32400B34"/>
    <w:rsid w:val="3244724D"/>
    <w:rsid w:val="32452FC5"/>
    <w:rsid w:val="326351F9"/>
    <w:rsid w:val="3265202B"/>
    <w:rsid w:val="3267118D"/>
    <w:rsid w:val="326F1BFA"/>
    <w:rsid w:val="327B0795"/>
    <w:rsid w:val="32861C19"/>
    <w:rsid w:val="32870003"/>
    <w:rsid w:val="328A0B32"/>
    <w:rsid w:val="32935ADE"/>
    <w:rsid w:val="329E6876"/>
    <w:rsid w:val="32BF2D77"/>
    <w:rsid w:val="32C40989"/>
    <w:rsid w:val="32D00AE0"/>
    <w:rsid w:val="32D802C5"/>
    <w:rsid w:val="32DA195F"/>
    <w:rsid w:val="32DC56D7"/>
    <w:rsid w:val="32F35933"/>
    <w:rsid w:val="32FA5B5D"/>
    <w:rsid w:val="33042538"/>
    <w:rsid w:val="330662B0"/>
    <w:rsid w:val="33111678"/>
    <w:rsid w:val="33195067"/>
    <w:rsid w:val="331A1D5C"/>
    <w:rsid w:val="332112B5"/>
    <w:rsid w:val="33254F2D"/>
    <w:rsid w:val="332D7CE1"/>
    <w:rsid w:val="333015F2"/>
    <w:rsid w:val="33353039"/>
    <w:rsid w:val="33467F17"/>
    <w:rsid w:val="334B6320"/>
    <w:rsid w:val="33501C21"/>
    <w:rsid w:val="335A2AA0"/>
    <w:rsid w:val="33651316"/>
    <w:rsid w:val="337C47C4"/>
    <w:rsid w:val="337F6C05"/>
    <w:rsid w:val="33863895"/>
    <w:rsid w:val="33865906"/>
    <w:rsid w:val="338A17AA"/>
    <w:rsid w:val="338A5133"/>
    <w:rsid w:val="33953AD8"/>
    <w:rsid w:val="339C09C3"/>
    <w:rsid w:val="339F44C1"/>
    <w:rsid w:val="33B43F5E"/>
    <w:rsid w:val="33B977C6"/>
    <w:rsid w:val="33C65A3F"/>
    <w:rsid w:val="33C87A09"/>
    <w:rsid w:val="33CD3272"/>
    <w:rsid w:val="33CD6DCE"/>
    <w:rsid w:val="33D71F11"/>
    <w:rsid w:val="33D934D4"/>
    <w:rsid w:val="33EC194A"/>
    <w:rsid w:val="33FE2F6A"/>
    <w:rsid w:val="3402116D"/>
    <w:rsid w:val="34034EE6"/>
    <w:rsid w:val="340E07E5"/>
    <w:rsid w:val="341449FD"/>
    <w:rsid w:val="341511F8"/>
    <w:rsid w:val="342015F4"/>
    <w:rsid w:val="34235BF7"/>
    <w:rsid w:val="34264730"/>
    <w:rsid w:val="342F1837"/>
    <w:rsid w:val="343B467F"/>
    <w:rsid w:val="34433534"/>
    <w:rsid w:val="345D2848"/>
    <w:rsid w:val="34603BB4"/>
    <w:rsid w:val="3464123D"/>
    <w:rsid w:val="346E2E1B"/>
    <w:rsid w:val="347A51A8"/>
    <w:rsid w:val="347F27BE"/>
    <w:rsid w:val="348A4CBF"/>
    <w:rsid w:val="34A2025B"/>
    <w:rsid w:val="34A47999"/>
    <w:rsid w:val="34B23465"/>
    <w:rsid w:val="34DD1F91"/>
    <w:rsid w:val="34DF26A4"/>
    <w:rsid w:val="34E73EBF"/>
    <w:rsid w:val="34EB1C02"/>
    <w:rsid w:val="34F30AB6"/>
    <w:rsid w:val="34F67F8F"/>
    <w:rsid w:val="34FB5ABE"/>
    <w:rsid w:val="35132F06"/>
    <w:rsid w:val="35262C3A"/>
    <w:rsid w:val="352C4A59"/>
    <w:rsid w:val="352E7D40"/>
    <w:rsid w:val="35353F14"/>
    <w:rsid w:val="353B4715"/>
    <w:rsid w:val="35431A3E"/>
    <w:rsid w:val="35447564"/>
    <w:rsid w:val="35484928"/>
    <w:rsid w:val="35553A4A"/>
    <w:rsid w:val="35587F9B"/>
    <w:rsid w:val="35725E7F"/>
    <w:rsid w:val="357C6CFE"/>
    <w:rsid w:val="357E0CC8"/>
    <w:rsid w:val="358636D8"/>
    <w:rsid w:val="358C0B2B"/>
    <w:rsid w:val="358C5FA8"/>
    <w:rsid w:val="3598340C"/>
    <w:rsid w:val="35AC386A"/>
    <w:rsid w:val="35B30245"/>
    <w:rsid w:val="35C15DF1"/>
    <w:rsid w:val="35C40EF4"/>
    <w:rsid w:val="35C4383D"/>
    <w:rsid w:val="35C7218D"/>
    <w:rsid w:val="35D5640E"/>
    <w:rsid w:val="35E92B02"/>
    <w:rsid w:val="35F44AE6"/>
    <w:rsid w:val="35F76384"/>
    <w:rsid w:val="36074A7F"/>
    <w:rsid w:val="36080591"/>
    <w:rsid w:val="360D412F"/>
    <w:rsid w:val="361B2A35"/>
    <w:rsid w:val="361B57E8"/>
    <w:rsid w:val="36252EF1"/>
    <w:rsid w:val="362A675A"/>
    <w:rsid w:val="362D624A"/>
    <w:rsid w:val="362F442F"/>
    <w:rsid w:val="36372C24"/>
    <w:rsid w:val="36405F7D"/>
    <w:rsid w:val="364D41F6"/>
    <w:rsid w:val="364F4412"/>
    <w:rsid w:val="36515ED1"/>
    <w:rsid w:val="36527A5E"/>
    <w:rsid w:val="36545584"/>
    <w:rsid w:val="3663371B"/>
    <w:rsid w:val="36681030"/>
    <w:rsid w:val="36923549"/>
    <w:rsid w:val="369260AD"/>
    <w:rsid w:val="36943972"/>
    <w:rsid w:val="36962041"/>
    <w:rsid w:val="369736C3"/>
    <w:rsid w:val="36A93B22"/>
    <w:rsid w:val="36AA1948"/>
    <w:rsid w:val="36AF3103"/>
    <w:rsid w:val="36B6623F"/>
    <w:rsid w:val="36B75FBF"/>
    <w:rsid w:val="36BD0C45"/>
    <w:rsid w:val="36BE1E78"/>
    <w:rsid w:val="36D05553"/>
    <w:rsid w:val="36D52B69"/>
    <w:rsid w:val="36DD37CC"/>
    <w:rsid w:val="36F56D67"/>
    <w:rsid w:val="370B112C"/>
    <w:rsid w:val="371F3DE4"/>
    <w:rsid w:val="37201EB4"/>
    <w:rsid w:val="372501DF"/>
    <w:rsid w:val="372C02AF"/>
    <w:rsid w:val="37307DA0"/>
    <w:rsid w:val="373F4BE0"/>
    <w:rsid w:val="373F6235"/>
    <w:rsid w:val="374C2700"/>
    <w:rsid w:val="37515F68"/>
    <w:rsid w:val="375D16D8"/>
    <w:rsid w:val="375E3753"/>
    <w:rsid w:val="37606725"/>
    <w:rsid w:val="376637C1"/>
    <w:rsid w:val="37797490"/>
    <w:rsid w:val="378114F3"/>
    <w:rsid w:val="378620B5"/>
    <w:rsid w:val="3787198A"/>
    <w:rsid w:val="378974B0"/>
    <w:rsid w:val="378D6FA0"/>
    <w:rsid w:val="37A92B80"/>
    <w:rsid w:val="37AF022F"/>
    <w:rsid w:val="37AF33BA"/>
    <w:rsid w:val="37C30C14"/>
    <w:rsid w:val="37C329C2"/>
    <w:rsid w:val="37C57CDC"/>
    <w:rsid w:val="37D01CF8"/>
    <w:rsid w:val="37D44BCF"/>
    <w:rsid w:val="37D746BF"/>
    <w:rsid w:val="37DA5F5D"/>
    <w:rsid w:val="37E00298"/>
    <w:rsid w:val="37E8067A"/>
    <w:rsid w:val="37EB016A"/>
    <w:rsid w:val="37EE37B7"/>
    <w:rsid w:val="37FC4126"/>
    <w:rsid w:val="37FF2CDF"/>
    <w:rsid w:val="382F0057"/>
    <w:rsid w:val="38305B7D"/>
    <w:rsid w:val="38396B16"/>
    <w:rsid w:val="383C09C6"/>
    <w:rsid w:val="384523D1"/>
    <w:rsid w:val="384653A1"/>
    <w:rsid w:val="38471845"/>
    <w:rsid w:val="38481119"/>
    <w:rsid w:val="38514471"/>
    <w:rsid w:val="38584AC4"/>
    <w:rsid w:val="3870241E"/>
    <w:rsid w:val="38740160"/>
    <w:rsid w:val="38767A34"/>
    <w:rsid w:val="387B329C"/>
    <w:rsid w:val="387D2FBD"/>
    <w:rsid w:val="38823C5D"/>
    <w:rsid w:val="389205E6"/>
    <w:rsid w:val="389C3213"/>
    <w:rsid w:val="38AD2333"/>
    <w:rsid w:val="38B302F9"/>
    <w:rsid w:val="38B844F1"/>
    <w:rsid w:val="38CC7F9C"/>
    <w:rsid w:val="38DD3F57"/>
    <w:rsid w:val="38DE065E"/>
    <w:rsid w:val="38E2156D"/>
    <w:rsid w:val="38E81F66"/>
    <w:rsid w:val="38F12CD3"/>
    <w:rsid w:val="38F47666"/>
    <w:rsid w:val="38F94775"/>
    <w:rsid w:val="38FE29C4"/>
    <w:rsid w:val="390C0398"/>
    <w:rsid w:val="39203E44"/>
    <w:rsid w:val="392971ED"/>
    <w:rsid w:val="39325651"/>
    <w:rsid w:val="39335925"/>
    <w:rsid w:val="393403C1"/>
    <w:rsid w:val="39392C1C"/>
    <w:rsid w:val="3947611F"/>
    <w:rsid w:val="3949339B"/>
    <w:rsid w:val="39700927"/>
    <w:rsid w:val="397F6DBC"/>
    <w:rsid w:val="39893797"/>
    <w:rsid w:val="398E07BE"/>
    <w:rsid w:val="3995038E"/>
    <w:rsid w:val="39A4194B"/>
    <w:rsid w:val="39A44A75"/>
    <w:rsid w:val="39A95BE7"/>
    <w:rsid w:val="39B27192"/>
    <w:rsid w:val="39C649EB"/>
    <w:rsid w:val="39C80317"/>
    <w:rsid w:val="39D37108"/>
    <w:rsid w:val="39DA3FF3"/>
    <w:rsid w:val="39F117DE"/>
    <w:rsid w:val="3A105C66"/>
    <w:rsid w:val="3A1C0AAF"/>
    <w:rsid w:val="3A241712"/>
    <w:rsid w:val="3A257964"/>
    <w:rsid w:val="3A4D0C68"/>
    <w:rsid w:val="3A5028BA"/>
    <w:rsid w:val="3A5244D1"/>
    <w:rsid w:val="3A5C534F"/>
    <w:rsid w:val="3A612966"/>
    <w:rsid w:val="3A6D130B"/>
    <w:rsid w:val="3A6E3D80"/>
    <w:rsid w:val="3A7A7CE8"/>
    <w:rsid w:val="3A7F283A"/>
    <w:rsid w:val="3A850402"/>
    <w:rsid w:val="3A854265"/>
    <w:rsid w:val="3A872856"/>
    <w:rsid w:val="3A916DA7"/>
    <w:rsid w:val="3A96260F"/>
    <w:rsid w:val="3AA765CB"/>
    <w:rsid w:val="3AAF1923"/>
    <w:rsid w:val="3AAF3F28"/>
    <w:rsid w:val="3AB111F7"/>
    <w:rsid w:val="3AB24F6F"/>
    <w:rsid w:val="3AC30F2B"/>
    <w:rsid w:val="3AD44EE6"/>
    <w:rsid w:val="3AE01ADD"/>
    <w:rsid w:val="3AE72E6B"/>
    <w:rsid w:val="3AF45588"/>
    <w:rsid w:val="3B003F2D"/>
    <w:rsid w:val="3B0E03F8"/>
    <w:rsid w:val="3B194FEF"/>
    <w:rsid w:val="3B1B5B22"/>
    <w:rsid w:val="3B2523DB"/>
    <w:rsid w:val="3B323DE8"/>
    <w:rsid w:val="3B3763D1"/>
    <w:rsid w:val="3B3D2A8B"/>
    <w:rsid w:val="3B457B92"/>
    <w:rsid w:val="3B5425F7"/>
    <w:rsid w:val="3B554279"/>
    <w:rsid w:val="3B6F4C0F"/>
    <w:rsid w:val="3B714E2B"/>
    <w:rsid w:val="3B762441"/>
    <w:rsid w:val="3B8E00C7"/>
    <w:rsid w:val="3B9A03D4"/>
    <w:rsid w:val="3BC27434"/>
    <w:rsid w:val="3BCC0BCF"/>
    <w:rsid w:val="3BE3048E"/>
    <w:rsid w:val="3BE4674F"/>
    <w:rsid w:val="3BEE1FD7"/>
    <w:rsid w:val="3BF21AC7"/>
    <w:rsid w:val="3BFD221A"/>
    <w:rsid w:val="3C0435A9"/>
    <w:rsid w:val="3C090BBF"/>
    <w:rsid w:val="3C1063F2"/>
    <w:rsid w:val="3C134B45"/>
    <w:rsid w:val="3C1934F8"/>
    <w:rsid w:val="3C2974B3"/>
    <w:rsid w:val="3C2F6E1E"/>
    <w:rsid w:val="3C3C71E7"/>
    <w:rsid w:val="3C487939"/>
    <w:rsid w:val="3C4F64BA"/>
    <w:rsid w:val="3C5A58BF"/>
    <w:rsid w:val="3C5C5515"/>
    <w:rsid w:val="3C6A3D54"/>
    <w:rsid w:val="3C7324DC"/>
    <w:rsid w:val="3C746980"/>
    <w:rsid w:val="3C797A44"/>
    <w:rsid w:val="3C8D17F0"/>
    <w:rsid w:val="3C916489"/>
    <w:rsid w:val="3C917532"/>
    <w:rsid w:val="3C9611E0"/>
    <w:rsid w:val="3C9A0271"/>
    <w:rsid w:val="3C9C1A33"/>
    <w:rsid w:val="3CA1529C"/>
    <w:rsid w:val="3CA54D8C"/>
    <w:rsid w:val="3CA628B2"/>
    <w:rsid w:val="3CAB12F2"/>
    <w:rsid w:val="3CB52AF5"/>
    <w:rsid w:val="3CBB45AF"/>
    <w:rsid w:val="3CC01C67"/>
    <w:rsid w:val="3CD32AA5"/>
    <w:rsid w:val="3CD437B1"/>
    <w:rsid w:val="3CD85313"/>
    <w:rsid w:val="3CDA245A"/>
    <w:rsid w:val="3CDE3DFA"/>
    <w:rsid w:val="3CF278A5"/>
    <w:rsid w:val="3CF47AC1"/>
    <w:rsid w:val="3CFC7E82"/>
    <w:rsid w:val="3D08531B"/>
    <w:rsid w:val="3D1B4F89"/>
    <w:rsid w:val="3D1D0DC6"/>
    <w:rsid w:val="3D1E06B7"/>
    <w:rsid w:val="3D2C725B"/>
    <w:rsid w:val="3D2D3C67"/>
    <w:rsid w:val="3D3D3A8D"/>
    <w:rsid w:val="3D4F63CE"/>
    <w:rsid w:val="3D5347E8"/>
    <w:rsid w:val="3D540560"/>
    <w:rsid w:val="3D5B233F"/>
    <w:rsid w:val="3D6407A3"/>
    <w:rsid w:val="3D712B8E"/>
    <w:rsid w:val="3D712EC0"/>
    <w:rsid w:val="3D8E3A72"/>
    <w:rsid w:val="3D911152"/>
    <w:rsid w:val="3D9A7CE5"/>
    <w:rsid w:val="3D9F17DB"/>
    <w:rsid w:val="3DA649C1"/>
    <w:rsid w:val="3DB80AEF"/>
    <w:rsid w:val="3DBA6615"/>
    <w:rsid w:val="3DBD28AC"/>
    <w:rsid w:val="3DC079A3"/>
    <w:rsid w:val="3DC2196D"/>
    <w:rsid w:val="3DC65D57"/>
    <w:rsid w:val="3DCE0312"/>
    <w:rsid w:val="3DD65520"/>
    <w:rsid w:val="3DF338D5"/>
    <w:rsid w:val="3DFD4754"/>
    <w:rsid w:val="3E045AE2"/>
    <w:rsid w:val="3E261CA3"/>
    <w:rsid w:val="3E3F4D6C"/>
    <w:rsid w:val="3E4103DE"/>
    <w:rsid w:val="3E416D36"/>
    <w:rsid w:val="3E451FCE"/>
    <w:rsid w:val="3E5E6A3C"/>
    <w:rsid w:val="3E853566"/>
    <w:rsid w:val="3E9C21BE"/>
    <w:rsid w:val="3EA910B6"/>
    <w:rsid w:val="3EB05C6A"/>
    <w:rsid w:val="3EB63280"/>
    <w:rsid w:val="3EC67A56"/>
    <w:rsid w:val="3ECC2AA4"/>
    <w:rsid w:val="3ECD05CA"/>
    <w:rsid w:val="3ED01E68"/>
    <w:rsid w:val="3ED72D6F"/>
    <w:rsid w:val="3EDA0523"/>
    <w:rsid w:val="3EE327CF"/>
    <w:rsid w:val="3EEA4CD8"/>
    <w:rsid w:val="3EF5367D"/>
    <w:rsid w:val="3EF858FA"/>
    <w:rsid w:val="3F0D516C"/>
    <w:rsid w:val="3F12188D"/>
    <w:rsid w:val="3F1E2BD3"/>
    <w:rsid w:val="3F261E1A"/>
    <w:rsid w:val="3F2C5281"/>
    <w:rsid w:val="3F2E235D"/>
    <w:rsid w:val="3F4A0D8F"/>
    <w:rsid w:val="3F5449DF"/>
    <w:rsid w:val="3F5D36FC"/>
    <w:rsid w:val="3F620D12"/>
    <w:rsid w:val="3F660287"/>
    <w:rsid w:val="3F881DCD"/>
    <w:rsid w:val="3FA060CA"/>
    <w:rsid w:val="3FA70E1B"/>
    <w:rsid w:val="3FAF5352"/>
    <w:rsid w:val="3FAF7CCF"/>
    <w:rsid w:val="3FB871C0"/>
    <w:rsid w:val="3FDA4D4C"/>
    <w:rsid w:val="3FDF5208"/>
    <w:rsid w:val="3FE16252"/>
    <w:rsid w:val="3FE67B95"/>
    <w:rsid w:val="3FEC2CD2"/>
    <w:rsid w:val="3FEE633A"/>
    <w:rsid w:val="3FFF47B3"/>
    <w:rsid w:val="400B13AA"/>
    <w:rsid w:val="400E49F6"/>
    <w:rsid w:val="4012098A"/>
    <w:rsid w:val="402266F3"/>
    <w:rsid w:val="40295CD4"/>
    <w:rsid w:val="402E6E46"/>
    <w:rsid w:val="402E786F"/>
    <w:rsid w:val="403F6D22"/>
    <w:rsid w:val="405368AD"/>
    <w:rsid w:val="40583EC3"/>
    <w:rsid w:val="40666E31"/>
    <w:rsid w:val="407A6407"/>
    <w:rsid w:val="407F3B46"/>
    <w:rsid w:val="408217BD"/>
    <w:rsid w:val="4090365D"/>
    <w:rsid w:val="409E3FCC"/>
    <w:rsid w:val="40AE7F9B"/>
    <w:rsid w:val="40AF442B"/>
    <w:rsid w:val="40B838E7"/>
    <w:rsid w:val="40C1415E"/>
    <w:rsid w:val="40C1786A"/>
    <w:rsid w:val="40D02FFE"/>
    <w:rsid w:val="40E35E83"/>
    <w:rsid w:val="40ED6D01"/>
    <w:rsid w:val="4100653B"/>
    <w:rsid w:val="41024FB4"/>
    <w:rsid w:val="410858E9"/>
    <w:rsid w:val="410B7187"/>
    <w:rsid w:val="41110C42"/>
    <w:rsid w:val="41197AF6"/>
    <w:rsid w:val="41214BFD"/>
    <w:rsid w:val="412169AB"/>
    <w:rsid w:val="41306BEE"/>
    <w:rsid w:val="41391F47"/>
    <w:rsid w:val="41436921"/>
    <w:rsid w:val="41586871"/>
    <w:rsid w:val="41630D72"/>
    <w:rsid w:val="416924B0"/>
    <w:rsid w:val="416C40CA"/>
    <w:rsid w:val="41766CF7"/>
    <w:rsid w:val="417A49E3"/>
    <w:rsid w:val="418073DA"/>
    <w:rsid w:val="41943621"/>
    <w:rsid w:val="419945CA"/>
    <w:rsid w:val="41A03D74"/>
    <w:rsid w:val="41A76EB0"/>
    <w:rsid w:val="41AF6AA0"/>
    <w:rsid w:val="41B810BD"/>
    <w:rsid w:val="41B82E6B"/>
    <w:rsid w:val="41B8730F"/>
    <w:rsid w:val="41BA2D13"/>
    <w:rsid w:val="41BF0089"/>
    <w:rsid w:val="41C23CEA"/>
    <w:rsid w:val="41C31810"/>
    <w:rsid w:val="41C94BCB"/>
    <w:rsid w:val="41D9100B"/>
    <w:rsid w:val="41E2017D"/>
    <w:rsid w:val="41E9571B"/>
    <w:rsid w:val="41E96151"/>
    <w:rsid w:val="41EC6FB9"/>
    <w:rsid w:val="41EE2D31"/>
    <w:rsid w:val="41F145CF"/>
    <w:rsid w:val="41F30347"/>
    <w:rsid w:val="41FF4F3E"/>
    <w:rsid w:val="4200449D"/>
    <w:rsid w:val="420E6F2F"/>
    <w:rsid w:val="42116A75"/>
    <w:rsid w:val="422309D4"/>
    <w:rsid w:val="42312C1E"/>
    <w:rsid w:val="42361EDD"/>
    <w:rsid w:val="42383FAC"/>
    <w:rsid w:val="423A3BCC"/>
    <w:rsid w:val="42470781"/>
    <w:rsid w:val="424B113E"/>
    <w:rsid w:val="424E57D2"/>
    <w:rsid w:val="425828A0"/>
    <w:rsid w:val="42890CAC"/>
    <w:rsid w:val="428E1E1E"/>
    <w:rsid w:val="42903DE8"/>
    <w:rsid w:val="42956995"/>
    <w:rsid w:val="429F402B"/>
    <w:rsid w:val="42A6074D"/>
    <w:rsid w:val="42A67168"/>
    <w:rsid w:val="42B0448A"/>
    <w:rsid w:val="42B23D5F"/>
    <w:rsid w:val="42B26C49"/>
    <w:rsid w:val="42B9333F"/>
    <w:rsid w:val="42E44134"/>
    <w:rsid w:val="42FE0D52"/>
    <w:rsid w:val="42FE51BC"/>
    <w:rsid w:val="43095FBD"/>
    <w:rsid w:val="430E5D85"/>
    <w:rsid w:val="430F54F9"/>
    <w:rsid w:val="431467C7"/>
    <w:rsid w:val="43192030"/>
    <w:rsid w:val="431D1A0D"/>
    <w:rsid w:val="432030E4"/>
    <w:rsid w:val="432602A9"/>
    <w:rsid w:val="43281BA1"/>
    <w:rsid w:val="43296BA3"/>
    <w:rsid w:val="433A6FE6"/>
    <w:rsid w:val="43480868"/>
    <w:rsid w:val="434970FC"/>
    <w:rsid w:val="4350713C"/>
    <w:rsid w:val="435B61A4"/>
    <w:rsid w:val="436653E0"/>
    <w:rsid w:val="43672D9B"/>
    <w:rsid w:val="436F39FE"/>
    <w:rsid w:val="437234EE"/>
    <w:rsid w:val="437E00E5"/>
    <w:rsid w:val="43803E5D"/>
    <w:rsid w:val="43884ABF"/>
    <w:rsid w:val="439671DC"/>
    <w:rsid w:val="43AA0EDA"/>
    <w:rsid w:val="43AA712C"/>
    <w:rsid w:val="43AC7BE7"/>
    <w:rsid w:val="43B14016"/>
    <w:rsid w:val="43C4431A"/>
    <w:rsid w:val="43DE0B83"/>
    <w:rsid w:val="43E53F1A"/>
    <w:rsid w:val="43EE526A"/>
    <w:rsid w:val="43FC3FEA"/>
    <w:rsid w:val="4405646E"/>
    <w:rsid w:val="441F06F3"/>
    <w:rsid w:val="44242A3A"/>
    <w:rsid w:val="442C18EF"/>
    <w:rsid w:val="443407DD"/>
    <w:rsid w:val="443609BF"/>
    <w:rsid w:val="443F7874"/>
    <w:rsid w:val="445A46AE"/>
    <w:rsid w:val="446949BD"/>
    <w:rsid w:val="447F4114"/>
    <w:rsid w:val="448E6105"/>
    <w:rsid w:val="44953938"/>
    <w:rsid w:val="449A2CFC"/>
    <w:rsid w:val="44A27E03"/>
    <w:rsid w:val="44AD6ED3"/>
    <w:rsid w:val="44B951CC"/>
    <w:rsid w:val="44BC2C73"/>
    <w:rsid w:val="44CD14E0"/>
    <w:rsid w:val="44CF582B"/>
    <w:rsid w:val="44D073D9"/>
    <w:rsid w:val="44D132A9"/>
    <w:rsid w:val="44D53D34"/>
    <w:rsid w:val="44DD4252"/>
    <w:rsid w:val="44E421C9"/>
    <w:rsid w:val="44E64193"/>
    <w:rsid w:val="44F20B0B"/>
    <w:rsid w:val="4510239A"/>
    <w:rsid w:val="451328A8"/>
    <w:rsid w:val="45291EF1"/>
    <w:rsid w:val="452E5F4C"/>
    <w:rsid w:val="45343151"/>
    <w:rsid w:val="454D5FC1"/>
    <w:rsid w:val="454F7F8B"/>
    <w:rsid w:val="455E01CE"/>
    <w:rsid w:val="45612018"/>
    <w:rsid w:val="45633A36"/>
    <w:rsid w:val="4565330A"/>
    <w:rsid w:val="456D6663"/>
    <w:rsid w:val="457C08D0"/>
    <w:rsid w:val="457F1EF2"/>
    <w:rsid w:val="458946E9"/>
    <w:rsid w:val="4589785A"/>
    <w:rsid w:val="459F3510"/>
    <w:rsid w:val="45A47C0E"/>
    <w:rsid w:val="45C1250B"/>
    <w:rsid w:val="45C973F2"/>
    <w:rsid w:val="45CB42D6"/>
    <w:rsid w:val="45D832F8"/>
    <w:rsid w:val="45D93CF8"/>
    <w:rsid w:val="45E306D3"/>
    <w:rsid w:val="45EF7078"/>
    <w:rsid w:val="45F20916"/>
    <w:rsid w:val="460A2104"/>
    <w:rsid w:val="460F3276"/>
    <w:rsid w:val="46116B66"/>
    <w:rsid w:val="46222FA9"/>
    <w:rsid w:val="462C659F"/>
    <w:rsid w:val="464A0752"/>
    <w:rsid w:val="464E3D9E"/>
    <w:rsid w:val="46577FD6"/>
    <w:rsid w:val="4658266D"/>
    <w:rsid w:val="465E7D59"/>
    <w:rsid w:val="466F73ED"/>
    <w:rsid w:val="46703CDF"/>
    <w:rsid w:val="467557CF"/>
    <w:rsid w:val="467E449D"/>
    <w:rsid w:val="468A6DA0"/>
    <w:rsid w:val="469814BD"/>
    <w:rsid w:val="46996820"/>
    <w:rsid w:val="469F0A9E"/>
    <w:rsid w:val="46A2233C"/>
    <w:rsid w:val="46B678BD"/>
    <w:rsid w:val="46B77E1F"/>
    <w:rsid w:val="46B8390E"/>
    <w:rsid w:val="46C10A14"/>
    <w:rsid w:val="46C11272"/>
    <w:rsid w:val="46D11927"/>
    <w:rsid w:val="46D30747"/>
    <w:rsid w:val="46D955A7"/>
    <w:rsid w:val="46DC3AA0"/>
    <w:rsid w:val="46E672E9"/>
    <w:rsid w:val="46F143F1"/>
    <w:rsid w:val="46F31D2C"/>
    <w:rsid w:val="46F74436"/>
    <w:rsid w:val="46FB75C0"/>
    <w:rsid w:val="47081408"/>
    <w:rsid w:val="47133957"/>
    <w:rsid w:val="471877F6"/>
    <w:rsid w:val="471E5E67"/>
    <w:rsid w:val="472114B3"/>
    <w:rsid w:val="47220F38"/>
    <w:rsid w:val="47356D0C"/>
    <w:rsid w:val="47414FB0"/>
    <w:rsid w:val="4745586F"/>
    <w:rsid w:val="474653BD"/>
    <w:rsid w:val="47490905"/>
    <w:rsid w:val="474D674C"/>
    <w:rsid w:val="474E7DCE"/>
    <w:rsid w:val="474F4272"/>
    <w:rsid w:val="47505AC1"/>
    <w:rsid w:val="47507FEA"/>
    <w:rsid w:val="47580703"/>
    <w:rsid w:val="475C48D4"/>
    <w:rsid w:val="47637509"/>
    <w:rsid w:val="476C4F12"/>
    <w:rsid w:val="476E221E"/>
    <w:rsid w:val="47745A86"/>
    <w:rsid w:val="477517FF"/>
    <w:rsid w:val="479171B0"/>
    <w:rsid w:val="47A07E0C"/>
    <w:rsid w:val="47A53E92"/>
    <w:rsid w:val="47A619B8"/>
    <w:rsid w:val="47B40579"/>
    <w:rsid w:val="47B80C96"/>
    <w:rsid w:val="47C06F1E"/>
    <w:rsid w:val="47C3256A"/>
    <w:rsid w:val="47C35781"/>
    <w:rsid w:val="47C63E08"/>
    <w:rsid w:val="47E81FD1"/>
    <w:rsid w:val="47EA5D49"/>
    <w:rsid w:val="47FD2260"/>
    <w:rsid w:val="47FE17F4"/>
    <w:rsid w:val="48111527"/>
    <w:rsid w:val="481334F1"/>
    <w:rsid w:val="481806BC"/>
    <w:rsid w:val="4832149E"/>
    <w:rsid w:val="483B65A4"/>
    <w:rsid w:val="483C3846"/>
    <w:rsid w:val="48457423"/>
    <w:rsid w:val="484F02A2"/>
    <w:rsid w:val="485532B3"/>
    <w:rsid w:val="4856518C"/>
    <w:rsid w:val="48575BD9"/>
    <w:rsid w:val="485910F2"/>
    <w:rsid w:val="48665C81"/>
    <w:rsid w:val="48685693"/>
    <w:rsid w:val="48695801"/>
    <w:rsid w:val="486C0E54"/>
    <w:rsid w:val="4870272E"/>
    <w:rsid w:val="48711FC6"/>
    <w:rsid w:val="487D4E0F"/>
    <w:rsid w:val="48861F15"/>
    <w:rsid w:val="48A5467C"/>
    <w:rsid w:val="48AB002F"/>
    <w:rsid w:val="48B14AB8"/>
    <w:rsid w:val="48BB76E5"/>
    <w:rsid w:val="48C2073F"/>
    <w:rsid w:val="48C91E02"/>
    <w:rsid w:val="48CC04B7"/>
    <w:rsid w:val="48D72771"/>
    <w:rsid w:val="48DA5DBD"/>
    <w:rsid w:val="48E05833"/>
    <w:rsid w:val="48F21359"/>
    <w:rsid w:val="48F84495"/>
    <w:rsid w:val="48FB5D34"/>
    <w:rsid w:val="48FD7CFE"/>
    <w:rsid w:val="48FF3A76"/>
    <w:rsid w:val="4904108C"/>
    <w:rsid w:val="491237A9"/>
    <w:rsid w:val="491567AC"/>
    <w:rsid w:val="491A0DEF"/>
    <w:rsid w:val="491A65E6"/>
    <w:rsid w:val="492E7EB7"/>
    <w:rsid w:val="49301E81"/>
    <w:rsid w:val="493549A4"/>
    <w:rsid w:val="49656590"/>
    <w:rsid w:val="49663AF5"/>
    <w:rsid w:val="496F29A9"/>
    <w:rsid w:val="497D499A"/>
    <w:rsid w:val="49940662"/>
    <w:rsid w:val="4997611E"/>
    <w:rsid w:val="49B203C7"/>
    <w:rsid w:val="49BA799D"/>
    <w:rsid w:val="49BF4FB3"/>
    <w:rsid w:val="49CB1BAA"/>
    <w:rsid w:val="49CB243D"/>
    <w:rsid w:val="49D4280C"/>
    <w:rsid w:val="49D83FD2"/>
    <w:rsid w:val="49DC7715"/>
    <w:rsid w:val="49E8450A"/>
    <w:rsid w:val="49EC224C"/>
    <w:rsid w:val="49F12DDA"/>
    <w:rsid w:val="49F7299F"/>
    <w:rsid w:val="49FA3644"/>
    <w:rsid w:val="4A023139"/>
    <w:rsid w:val="4A02468A"/>
    <w:rsid w:val="4A05330E"/>
    <w:rsid w:val="4A062BE2"/>
    <w:rsid w:val="4A1D56ED"/>
    <w:rsid w:val="4A205A52"/>
    <w:rsid w:val="4A301A0D"/>
    <w:rsid w:val="4A3414FD"/>
    <w:rsid w:val="4A3748C8"/>
    <w:rsid w:val="4A413C1A"/>
    <w:rsid w:val="4A4756D4"/>
    <w:rsid w:val="4A4A0D21"/>
    <w:rsid w:val="4A4E6A63"/>
    <w:rsid w:val="4A5A7D11"/>
    <w:rsid w:val="4A600544"/>
    <w:rsid w:val="4A7144FF"/>
    <w:rsid w:val="4A722025"/>
    <w:rsid w:val="4A7B576F"/>
    <w:rsid w:val="4A7E6C1C"/>
    <w:rsid w:val="4A8E120F"/>
    <w:rsid w:val="4A9D52F4"/>
    <w:rsid w:val="4AA30431"/>
    <w:rsid w:val="4AAE7501"/>
    <w:rsid w:val="4AB30F8C"/>
    <w:rsid w:val="4ABC03C3"/>
    <w:rsid w:val="4AC72371"/>
    <w:rsid w:val="4AD340AD"/>
    <w:rsid w:val="4AF561A9"/>
    <w:rsid w:val="4B0435C5"/>
    <w:rsid w:val="4B182BCD"/>
    <w:rsid w:val="4B2660DD"/>
    <w:rsid w:val="4B4B5880"/>
    <w:rsid w:val="4B5005B9"/>
    <w:rsid w:val="4B517E8D"/>
    <w:rsid w:val="4B534ADE"/>
    <w:rsid w:val="4B7C5B05"/>
    <w:rsid w:val="4B897627"/>
    <w:rsid w:val="4B942AC7"/>
    <w:rsid w:val="4B95726D"/>
    <w:rsid w:val="4BA664DF"/>
    <w:rsid w:val="4BB751CB"/>
    <w:rsid w:val="4BC1796C"/>
    <w:rsid w:val="4BC845F3"/>
    <w:rsid w:val="4BD034A7"/>
    <w:rsid w:val="4BE125DA"/>
    <w:rsid w:val="4BE7158B"/>
    <w:rsid w:val="4BF90C50"/>
    <w:rsid w:val="4C1C66ED"/>
    <w:rsid w:val="4C1E4213"/>
    <w:rsid w:val="4C2D08FA"/>
    <w:rsid w:val="4C2D26A8"/>
    <w:rsid w:val="4C3954F1"/>
    <w:rsid w:val="4C413529"/>
    <w:rsid w:val="4C431ECB"/>
    <w:rsid w:val="4C4A0649"/>
    <w:rsid w:val="4C5058C9"/>
    <w:rsid w:val="4C544B99"/>
    <w:rsid w:val="4C5916EF"/>
    <w:rsid w:val="4C602A7D"/>
    <w:rsid w:val="4C672025"/>
    <w:rsid w:val="4C6C1422"/>
    <w:rsid w:val="4C7402D7"/>
    <w:rsid w:val="4C7E1155"/>
    <w:rsid w:val="4C7E5ECA"/>
    <w:rsid w:val="4C7F4F02"/>
    <w:rsid w:val="4C855E04"/>
    <w:rsid w:val="4C876AA5"/>
    <w:rsid w:val="4C8F6EBF"/>
    <w:rsid w:val="4C912C37"/>
    <w:rsid w:val="4C92075D"/>
    <w:rsid w:val="4C942727"/>
    <w:rsid w:val="4CB47441"/>
    <w:rsid w:val="4CB514BA"/>
    <w:rsid w:val="4CBB4158"/>
    <w:rsid w:val="4CBD7ED0"/>
    <w:rsid w:val="4CBF4633"/>
    <w:rsid w:val="4CE56BE4"/>
    <w:rsid w:val="4CF11927"/>
    <w:rsid w:val="4D0E00FB"/>
    <w:rsid w:val="4D0F1DAD"/>
    <w:rsid w:val="4D176606"/>
    <w:rsid w:val="4D227D33"/>
    <w:rsid w:val="4D2370B7"/>
    <w:rsid w:val="4D3B2BA3"/>
    <w:rsid w:val="4D4128AF"/>
    <w:rsid w:val="4D4A1ACD"/>
    <w:rsid w:val="4D4C4E9F"/>
    <w:rsid w:val="4D5A1F9D"/>
    <w:rsid w:val="4D5F2CDC"/>
    <w:rsid w:val="4D693BB4"/>
    <w:rsid w:val="4D6B792C"/>
    <w:rsid w:val="4D6E4D26"/>
    <w:rsid w:val="4D700A9E"/>
    <w:rsid w:val="4D875DE8"/>
    <w:rsid w:val="4D9F1383"/>
    <w:rsid w:val="4D9F3131"/>
    <w:rsid w:val="4DAE7818"/>
    <w:rsid w:val="4DBB0C1F"/>
    <w:rsid w:val="4DCD5378"/>
    <w:rsid w:val="4DCE7F49"/>
    <w:rsid w:val="4DD51249"/>
    <w:rsid w:val="4DE44FE8"/>
    <w:rsid w:val="4DE50D11"/>
    <w:rsid w:val="4DEC4FB0"/>
    <w:rsid w:val="4DF6221A"/>
    <w:rsid w:val="4DFF0074"/>
    <w:rsid w:val="4E013DEC"/>
    <w:rsid w:val="4E075D8A"/>
    <w:rsid w:val="4E0F475B"/>
    <w:rsid w:val="4E1254F6"/>
    <w:rsid w:val="4E1C0C26"/>
    <w:rsid w:val="4E1D411F"/>
    <w:rsid w:val="4E304B82"/>
    <w:rsid w:val="4E3221F7"/>
    <w:rsid w:val="4E3715BC"/>
    <w:rsid w:val="4E395334"/>
    <w:rsid w:val="4E3C6BD2"/>
    <w:rsid w:val="4E41068C"/>
    <w:rsid w:val="4E5B79A0"/>
    <w:rsid w:val="4E612ADD"/>
    <w:rsid w:val="4E632B69"/>
    <w:rsid w:val="4E645B1C"/>
    <w:rsid w:val="4E6D06B8"/>
    <w:rsid w:val="4E740A62"/>
    <w:rsid w:val="4E824F2D"/>
    <w:rsid w:val="4E8D351C"/>
    <w:rsid w:val="4E8F43AF"/>
    <w:rsid w:val="4E9C58C3"/>
    <w:rsid w:val="4EA47C59"/>
    <w:rsid w:val="4EB37C3D"/>
    <w:rsid w:val="4EB42C0C"/>
    <w:rsid w:val="4EB470B0"/>
    <w:rsid w:val="4EBA34C6"/>
    <w:rsid w:val="4EBE0A18"/>
    <w:rsid w:val="4EC00FAD"/>
    <w:rsid w:val="4ED84B4D"/>
    <w:rsid w:val="4EDF237F"/>
    <w:rsid w:val="4EEF00E8"/>
    <w:rsid w:val="4EF851EF"/>
    <w:rsid w:val="4F004723"/>
    <w:rsid w:val="4F040424"/>
    <w:rsid w:val="4F165675"/>
    <w:rsid w:val="4F253B0A"/>
    <w:rsid w:val="4F2D2F3D"/>
    <w:rsid w:val="4F3B332E"/>
    <w:rsid w:val="4F3E4570"/>
    <w:rsid w:val="4F400944"/>
    <w:rsid w:val="4F4E4E0F"/>
    <w:rsid w:val="4F581277"/>
    <w:rsid w:val="4F6F4D85"/>
    <w:rsid w:val="4F7815E6"/>
    <w:rsid w:val="4F846A83"/>
    <w:rsid w:val="4F8675C0"/>
    <w:rsid w:val="4F8C25F6"/>
    <w:rsid w:val="4F9843DC"/>
    <w:rsid w:val="4FA113E3"/>
    <w:rsid w:val="4FA11986"/>
    <w:rsid w:val="4FA26F09"/>
    <w:rsid w:val="4FA9473B"/>
    <w:rsid w:val="4FB05ACA"/>
    <w:rsid w:val="4FB63536"/>
    <w:rsid w:val="4FB94B15"/>
    <w:rsid w:val="4FBA06F6"/>
    <w:rsid w:val="4FBD3D43"/>
    <w:rsid w:val="4FC450D1"/>
    <w:rsid w:val="4FC62A8C"/>
    <w:rsid w:val="4FCC21D8"/>
    <w:rsid w:val="4FCE5F50"/>
    <w:rsid w:val="4FE20F0D"/>
    <w:rsid w:val="4FE47521"/>
    <w:rsid w:val="4FE51552"/>
    <w:rsid w:val="4FFC2ABD"/>
    <w:rsid w:val="4FFD6B3C"/>
    <w:rsid w:val="50062A66"/>
    <w:rsid w:val="50083210"/>
    <w:rsid w:val="500C049D"/>
    <w:rsid w:val="500F1A01"/>
    <w:rsid w:val="50106568"/>
    <w:rsid w:val="50120532"/>
    <w:rsid w:val="502703E4"/>
    <w:rsid w:val="50333CBF"/>
    <w:rsid w:val="50436859"/>
    <w:rsid w:val="50504C4B"/>
    <w:rsid w:val="50583D1D"/>
    <w:rsid w:val="505969CF"/>
    <w:rsid w:val="505C7A00"/>
    <w:rsid w:val="506568B4"/>
    <w:rsid w:val="506F328F"/>
    <w:rsid w:val="507A3CDA"/>
    <w:rsid w:val="507F724A"/>
    <w:rsid w:val="50827466"/>
    <w:rsid w:val="509C6E7C"/>
    <w:rsid w:val="509E1DC6"/>
    <w:rsid w:val="50A078EC"/>
    <w:rsid w:val="50B25872"/>
    <w:rsid w:val="50B340B7"/>
    <w:rsid w:val="50B45146"/>
    <w:rsid w:val="50B909AE"/>
    <w:rsid w:val="50CC6933"/>
    <w:rsid w:val="50D945BC"/>
    <w:rsid w:val="50DC644B"/>
    <w:rsid w:val="50E768EB"/>
    <w:rsid w:val="50E946D6"/>
    <w:rsid w:val="50F32112"/>
    <w:rsid w:val="51145BE4"/>
    <w:rsid w:val="512A5408"/>
    <w:rsid w:val="51347925"/>
    <w:rsid w:val="51385D77"/>
    <w:rsid w:val="513D3646"/>
    <w:rsid w:val="51510BE7"/>
    <w:rsid w:val="51586419"/>
    <w:rsid w:val="515E55B0"/>
    <w:rsid w:val="5162104E"/>
    <w:rsid w:val="5184720E"/>
    <w:rsid w:val="51870AAC"/>
    <w:rsid w:val="51907961"/>
    <w:rsid w:val="519D3E2C"/>
    <w:rsid w:val="51AD2A44"/>
    <w:rsid w:val="51C043DE"/>
    <w:rsid w:val="51C23892"/>
    <w:rsid w:val="51C27A56"/>
    <w:rsid w:val="51C301D5"/>
    <w:rsid w:val="51D07D5D"/>
    <w:rsid w:val="51E47CAD"/>
    <w:rsid w:val="51E54953"/>
    <w:rsid w:val="51E732F9"/>
    <w:rsid w:val="51E90E1F"/>
    <w:rsid w:val="51E94823"/>
    <w:rsid w:val="51F83758"/>
    <w:rsid w:val="51F85506"/>
    <w:rsid w:val="52014435"/>
    <w:rsid w:val="52043551"/>
    <w:rsid w:val="52045C59"/>
    <w:rsid w:val="520B5239"/>
    <w:rsid w:val="520D0FB1"/>
    <w:rsid w:val="521560B8"/>
    <w:rsid w:val="521C2FA3"/>
    <w:rsid w:val="5237602E"/>
    <w:rsid w:val="523C1897"/>
    <w:rsid w:val="525A1D1D"/>
    <w:rsid w:val="525F422A"/>
    <w:rsid w:val="52662470"/>
    <w:rsid w:val="52687F2F"/>
    <w:rsid w:val="527043DD"/>
    <w:rsid w:val="527821A3"/>
    <w:rsid w:val="52825CD0"/>
    <w:rsid w:val="52894066"/>
    <w:rsid w:val="528F7C18"/>
    <w:rsid w:val="52A03BD4"/>
    <w:rsid w:val="52A5743C"/>
    <w:rsid w:val="52AF02BB"/>
    <w:rsid w:val="52AF2069"/>
    <w:rsid w:val="52BB6C5F"/>
    <w:rsid w:val="52CA50F4"/>
    <w:rsid w:val="52D753D2"/>
    <w:rsid w:val="52DA65FF"/>
    <w:rsid w:val="52F11319"/>
    <w:rsid w:val="52F201A7"/>
    <w:rsid w:val="52F60A01"/>
    <w:rsid w:val="52F75E74"/>
    <w:rsid w:val="5302663C"/>
    <w:rsid w:val="530D6D8F"/>
    <w:rsid w:val="531445C2"/>
    <w:rsid w:val="532C02C8"/>
    <w:rsid w:val="5334256E"/>
    <w:rsid w:val="53397B84"/>
    <w:rsid w:val="533B38FC"/>
    <w:rsid w:val="533F4446"/>
    <w:rsid w:val="53492B23"/>
    <w:rsid w:val="53656BCB"/>
    <w:rsid w:val="5367649F"/>
    <w:rsid w:val="53733096"/>
    <w:rsid w:val="537868FE"/>
    <w:rsid w:val="5382021F"/>
    <w:rsid w:val="539179C0"/>
    <w:rsid w:val="539446C9"/>
    <w:rsid w:val="539A6875"/>
    <w:rsid w:val="53A039CC"/>
    <w:rsid w:val="53A1505A"/>
    <w:rsid w:val="53BD6A07"/>
    <w:rsid w:val="53E41989"/>
    <w:rsid w:val="53FD6E04"/>
    <w:rsid w:val="54063E08"/>
    <w:rsid w:val="540C7DCC"/>
    <w:rsid w:val="541064B2"/>
    <w:rsid w:val="541303D5"/>
    <w:rsid w:val="54181E8F"/>
    <w:rsid w:val="54183FF5"/>
    <w:rsid w:val="542E70C4"/>
    <w:rsid w:val="543437E8"/>
    <w:rsid w:val="54460623"/>
    <w:rsid w:val="544D38E7"/>
    <w:rsid w:val="545C6254"/>
    <w:rsid w:val="545F186C"/>
    <w:rsid w:val="54646990"/>
    <w:rsid w:val="54770964"/>
    <w:rsid w:val="548B440F"/>
    <w:rsid w:val="549118C6"/>
    <w:rsid w:val="54921C42"/>
    <w:rsid w:val="5499640D"/>
    <w:rsid w:val="549D01C5"/>
    <w:rsid w:val="54A43723"/>
    <w:rsid w:val="54A733F7"/>
    <w:rsid w:val="54C53DC5"/>
    <w:rsid w:val="54CB6F02"/>
    <w:rsid w:val="54D6243B"/>
    <w:rsid w:val="54DB5397"/>
    <w:rsid w:val="54EA2419"/>
    <w:rsid w:val="54F27E24"/>
    <w:rsid w:val="54F325B5"/>
    <w:rsid w:val="54F73313"/>
    <w:rsid w:val="54F80955"/>
    <w:rsid w:val="55020B76"/>
    <w:rsid w:val="55040A5C"/>
    <w:rsid w:val="5507618C"/>
    <w:rsid w:val="55081F04"/>
    <w:rsid w:val="55083CB2"/>
    <w:rsid w:val="55197C6D"/>
    <w:rsid w:val="551E34D6"/>
    <w:rsid w:val="552107F6"/>
    <w:rsid w:val="552635C7"/>
    <w:rsid w:val="55322ADD"/>
    <w:rsid w:val="55326F81"/>
    <w:rsid w:val="553920BD"/>
    <w:rsid w:val="5543118E"/>
    <w:rsid w:val="5549554B"/>
    <w:rsid w:val="554A63DA"/>
    <w:rsid w:val="555170A7"/>
    <w:rsid w:val="55524F2D"/>
    <w:rsid w:val="555E7D76"/>
    <w:rsid w:val="55621614"/>
    <w:rsid w:val="557B4484"/>
    <w:rsid w:val="5587536D"/>
    <w:rsid w:val="558E065B"/>
    <w:rsid w:val="55911EF9"/>
    <w:rsid w:val="5599628B"/>
    <w:rsid w:val="559B174B"/>
    <w:rsid w:val="559D43FA"/>
    <w:rsid w:val="55A203FA"/>
    <w:rsid w:val="55A439DB"/>
    <w:rsid w:val="55AD03B6"/>
    <w:rsid w:val="55AF2D18"/>
    <w:rsid w:val="55CC4CE0"/>
    <w:rsid w:val="55CE0CF4"/>
    <w:rsid w:val="55CE4B41"/>
    <w:rsid w:val="55CE5FC3"/>
    <w:rsid w:val="55D43B94"/>
    <w:rsid w:val="55DB188D"/>
    <w:rsid w:val="55DB4F23"/>
    <w:rsid w:val="55DC4A13"/>
    <w:rsid w:val="55E262B1"/>
    <w:rsid w:val="55EE5599"/>
    <w:rsid w:val="560549BF"/>
    <w:rsid w:val="56072C26"/>
    <w:rsid w:val="56091A90"/>
    <w:rsid w:val="561B265E"/>
    <w:rsid w:val="56310FE7"/>
    <w:rsid w:val="5635746F"/>
    <w:rsid w:val="563A60ED"/>
    <w:rsid w:val="56486A5C"/>
    <w:rsid w:val="56644F18"/>
    <w:rsid w:val="56725887"/>
    <w:rsid w:val="568A7075"/>
    <w:rsid w:val="5695686C"/>
    <w:rsid w:val="569A3030"/>
    <w:rsid w:val="569A387F"/>
    <w:rsid w:val="56AE4E93"/>
    <w:rsid w:val="56B22A9C"/>
    <w:rsid w:val="56CF0F2B"/>
    <w:rsid w:val="56DC6F51"/>
    <w:rsid w:val="56E46059"/>
    <w:rsid w:val="56E97E02"/>
    <w:rsid w:val="56ED7603"/>
    <w:rsid w:val="56F50266"/>
    <w:rsid w:val="57004D88"/>
    <w:rsid w:val="57064221"/>
    <w:rsid w:val="570F30D6"/>
    <w:rsid w:val="571050A0"/>
    <w:rsid w:val="57154464"/>
    <w:rsid w:val="571E6C34"/>
    <w:rsid w:val="573E22F9"/>
    <w:rsid w:val="57486B51"/>
    <w:rsid w:val="575C02E5"/>
    <w:rsid w:val="576C677A"/>
    <w:rsid w:val="5771288C"/>
    <w:rsid w:val="57825F9E"/>
    <w:rsid w:val="57877110"/>
    <w:rsid w:val="578C2978"/>
    <w:rsid w:val="578C4726"/>
    <w:rsid w:val="57905DFE"/>
    <w:rsid w:val="57B72A76"/>
    <w:rsid w:val="57C3426C"/>
    <w:rsid w:val="57CA16F3"/>
    <w:rsid w:val="57CE1F93"/>
    <w:rsid w:val="57DF519E"/>
    <w:rsid w:val="57EA289B"/>
    <w:rsid w:val="57F10112"/>
    <w:rsid w:val="57F85C54"/>
    <w:rsid w:val="580F7106"/>
    <w:rsid w:val="581035A9"/>
    <w:rsid w:val="58127656"/>
    <w:rsid w:val="581A4428"/>
    <w:rsid w:val="581F37ED"/>
    <w:rsid w:val="58296419"/>
    <w:rsid w:val="583354EA"/>
    <w:rsid w:val="583628E4"/>
    <w:rsid w:val="583A0626"/>
    <w:rsid w:val="584414A5"/>
    <w:rsid w:val="58445001"/>
    <w:rsid w:val="584C2108"/>
    <w:rsid w:val="585A4825"/>
    <w:rsid w:val="586E495F"/>
    <w:rsid w:val="586F4548"/>
    <w:rsid w:val="5875340D"/>
    <w:rsid w:val="587A70F3"/>
    <w:rsid w:val="587B479B"/>
    <w:rsid w:val="58823D7B"/>
    <w:rsid w:val="588743D1"/>
    <w:rsid w:val="5887701A"/>
    <w:rsid w:val="5889510A"/>
    <w:rsid w:val="58AB1524"/>
    <w:rsid w:val="58B06B3A"/>
    <w:rsid w:val="58CD4FF7"/>
    <w:rsid w:val="58D36385"/>
    <w:rsid w:val="58E17347"/>
    <w:rsid w:val="58EB630E"/>
    <w:rsid w:val="58F44C79"/>
    <w:rsid w:val="58F76F6F"/>
    <w:rsid w:val="5900361E"/>
    <w:rsid w:val="590429E2"/>
    <w:rsid w:val="590B5B1F"/>
    <w:rsid w:val="591C7D2C"/>
    <w:rsid w:val="592A2449"/>
    <w:rsid w:val="593C03CE"/>
    <w:rsid w:val="594C7D35"/>
    <w:rsid w:val="59545718"/>
    <w:rsid w:val="596561B7"/>
    <w:rsid w:val="596671F9"/>
    <w:rsid w:val="597712A6"/>
    <w:rsid w:val="5996188C"/>
    <w:rsid w:val="59995821"/>
    <w:rsid w:val="599B50F5"/>
    <w:rsid w:val="599D6B9C"/>
    <w:rsid w:val="599E6993"/>
    <w:rsid w:val="59A0095D"/>
    <w:rsid w:val="59A26483"/>
    <w:rsid w:val="59A541C5"/>
    <w:rsid w:val="59A70B1E"/>
    <w:rsid w:val="59AE1F12"/>
    <w:rsid w:val="59BD32BD"/>
    <w:rsid w:val="59C0439F"/>
    <w:rsid w:val="59C100A3"/>
    <w:rsid w:val="59D10B16"/>
    <w:rsid w:val="59D40607"/>
    <w:rsid w:val="59E940B2"/>
    <w:rsid w:val="59EE4B0B"/>
    <w:rsid w:val="59F12F67"/>
    <w:rsid w:val="59FB2037"/>
    <w:rsid w:val="5A116BEA"/>
    <w:rsid w:val="5A186745"/>
    <w:rsid w:val="5A1F7AD4"/>
    <w:rsid w:val="5A252C10"/>
    <w:rsid w:val="5A2570B4"/>
    <w:rsid w:val="5A2C0443"/>
    <w:rsid w:val="5A3000A7"/>
    <w:rsid w:val="5A3712B9"/>
    <w:rsid w:val="5A5E6C6D"/>
    <w:rsid w:val="5A783688"/>
    <w:rsid w:val="5A81253D"/>
    <w:rsid w:val="5A8E07B6"/>
    <w:rsid w:val="5A904870"/>
    <w:rsid w:val="5A9164F8"/>
    <w:rsid w:val="5AA601F5"/>
    <w:rsid w:val="5AB04891"/>
    <w:rsid w:val="5ABE2233"/>
    <w:rsid w:val="5AC55718"/>
    <w:rsid w:val="5AC643F3"/>
    <w:rsid w:val="5AC93EE4"/>
    <w:rsid w:val="5ACB37B8"/>
    <w:rsid w:val="5AD703AE"/>
    <w:rsid w:val="5AD84127"/>
    <w:rsid w:val="5ADC4ABF"/>
    <w:rsid w:val="5AF70A51"/>
    <w:rsid w:val="5B022F52"/>
    <w:rsid w:val="5B0A4936"/>
    <w:rsid w:val="5B0D3DD0"/>
    <w:rsid w:val="5B1831EE"/>
    <w:rsid w:val="5B1F58B2"/>
    <w:rsid w:val="5B24736C"/>
    <w:rsid w:val="5B264E92"/>
    <w:rsid w:val="5B2A2BD4"/>
    <w:rsid w:val="5B305D11"/>
    <w:rsid w:val="5B3A093D"/>
    <w:rsid w:val="5B44356A"/>
    <w:rsid w:val="5B6854AA"/>
    <w:rsid w:val="5B6D1986"/>
    <w:rsid w:val="5B8F0C89"/>
    <w:rsid w:val="5B9F0C9B"/>
    <w:rsid w:val="5B9F1982"/>
    <w:rsid w:val="5BA109BC"/>
    <w:rsid w:val="5BAB71AE"/>
    <w:rsid w:val="5BB46942"/>
    <w:rsid w:val="5BC14F80"/>
    <w:rsid w:val="5BD112A2"/>
    <w:rsid w:val="5BD13381"/>
    <w:rsid w:val="5BD62414"/>
    <w:rsid w:val="5BDF5D95"/>
    <w:rsid w:val="5BE07737"/>
    <w:rsid w:val="5BEC7E8A"/>
    <w:rsid w:val="5BEE4B07"/>
    <w:rsid w:val="5BFE7528"/>
    <w:rsid w:val="5C003CAF"/>
    <w:rsid w:val="5C0F3B78"/>
    <w:rsid w:val="5C113743"/>
    <w:rsid w:val="5C125416"/>
    <w:rsid w:val="5C1F025F"/>
    <w:rsid w:val="5C292E8C"/>
    <w:rsid w:val="5C2A09B2"/>
    <w:rsid w:val="5C2A2760"/>
    <w:rsid w:val="5C391B5A"/>
    <w:rsid w:val="5C3B671B"/>
    <w:rsid w:val="5C401F83"/>
    <w:rsid w:val="5C4315F2"/>
    <w:rsid w:val="5C45759A"/>
    <w:rsid w:val="5C4A4BB0"/>
    <w:rsid w:val="5C4B2C2A"/>
    <w:rsid w:val="5C58551F"/>
    <w:rsid w:val="5C5E240A"/>
    <w:rsid w:val="5C62014C"/>
    <w:rsid w:val="5C6A1F31"/>
    <w:rsid w:val="5C71213D"/>
    <w:rsid w:val="5C787AB7"/>
    <w:rsid w:val="5C822E84"/>
    <w:rsid w:val="5C841E70"/>
    <w:rsid w:val="5C8A1451"/>
    <w:rsid w:val="5C8B0A56"/>
    <w:rsid w:val="5C9A13A1"/>
    <w:rsid w:val="5CA2679A"/>
    <w:rsid w:val="5CB464A7"/>
    <w:rsid w:val="5CB70498"/>
    <w:rsid w:val="5CBC7902"/>
    <w:rsid w:val="5CC2508E"/>
    <w:rsid w:val="5CC93D27"/>
    <w:rsid w:val="5CCB3F43"/>
    <w:rsid w:val="5CCD7CBB"/>
    <w:rsid w:val="5CDA23D8"/>
    <w:rsid w:val="5CE33D10"/>
    <w:rsid w:val="5CF02650"/>
    <w:rsid w:val="5CFF3BED"/>
    <w:rsid w:val="5D06436A"/>
    <w:rsid w:val="5D0E3E30"/>
    <w:rsid w:val="5D101956"/>
    <w:rsid w:val="5D1A6C78"/>
    <w:rsid w:val="5D221689"/>
    <w:rsid w:val="5D377326"/>
    <w:rsid w:val="5D3A36E0"/>
    <w:rsid w:val="5D421CD6"/>
    <w:rsid w:val="5D447851"/>
    <w:rsid w:val="5D5A52C7"/>
    <w:rsid w:val="5D5A7075"/>
    <w:rsid w:val="5D814602"/>
    <w:rsid w:val="5D8A5BAC"/>
    <w:rsid w:val="5D8A795A"/>
    <w:rsid w:val="5D8B722E"/>
    <w:rsid w:val="5D8D11F8"/>
    <w:rsid w:val="5D9205BD"/>
    <w:rsid w:val="5DA16A52"/>
    <w:rsid w:val="5DB577BD"/>
    <w:rsid w:val="5DBB36E5"/>
    <w:rsid w:val="5DBC1ADE"/>
    <w:rsid w:val="5DC6470A"/>
    <w:rsid w:val="5DDE3B09"/>
    <w:rsid w:val="5DE45B18"/>
    <w:rsid w:val="5DED7EE9"/>
    <w:rsid w:val="5DF23751"/>
    <w:rsid w:val="5DF539F8"/>
    <w:rsid w:val="5DF642BB"/>
    <w:rsid w:val="5E056FE1"/>
    <w:rsid w:val="5E135BA1"/>
    <w:rsid w:val="5E190CDE"/>
    <w:rsid w:val="5E2002BE"/>
    <w:rsid w:val="5E2467F1"/>
    <w:rsid w:val="5E343D6A"/>
    <w:rsid w:val="5E370649"/>
    <w:rsid w:val="5E39312E"/>
    <w:rsid w:val="5E3E6996"/>
    <w:rsid w:val="5E437B09"/>
    <w:rsid w:val="5E483371"/>
    <w:rsid w:val="5E494629"/>
    <w:rsid w:val="5E543AC4"/>
    <w:rsid w:val="5E59557E"/>
    <w:rsid w:val="5E5B12F6"/>
    <w:rsid w:val="5E6006BB"/>
    <w:rsid w:val="5E7E1A78"/>
    <w:rsid w:val="5E8641B2"/>
    <w:rsid w:val="5E8720EC"/>
    <w:rsid w:val="5E8B1431"/>
    <w:rsid w:val="5E900A9A"/>
    <w:rsid w:val="5E9860A7"/>
    <w:rsid w:val="5EA1160B"/>
    <w:rsid w:val="5EAA5DDA"/>
    <w:rsid w:val="5EAD5C4E"/>
    <w:rsid w:val="5EAE6EA3"/>
    <w:rsid w:val="5EBD48A2"/>
    <w:rsid w:val="5EC21376"/>
    <w:rsid w:val="5EC96260"/>
    <w:rsid w:val="5ECB5892"/>
    <w:rsid w:val="5ECD5591"/>
    <w:rsid w:val="5ED10CE9"/>
    <w:rsid w:val="5ED35331"/>
    <w:rsid w:val="5ED66BCF"/>
    <w:rsid w:val="5EE31948"/>
    <w:rsid w:val="5EE74938"/>
    <w:rsid w:val="5EEF7D5E"/>
    <w:rsid w:val="5EFB03E4"/>
    <w:rsid w:val="5F011E9E"/>
    <w:rsid w:val="5F0279C4"/>
    <w:rsid w:val="5F100333"/>
    <w:rsid w:val="5F1A2B43"/>
    <w:rsid w:val="5F2142EE"/>
    <w:rsid w:val="5F3B6A32"/>
    <w:rsid w:val="5F64242D"/>
    <w:rsid w:val="5F6B685C"/>
    <w:rsid w:val="5F764509"/>
    <w:rsid w:val="5F85487D"/>
    <w:rsid w:val="5FA42829"/>
    <w:rsid w:val="5FB837BB"/>
    <w:rsid w:val="5FC31432"/>
    <w:rsid w:val="5FE40A36"/>
    <w:rsid w:val="5FE910EE"/>
    <w:rsid w:val="600B4656"/>
    <w:rsid w:val="6021053E"/>
    <w:rsid w:val="602A5424"/>
    <w:rsid w:val="602C4CF9"/>
    <w:rsid w:val="603F3AE9"/>
    <w:rsid w:val="60563B24"/>
    <w:rsid w:val="60672928"/>
    <w:rsid w:val="60673F83"/>
    <w:rsid w:val="60A6470E"/>
    <w:rsid w:val="60A73D51"/>
    <w:rsid w:val="60AA20C1"/>
    <w:rsid w:val="60AE7E03"/>
    <w:rsid w:val="60B3721E"/>
    <w:rsid w:val="60B847DE"/>
    <w:rsid w:val="60BD3BA3"/>
    <w:rsid w:val="60C018E5"/>
    <w:rsid w:val="60C2740B"/>
    <w:rsid w:val="60C90799"/>
    <w:rsid w:val="60CC405A"/>
    <w:rsid w:val="60D16F99"/>
    <w:rsid w:val="60E2185B"/>
    <w:rsid w:val="60F872D1"/>
    <w:rsid w:val="6103515F"/>
    <w:rsid w:val="6109503A"/>
    <w:rsid w:val="610A2B60"/>
    <w:rsid w:val="610B0DB2"/>
    <w:rsid w:val="612105D5"/>
    <w:rsid w:val="612400C6"/>
    <w:rsid w:val="61306A6A"/>
    <w:rsid w:val="613227E3"/>
    <w:rsid w:val="61333E65"/>
    <w:rsid w:val="613E2452"/>
    <w:rsid w:val="6155425E"/>
    <w:rsid w:val="61630BEE"/>
    <w:rsid w:val="6175128B"/>
    <w:rsid w:val="617526CF"/>
    <w:rsid w:val="617C3A5E"/>
    <w:rsid w:val="61860438"/>
    <w:rsid w:val="618F19E3"/>
    <w:rsid w:val="61A11F8F"/>
    <w:rsid w:val="61A30FEA"/>
    <w:rsid w:val="61B96A60"/>
    <w:rsid w:val="61BA3FEE"/>
    <w:rsid w:val="61DC338E"/>
    <w:rsid w:val="61DF1954"/>
    <w:rsid w:val="61E138C1"/>
    <w:rsid w:val="61E215D8"/>
    <w:rsid w:val="61E33ADD"/>
    <w:rsid w:val="61E81B77"/>
    <w:rsid w:val="61F25ACE"/>
    <w:rsid w:val="61FC06FB"/>
    <w:rsid w:val="620B6B90"/>
    <w:rsid w:val="621B3775"/>
    <w:rsid w:val="621C0D9D"/>
    <w:rsid w:val="62364782"/>
    <w:rsid w:val="624C78D4"/>
    <w:rsid w:val="62663508"/>
    <w:rsid w:val="62682234"/>
    <w:rsid w:val="62886432"/>
    <w:rsid w:val="628A21AA"/>
    <w:rsid w:val="628D3A49"/>
    <w:rsid w:val="628E1C9B"/>
    <w:rsid w:val="62AE40C4"/>
    <w:rsid w:val="62AF1C11"/>
    <w:rsid w:val="62B114E5"/>
    <w:rsid w:val="62B45479"/>
    <w:rsid w:val="62B57AC5"/>
    <w:rsid w:val="62D11B87"/>
    <w:rsid w:val="62D17DD9"/>
    <w:rsid w:val="62D556ED"/>
    <w:rsid w:val="62E5302B"/>
    <w:rsid w:val="62EC69C1"/>
    <w:rsid w:val="62F87114"/>
    <w:rsid w:val="630D3C4B"/>
    <w:rsid w:val="630E2DDB"/>
    <w:rsid w:val="6313732C"/>
    <w:rsid w:val="631B1054"/>
    <w:rsid w:val="63300F2A"/>
    <w:rsid w:val="63475A0F"/>
    <w:rsid w:val="63484D90"/>
    <w:rsid w:val="635602DE"/>
    <w:rsid w:val="63576530"/>
    <w:rsid w:val="635A392B"/>
    <w:rsid w:val="635F53E5"/>
    <w:rsid w:val="637C7D45"/>
    <w:rsid w:val="637F15E3"/>
    <w:rsid w:val="638210D3"/>
    <w:rsid w:val="6384459F"/>
    <w:rsid w:val="63864720"/>
    <w:rsid w:val="638975F9"/>
    <w:rsid w:val="638E1826"/>
    <w:rsid w:val="63911317"/>
    <w:rsid w:val="6394356A"/>
    <w:rsid w:val="63957059"/>
    <w:rsid w:val="63B30BC6"/>
    <w:rsid w:val="63BF7C32"/>
    <w:rsid w:val="63C61B2C"/>
    <w:rsid w:val="63CA23C8"/>
    <w:rsid w:val="63D40BE9"/>
    <w:rsid w:val="63DB5A86"/>
    <w:rsid w:val="63E45DCE"/>
    <w:rsid w:val="64033FC2"/>
    <w:rsid w:val="64102431"/>
    <w:rsid w:val="641454B1"/>
    <w:rsid w:val="643A6F15"/>
    <w:rsid w:val="643F3947"/>
    <w:rsid w:val="64462101"/>
    <w:rsid w:val="64472A32"/>
    <w:rsid w:val="6449399F"/>
    <w:rsid w:val="645111D2"/>
    <w:rsid w:val="645C36D2"/>
    <w:rsid w:val="64630F05"/>
    <w:rsid w:val="646627A3"/>
    <w:rsid w:val="64746C6E"/>
    <w:rsid w:val="647924D6"/>
    <w:rsid w:val="64A5243A"/>
    <w:rsid w:val="64AE12EC"/>
    <w:rsid w:val="64B21544"/>
    <w:rsid w:val="64B242FB"/>
    <w:rsid w:val="64BC23C3"/>
    <w:rsid w:val="64D92F75"/>
    <w:rsid w:val="64E33DF4"/>
    <w:rsid w:val="64F531DE"/>
    <w:rsid w:val="64F61BCC"/>
    <w:rsid w:val="64FF13A9"/>
    <w:rsid w:val="65055B18"/>
    <w:rsid w:val="65077AE2"/>
    <w:rsid w:val="65081A06"/>
    <w:rsid w:val="650C50F9"/>
    <w:rsid w:val="65151342"/>
    <w:rsid w:val="651D10B4"/>
    <w:rsid w:val="65373578"/>
    <w:rsid w:val="653D70AC"/>
    <w:rsid w:val="6541767C"/>
    <w:rsid w:val="65444892"/>
    <w:rsid w:val="65474383"/>
    <w:rsid w:val="654D5B2A"/>
    <w:rsid w:val="65516FAF"/>
    <w:rsid w:val="65534AD5"/>
    <w:rsid w:val="65803FB9"/>
    <w:rsid w:val="65907AD8"/>
    <w:rsid w:val="65951313"/>
    <w:rsid w:val="659B647C"/>
    <w:rsid w:val="65A05841"/>
    <w:rsid w:val="65A803C6"/>
    <w:rsid w:val="65BE574D"/>
    <w:rsid w:val="65C9123C"/>
    <w:rsid w:val="65CD0D2C"/>
    <w:rsid w:val="65D77A86"/>
    <w:rsid w:val="65E367CA"/>
    <w:rsid w:val="65E41D35"/>
    <w:rsid w:val="65E676F8"/>
    <w:rsid w:val="65FC516D"/>
    <w:rsid w:val="65FD5337"/>
    <w:rsid w:val="660109D5"/>
    <w:rsid w:val="6615153D"/>
    <w:rsid w:val="661701F9"/>
    <w:rsid w:val="66246472"/>
    <w:rsid w:val="664803B2"/>
    <w:rsid w:val="66575D6F"/>
    <w:rsid w:val="66585D18"/>
    <w:rsid w:val="665E7BD6"/>
    <w:rsid w:val="66611986"/>
    <w:rsid w:val="66754F1F"/>
    <w:rsid w:val="667F71BA"/>
    <w:rsid w:val="669453A6"/>
    <w:rsid w:val="669E6224"/>
    <w:rsid w:val="66A575B3"/>
    <w:rsid w:val="66AE6619"/>
    <w:rsid w:val="66AF0431"/>
    <w:rsid w:val="66AF5D8A"/>
    <w:rsid w:val="66B45A48"/>
    <w:rsid w:val="66BA79BE"/>
    <w:rsid w:val="66C30D22"/>
    <w:rsid w:val="66C739CD"/>
    <w:rsid w:val="66D2780F"/>
    <w:rsid w:val="66EA1469"/>
    <w:rsid w:val="66F50A6D"/>
    <w:rsid w:val="66F619F5"/>
    <w:rsid w:val="66FB71D3"/>
    <w:rsid w:val="670B29FF"/>
    <w:rsid w:val="671F0DD6"/>
    <w:rsid w:val="671F124A"/>
    <w:rsid w:val="67396A55"/>
    <w:rsid w:val="673B4EB6"/>
    <w:rsid w:val="67496E0E"/>
    <w:rsid w:val="675D123C"/>
    <w:rsid w:val="675D1C3B"/>
    <w:rsid w:val="675D3F17"/>
    <w:rsid w:val="676C1E7F"/>
    <w:rsid w:val="677A33C6"/>
    <w:rsid w:val="677D6EFF"/>
    <w:rsid w:val="678078AB"/>
    <w:rsid w:val="679A69EC"/>
    <w:rsid w:val="679C6C08"/>
    <w:rsid w:val="67A45ABC"/>
    <w:rsid w:val="67B0620F"/>
    <w:rsid w:val="67C24194"/>
    <w:rsid w:val="67C543FE"/>
    <w:rsid w:val="67C90789"/>
    <w:rsid w:val="67D2021A"/>
    <w:rsid w:val="67D36E4C"/>
    <w:rsid w:val="67E97973"/>
    <w:rsid w:val="67F55BA1"/>
    <w:rsid w:val="680622D3"/>
    <w:rsid w:val="680B5B3B"/>
    <w:rsid w:val="680F3BCA"/>
    <w:rsid w:val="68103152"/>
    <w:rsid w:val="681D13CB"/>
    <w:rsid w:val="681F6961"/>
    <w:rsid w:val="68264723"/>
    <w:rsid w:val="683D5300"/>
    <w:rsid w:val="6841330B"/>
    <w:rsid w:val="68491856"/>
    <w:rsid w:val="685A617B"/>
    <w:rsid w:val="685E5C6B"/>
    <w:rsid w:val="68610A2F"/>
    <w:rsid w:val="686A7FF6"/>
    <w:rsid w:val="68805514"/>
    <w:rsid w:val="688203AA"/>
    <w:rsid w:val="6885769C"/>
    <w:rsid w:val="68917D64"/>
    <w:rsid w:val="68A33FC6"/>
    <w:rsid w:val="68AA7102"/>
    <w:rsid w:val="68AB4C28"/>
    <w:rsid w:val="68B41D2F"/>
    <w:rsid w:val="68CA45B4"/>
    <w:rsid w:val="68D51CA5"/>
    <w:rsid w:val="68E5013A"/>
    <w:rsid w:val="68E87C2B"/>
    <w:rsid w:val="68E92C47"/>
    <w:rsid w:val="68FB5860"/>
    <w:rsid w:val="68FF6B6E"/>
    <w:rsid w:val="69041B28"/>
    <w:rsid w:val="690440E6"/>
    <w:rsid w:val="69046435"/>
    <w:rsid w:val="69117181"/>
    <w:rsid w:val="69316E2F"/>
    <w:rsid w:val="69323BE5"/>
    <w:rsid w:val="69401815"/>
    <w:rsid w:val="69490FDA"/>
    <w:rsid w:val="694E2071"/>
    <w:rsid w:val="695A25BD"/>
    <w:rsid w:val="6971438B"/>
    <w:rsid w:val="69766163"/>
    <w:rsid w:val="697A3B33"/>
    <w:rsid w:val="697D6086"/>
    <w:rsid w:val="698046AE"/>
    <w:rsid w:val="69847953"/>
    <w:rsid w:val="698A2A90"/>
    <w:rsid w:val="69A566EB"/>
    <w:rsid w:val="69A71894"/>
    <w:rsid w:val="69B56B30"/>
    <w:rsid w:val="69C73CE4"/>
    <w:rsid w:val="69C77840"/>
    <w:rsid w:val="69D44760"/>
    <w:rsid w:val="69F148BD"/>
    <w:rsid w:val="69F179E0"/>
    <w:rsid w:val="6A014C04"/>
    <w:rsid w:val="6A0665BA"/>
    <w:rsid w:val="6A0A597F"/>
    <w:rsid w:val="6A1231B1"/>
    <w:rsid w:val="6A177271"/>
    <w:rsid w:val="6A1811F2"/>
    <w:rsid w:val="6A2D2598"/>
    <w:rsid w:val="6A331019"/>
    <w:rsid w:val="6A4315BC"/>
    <w:rsid w:val="6A470981"/>
    <w:rsid w:val="6A520EC7"/>
    <w:rsid w:val="6A617C95"/>
    <w:rsid w:val="6A667B16"/>
    <w:rsid w:val="6A6B0B13"/>
    <w:rsid w:val="6A6C088F"/>
    <w:rsid w:val="6A6F217A"/>
    <w:rsid w:val="6A773014"/>
    <w:rsid w:val="6A7C7FAC"/>
    <w:rsid w:val="6A7D0E05"/>
    <w:rsid w:val="6A80208E"/>
    <w:rsid w:val="6A995680"/>
    <w:rsid w:val="6AA87672"/>
    <w:rsid w:val="6AAE7C34"/>
    <w:rsid w:val="6ABD49C8"/>
    <w:rsid w:val="6AC15A8A"/>
    <w:rsid w:val="6ACA583A"/>
    <w:rsid w:val="6AD00976"/>
    <w:rsid w:val="6AD830DB"/>
    <w:rsid w:val="6AE17228"/>
    <w:rsid w:val="6AF87E20"/>
    <w:rsid w:val="6AFB6E09"/>
    <w:rsid w:val="6B053DE4"/>
    <w:rsid w:val="6B054AC4"/>
    <w:rsid w:val="6B1271E1"/>
    <w:rsid w:val="6B1765A5"/>
    <w:rsid w:val="6B19231D"/>
    <w:rsid w:val="6B1C4098"/>
    <w:rsid w:val="6B322639"/>
    <w:rsid w:val="6B3D2212"/>
    <w:rsid w:val="6B3E7FD6"/>
    <w:rsid w:val="6B426526"/>
    <w:rsid w:val="6B43773A"/>
    <w:rsid w:val="6B4B624F"/>
    <w:rsid w:val="6B516E96"/>
    <w:rsid w:val="6B5335E2"/>
    <w:rsid w:val="6B7A3666"/>
    <w:rsid w:val="6B9155B8"/>
    <w:rsid w:val="6B9809FC"/>
    <w:rsid w:val="6B9974AB"/>
    <w:rsid w:val="6B9C304C"/>
    <w:rsid w:val="6BA8544F"/>
    <w:rsid w:val="6BB46A94"/>
    <w:rsid w:val="6BB65481"/>
    <w:rsid w:val="6BC54253"/>
    <w:rsid w:val="6BD050D2"/>
    <w:rsid w:val="6BD25D40"/>
    <w:rsid w:val="6BD34BC2"/>
    <w:rsid w:val="6BD46244"/>
    <w:rsid w:val="6BE04BE9"/>
    <w:rsid w:val="6BE22BEB"/>
    <w:rsid w:val="6BE7241B"/>
    <w:rsid w:val="6BEB1F0C"/>
    <w:rsid w:val="6BF32B6E"/>
    <w:rsid w:val="6C044D7B"/>
    <w:rsid w:val="6C152AE5"/>
    <w:rsid w:val="6C1825D5"/>
    <w:rsid w:val="6C353187"/>
    <w:rsid w:val="6C4258A4"/>
    <w:rsid w:val="6C472EBA"/>
    <w:rsid w:val="6C4C6167"/>
    <w:rsid w:val="6C4E249B"/>
    <w:rsid w:val="6C636C38"/>
    <w:rsid w:val="6C64581A"/>
    <w:rsid w:val="6C6677E4"/>
    <w:rsid w:val="6C6C5CA7"/>
    <w:rsid w:val="6C700663"/>
    <w:rsid w:val="6C727F37"/>
    <w:rsid w:val="6C7B75D8"/>
    <w:rsid w:val="6C8A0BDE"/>
    <w:rsid w:val="6C8E3C33"/>
    <w:rsid w:val="6CA7281A"/>
    <w:rsid w:val="6CB26586"/>
    <w:rsid w:val="6CC91B21"/>
    <w:rsid w:val="6CC96574"/>
    <w:rsid w:val="6CDB1F80"/>
    <w:rsid w:val="6CE34991"/>
    <w:rsid w:val="6CE64CE8"/>
    <w:rsid w:val="6D066F92"/>
    <w:rsid w:val="6D2E310C"/>
    <w:rsid w:val="6D3E42BD"/>
    <w:rsid w:val="6D415B5B"/>
    <w:rsid w:val="6D4A4A10"/>
    <w:rsid w:val="6D4A7ED7"/>
    <w:rsid w:val="6D4F1720"/>
    <w:rsid w:val="6D7B0EA7"/>
    <w:rsid w:val="6D841E4C"/>
    <w:rsid w:val="6D8A12B0"/>
    <w:rsid w:val="6D8E6FF3"/>
    <w:rsid w:val="6D9143ED"/>
    <w:rsid w:val="6D943EDD"/>
    <w:rsid w:val="6D9A2BC0"/>
    <w:rsid w:val="6D9C10A4"/>
    <w:rsid w:val="6DB34098"/>
    <w:rsid w:val="6DB34907"/>
    <w:rsid w:val="6DB545B6"/>
    <w:rsid w:val="6DC522E8"/>
    <w:rsid w:val="6DC81DD9"/>
    <w:rsid w:val="6DCF760B"/>
    <w:rsid w:val="6DDB5FB0"/>
    <w:rsid w:val="6DE02FB4"/>
    <w:rsid w:val="6DF130DE"/>
    <w:rsid w:val="6DF57510"/>
    <w:rsid w:val="6E014F7C"/>
    <w:rsid w:val="6E0E3C8F"/>
    <w:rsid w:val="6E25722B"/>
    <w:rsid w:val="6E2A11DD"/>
    <w:rsid w:val="6E2B0D75"/>
    <w:rsid w:val="6E305C20"/>
    <w:rsid w:val="6E355449"/>
    <w:rsid w:val="6E443B55"/>
    <w:rsid w:val="6E470F4F"/>
    <w:rsid w:val="6E514CED"/>
    <w:rsid w:val="6E531FEA"/>
    <w:rsid w:val="6E62222D"/>
    <w:rsid w:val="6E6543DB"/>
    <w:rsid w:val="6E781A51"/>
    <w:rsid w:val="6E7C1080"/>
    <w:rsid w:val="6E7C24C6"/>
    <w:rsid w:val="6E8126B3"/>
    <w:rsid w:val="6E931F60"/>
    <w:rsid w:val="6E970129"/>
    <w:rsid w:val="6EB563D5"/>
    <w:rsid w:val="6EBF4F8A"/>
    <w:rsid w:val="6EC16F54"/>
    <w:rsid w:val="6ED92677"/>
    <w:rsid w:val="6EED0B2A"/>
    <w:rsid w:val="6F06777B"/>
    <w:rsid w:val="6F0D2199"/>
    <w:rsid w:val="6F1C418A"/>
    <w:rsid w:val="6F225983"/>
    <w:rsid w:val="6F35524C"/>
    <w:rsid w:val="6F3B56CB"/>
    <w:rsid w:val="6F4638FD"/>
    <w:rsid w:val="6F5002D8"/>
    <w:rsid w:val="6F5B73A8"/>
    <w:rsid w:val="6F605019"/>
    <w:rsid w:val="6F6B6EC0"/>
    <w:rsid w:val="6F8A37EA"/>
    <w:rsid w:val="6FC11C3F"/>
    <w:rsid w:val="6FC34F0A"/>
    <w:rsid w:val="6FC82564"/>
    <w:rsid w:val="6FCD38F6"/>
    <w:rsid w:val="6FF14338"/>
    <w:rsid w:val="6FF33B8E"/>
    <w:rsid w:val="6FFC5590"/>
    <w:rsid w:val="70001CFE"/>
    <w:rsid w:val="70082960"/>
    <w:rsid w:val="700A66D9"/>
    <w:rsid w:val="701E3F32"/>
    <w:rsid w:val="7020414E"/>
    <w:rsid w:val="70205EFC"/>
    <w:rsid w:val="702B18D5"/>
    <w:rsid w:val="703E6382"/>
    <w:rsid w:val="704C6DDF"/>
    <w:rsid w:val="70534C06"/>
    <w:rsid w:val="705B3D2D"/>
    <w:rsid w:val="705F4C76"/>
    <w:rsid w:val="70673B2B"/>
    <w:rsid w:val="706D1DD0"/>
    <w:rsid w:val="70756248"/>
    <w:rsid w:val="70856B87"/>
    <w:rsid w:val="70980188"/>
    <w:rsid w:val="709D579F"/>
    <w:rsid w:val="70A12729"/>
    <w:rsid w:val="70B8223C"/>
    <w:rsid w:val="70BA1EAD"/>
    <w:rsid w:val="70BA3C5B"/>
    <w:rsid w:val="70C8281B"/>
    <w:rsid w:val="70D01A23"/>
    <w:rsid w:val="70D34D1C"/>
    <w:rsid w:val="70D527EE"/>
    <w:rsid w:val="70E4517B"/>
    <w:rsid w:val="70F120D5"/>
    <w:rsid w:val="70F80C27"/>
    <w:rsid w:val="71063344"/>
    <w:rsid w:val="710B701C"/>
    <w:rsid w:val="710F044A"/>
    <w:rsid w:val="71125845"/>
    <w:rsid w:val="711C4915"/>
    <w:rsid w:val="712D267F"/>
    <w:rsid w:val="71325EE7"/>
    <w:rsid w:val="71462F89"/>
    <w:rsid w:val="715440AF"/>
    <w:rsid w:val="715B5300"/>
    <w:rsid w:val="715B62AC"/>
    <w:rsid w:val="715E6435"/>
    <w:rsid w:val="71662034"/>
    <w:rsid w:val="716B764B"/>
    <w:rsid w:val="71790AF1"/>
    <w:rsid w:val="717B1F3C"/>
    <w:rsid w:val="71810C1C"/>
    <w:rsid w:val="71907CF7"/>
    <w:rsid w:val="71946BA2"/>
    <w:rsid w:val="719C3C07"/>
    <w:rsid w:val="71AD7C63"/>
    <w:rsid w:val="71BE59CD"/>
    <w:rsid w:val="71D27F8A"/>
    <w:rsid w:val="71D60F68"/>
    <w:rsid w:val="71D62D16"/>
    <w:rsid w:val="71DC6F11"/>
    <w:rsid w:val="71E76CD1"/>
    <w:rsid w:val="71F17B50"/>
    <w:rsid w:val="71F626FE"/>
    <w:rsid w:val="71F72C8D"/>
    <w:rsid w:val="7209659F"/>
    <w:rsid w:val="720C4BC9"/>
    <w:rsid w:val="720D29DE"/>
    <w:rsid w:val="720F447A"/>
    <w:rsid w:val="72150631"/>
    <w:rsid w:val="722E4900"/>
    <w:rsid w:val="72304797"/>
    <w:rsid w:val="72353240"/>
    <w:rsid w:val="724834E8"/>
    <w:rsid w:val="724A7260"/>
    <w:rsid w:val="72553024"/>
    <w:rsid w:val="726227FC"/>
    <w:rsid w:val="726C367A"/>
    <w:rsid w:val="726D1F42"/>
    <w:rsid w:val="726E11A1"/>
    <w:rsid w:val="72700673"/>
    <w:rsid w:val="72760055"/>
    <w:rsid w:val="727F515C"/>
    <w:rsid w:val="72843786"/>
    <w:rsid w:val="72914E8F"/>
    <w:rsid w:val="72987FCC"/>
    <w:rsid w:val="729D55E2"/>
    <w:rsid w:val="72AC1CC9"/>
    <w:rsid w:val="72AF5315"/>
    <w:rsid w:val="72BD3ED6"/>
    <w:rsid w:val="72DA05E4"/>
    <w:rsid w:val="72DF1A30"/>
    <w:rsid w:val="72E15E16"/>
    <w:rsid w:val="73025D8D"/>
    <w:rsid w:val="7306587D"/>
    <w:rsid w:val="73122968"/>
    <w:rsid w:val="73193A6B"/>
    <w:rsid w:val="731F5D5E"/>
    <w:rsid w:val="732B52E4"/>
    <w:rsid w:val="733F748C"/>
    <w:rsid w:val="73474AFA"/>
    <w:rsid w:val="7349576A"/>
    <w:rsid w:val="735C549D"/>
    <w:rsid w:val="735E50FB"/>
    <w:rsid w:val="736305DA"/>
    <w:rsid w:val="736E6C15"/>
    <w:rsid w:val="7375150F"/>
    <w:rsid w:val="73755CF8"/>
    <w:rsid w:val="73770529"/>
    <w:rsid w:val="738844E4"/>
    <w:rsid w:val="73905147"/>
    <w:rsid w:val="73A17354"/>
    <w:rsid w:val="73A429A0"/>
    <w:rsid w:val="73AF601C"/>
    <w:rsid w:val="73B250BD"/>
    <w:rsid w:val="73BA21C4"/>
    <w:rsid w:val="73BC23E0"/>
    <w:rsid w:val="73C51AD5"/>
    <w:rsid w:val="73D37DEB"/>
    <w:rsid w:val="73D72D76"/>
    <w:rsid w:val="73F52F35"/>
    <w:rsid w:val="7415471D"/>
    <w:rsid w:val="74180EB2"/>
    <w:rsid w:val="74194662"/>
    <w:rsid w:val="741B0EB4"/>
    <w:rsid w:val="741E2752"/>
    <w:rsid w:val="741E793C"/>
    <w:rsid w:val="74220495"/>
    <w:rsid w:val="744228E5"/>
    <w:rsid w:val="7443361E"/>
    <w:rsid w:val="745E3944"/>
    <w:rsid w:val="74624D35"/>
    <w:rsid w:val="74650381"/>
    <w:rsid w:val="74654825"/>
    <w:rsid w:val="74694566"/>
    <w:rsid w:val="746F7452"/>
    <w:rsid w:val="74797294"/>
    <w:rsid w:val="74826A89"/>
    <w:rsid w:val="748F3650"/>
    <w:rsid w:val="74920D33"/>
    <w:rsid w:val="74AB7D7F"/>
    <w:rsid w:val="74B60BDD"/>
    <w:rsid w:val="74DA0D6F"/>
    <w:rsid w:val="74E4399C"/>
    <w:rsid w:val="750011B8"/>
    <w:rsid w:val="7502726F"/>
    <w:rsid w:val="75063912"/>
    <w:rsid w:val="75096F5F"/>
    <w:rsid w:val="750E27C7"/>
    <w:rsid w:val="7510653F"/>
    <w:rsid w:val="75131D00"/>
    <w:rsid w:val="75140E42"/>
    <w:rsid w:val="75181750"/>
    <w:rsid w:val="751853F4"/>
    <w:rsid w:val="751F6782"/>
    <w:rsid w:val="752B3379"/>
    <w:rsid w:val="752B5127"/>
    <w:rsid w:val="753164B5"/>
    <w:rsid w:val="755F74C6"/>
    <w:rsid w:val="756B19C7"/>
    <w:rsid w:val="75790588"/>
    <w:rsid w:val="75942EC7"/>
    <w:rsid w:val="75A3624D"/>
    <w:rsid w:val="75AC0250"/>
    <w:rsid w:val="75BC0475"/>
    <w:rsid w:val="75C40610"/>
    <w:rsid w:val="75C62763"/>
    <w:rsid w:val="75CB5C86"/>
    <w:rsid w:val="75D752AF"/>
    <w:rsid w:val="75DB4E43"/>
    <w:rsid w:val="75E17EDC"/>
    <w:rsid w:val="75F55735"/>
    <w:rsid w:val="75FD3439"/>
    <w:rsid w:val="762D19E3"/>
    <w:rsid w:val="763253B4"/>
    <w:rsid w:val="7635099D"/>
    <w:rsid w:val="7640694D"/>
    <w:rsid w:val="76472434"/>
    <w:rsid w:val="76516E0F"/>
    <w:rsid w:val="76564426"/>
    <w:rsid w:val="765B7C8E"/>
    <w:rsid w:val="76764AC8"/>
    <w:rsid w:val="76A0058B"/>
    <w:rsid w:val="76A038F3"/>
    <w:rsid w:val="76A96C4B"/>
    <w:rsid w:val="76AE24B4"/>
    <w:rsid w:val="76C577FD"/>
    <w:rsid w:val="76FD2AF3"/>
    <w:rsid w:val="77091498"/>
    <w:rsid w:val="770B3462"/>
    <w:rsid w:val="77155DD6"/>
    <w:rsid w:val="771816DB"/>
    <w:rsid w:val="773504DF"/>
    <w:rsid w:val="7739088C"/>
    <w:rsid w:val="773D55E5"/>
    <w:rsid w:val="773D7394"/>
    <w:rsid w:val="775D3592"/>
    <w:rsid w:val="77664B3C"/>
    <w:rsid w:val="77672662"/>
    <w:rsid w:val="776C5D5C"/>
    <w:rsid w:val="776E579F"/>
    <w:rsid w:val="777234E1"/>
    <w:rsid w:val="77762421"/>
    <w:rsid w:val="77774D77"/>
    <w:rsid w:val="778B45A3"/>
    <w:rsid w:val="77943852"/>
    <w:rsid w:val="77996CC0"/>
    <w:rsid w:val="77A6318B"/>
    <w:rsid w:val="77AB7906"/>
    <w:rsid w:val="77B56B1F"/>
    <w:rsid w:val="77BD2282"/>
    <w:rsid w:val="77C62AF7"/>
    <w:rsid w:val="77D44FB1"/>
    <w:rsid w:val="77DC095A"/>
    <w:rsid w:val="77DF0AA9"/>
    <w:rsid w:val="77E86C9A"/>
    <w:rsid w:val="77FF289B"/>
    <w:rsid w:val="780659D7"/>
    <w:rsid w:val="78072B15"/>
    <w:rsid w:val="780A196C"/>
    <w:rsid w:val="780B7492"/>
    <w:rsid w:val="780F09F4"/>
    <w:rsid w:val="7816090C"/>
    <w:rsid w:val="781B5927"/>
    <w:rsid w:val="78213868"/>
    <w:rsid w:val="782672DF"/>
    <w:rsid w:val="78275436"/>
    <w:rsid w:val="783C5278"/>
    <w:rsid w:val="783C764B"/>
    <w:rsid w:val="7847671C"/>
    <w:rsid w:val="786C1733"/>
    <w:rsid w:val="78793FC0"/>
    <w:rsid w:val="787B0173"/>
    <w:rsid w:val="787C3EEC"/>
    <w:rsid w:val="7883527A"/>
    <w:rsid w:val="788B024D"/>
    <w:rsid w:val="78A40F9B"/>
    <w:rsid w:val="78A90480"/>
    <w:rsid w:val="78B638A1"/>
    <w:rsid w:val="78CD2D94"/>
    <w:rsid w:val="78CF4963"/>
    <w:rsid w:val="78D41F79"/>
    <w:rsid w:val="78D45AD6"/>
    <w:rsid w:val="78EB24AD"/>
    <w:rsid w:val="78F22302"/>
    <w:rsid w:val="79016E1D"/>
    <w:rsid w:val="790243F1"/>
    <w:rsid w:val="79077C59"/>
    <w:rsid w:val="7919798C"/>
    <w:rsid w:val="791F610D"/>
    <w:rsid w:val="7927654D"/>
    <w:rsid w:val="79295E21"/>
    <w:rsid w:val="79346574"/>
    <w:rsid w:val="79444A09"/>
    <w:rsid w:val="794958FA"/>
    <w:rsid w:val="794C5FB4"/>
    <w:rsid w:val="79556C16"/>
    <w:rsid w:val="79584959"/>
    <w:rsid w:val="795A422D"/>
    <w:rsid w:val="797C69C1"/>
    <w:rsid w:val="797D1460"/>
    <w:rsid w:val="79876FEC"/>
    <w:rsid w:val="799040F2"/>
    <w:rsid w:val="79927E6B"/>
    <w:rsid w:val="79951709"/>
    <w:rsid w:val="799A6D1F"/>
    <w:rsid w:val="79BD656A"/>
    <w:rsid w:val="79CB3198"/>
    <w:rsid w:val="79DC7338"/>
    <w:rsid w:val="79E306C6"/>
    <w:rsid w:val="79E8198A"/>
    <w:rsid w:val="79E87A8A"/>
    <w:rsid w:val="79F35234"/>
    <w:rsid w:val="7A0C0D41"/>
    <w:rsid w:val="7A146AD1"/>
    <w:rsid w:val="7A170370"/>
    <w:rsid w:val="7A1A1C0E"/>
    <w:rsid w:val="7A225D2C"/>
    <w:rsid w:val="7A291E51"/>
    <w:rsid w:val="7A346975"/>
    <w:rsid w:val="7A364017"/>
    <w:rsid w:val="7A431165"/>
    <w:rsid w:val="7A543372"/>
    <w:rsid w:val="7A557EDD"/>
    <w:rsid w:val="7A587877"/>
    <w:rsid w:val="7A6115EB"/>
    <w:rsid w:val="7A6B246A"/>
    <w:rsid w:val="7A7237F8"/>
    <w:rsid w:val="7A794B87"/>
    <w:rsid w:val="7A796935"/>
    <w:rsid w:val="7A7B26AD"/>
    <w:rsid w:val="7A7C79BA"/>
    <w:rsid w:val="7A8265E1"/>
    <w:rsid w:val="7A911ED0"/>
    <w:rsid w:val="7A94551C"/>
    <w:rsid w:val="7A9814B1"/>
    <w:rsid w:val="7A996FD7"/>
    <w:rsid w:val="7AA339B1"/>
    <w:rsid w:val="7AA45FF5"/>
    <w:rsid w:val="7AAD2A82"/>
    <w:rsid w:val="7ABE07EB"/>
    <w:rsid w:val="7AC412B0"/>
    <w:rsid w:val="7ACD6C80"/>
    <w:rsid w:val="7AD63D87"/>
    <w:rsid w:val="7AEB4B1D"/>
    <w:rsid w:val="7B002BB2"/>
    <w:rsid w:val="7B0F5610"/>
    <w:rsid w:val="7B220D7A"/>
    <w:rsid w:val="7B2E6262"/>
    <w:rsid w:val="7B347AFD"/>
    <w:rsid w:val="7B354232"/>
    <w:rsid w:val="7B3A4316"/>
    <w:rsid w:val="7B3C2CDD"/>
    <w:rsid w:val="7B3E36DA"/>
    <w:rsid w:val="7B401B46"/>
    <w:rsid w:val="7B686D42"/>
    <w:rsid w:val="7B841746"/>
    <w:rsid w:val="7B876E2F"/>
    <w:rsid w:val="7B881C93"/>
    <w:rsid w:val="7B95779E"/>
    <w:rsid w:val="7B9652C4"/>
    <w:rsid w:val="7B9E17C0"/>
    <w:rsid w:val="7BA93249"/>
    <w:rsid w:val="7BB843EC"/>
    <w:rsid w:val="7BCC6F38"/>
    <w:rsid w:val="7BCE0F02"/>
    <w:rsid w:val="7BE61DA8"/>
    <w:rsid w:val="7BF70459"/>
    <w:rsid w:val="7C0466D2"/>
    <w:rsid w:val="7C0B769C"/>
    <w:rsid w:val="7C0E6912"/>
    <w:rsid w:val="7C2611A3"/>
    <w:rsid w:val="7C3A0345"/>
    <w:rsid w:val="7C413482"/>
    <w:rsid w:val="7C556F2D"/>
    <w:rsid w:val="7C60771E"/>
    <w:rsid w:val="7C686CB0"/>
    <w:rsid w:val="7C6B0CD6"/>
    <w:rsid w:val="7C6C5AC7"/>
    <w:rsid w:val="7C720017"/>
    <w:rsid w:val="7C7B395C"/>
    <w:rsid w:val="7C8141C6"/>
    <w:rsid w:val="7C8205D3"/>
    <w:rsid w:val="7C884584"/>
    <w:rsid w:val="7C8C05DA"/>
    <w:rsid w:val="7C9A7BC3"/>
    <w:rsid w:val="7C9F388A"/>
    <w:rsid w:val="7CB93960"/>
    <w:rsid w:val="7CC6544B"/>
    <w:rsid w:val="7CCF0A8E"/>
    <w:rsid w:val="7CD410F5"/>
    <w:rsid w:val="7CE72263"/>
    <w:rsid w:val="7CFD1A9F"/>
    <w:rsid w:val="7D0239FF"/>
    <w:rsid w:val="7D0821F2"/>
    <w:rsid w:val="7D140B97"/>
    <w:rsid w:val="7D1B3CD3"/>
    <w:rsid w:val="7D200945"/>
    <w:rsid w:val="7D2863F0"/>
    <w:rsid w:val="7D3C0E62"/>
    <w:rsid w:val="7D5353F6"/>
    <w:rsid w:val="7D5E40CD"/>
    <w:rsid w:val="7D6C452F"/>
    <w:rsid w:val="7D711230"/>
    <w:rsid w:val="7D951CD7"/>
    <w:rsid w:val="7D957F29"/>
    <w:rsid w:val="7D9D7EFC"/>
    <w:rsid w:val="7DA37457"/>
    <w:rsid w:val="7DA41F1A"/>
    <w:rsid w:val="7DA82053"/>
    <w:rsid w:val="7DB76956"/>
    <w:rsid w:val="7DC26844"/>
    <w:rsid w:val="7DC54A39"/>
    <w:rsid w:val="7DCC1471"/>
    <w:rsid w:val="7DCD56F2"/>
    <w:rsid w:val="7DDA593C"/>
    <w:rsid w:val="7DF43600"/>
    <w:rsid w:val="7DF77267"/>
    <w:rsid w:val="7E0D091C"/>
    <w:rsid w:val="7E1847B6"/>
    <w:rsid w:val="7E1F77F3"/>
    <w:rsid w:val="7E226BE8"/>
    <w:rsid w:val="7E266DD3"/>
    <w:rsid w:val="7E311279"/>
    <w:rsid w:val="7E3C65F7"/>
    <w:rsid w:val="7E4454AB"/>
    <w:rsid w:val="7E4B4712"/>
    <w:rsid w:val="7E4D7659"/>
    <w:rsid w:val="7E53668D"/>
    <w:rsid w:val="7E5D031B"/>
    <w:rsid w:val="7E607687"/>
    <w:rsid w:val="7E617E0B"/>
    <w:rsid w:val="7E6C4863"/>
    <w:rsid w:val="7E722019"/>
    <w:rsid w:val="7E751B09"/>
    <w:rsid w:val="7E7A0ECD"/>
    <w:rsid w:val="7E7A2C7B"/>
    <w:rsid w:val="7E7F64E4"/>
    <w:rsid w:val="7E8E6727"/>
    <w:rsid w:val="7EAE175C"/>
    <w:rsid w:val="7EB268B9"/>
    <w:rsid w:val="7EB443DF"/>
    <w:rsid w:val="7F001CE7"/>
    <w:rsid w:val="7F03614C"/>
    <w:rsid w:val="7F192B67"/>
    <w:rsid w:val="7F2A46A1"/>
    <w:rsid w:val="7F2C269D"/>
    <w:rsid w:val="7F2D4191"/>
    <w:rsid w:val="7F323556"/>
    <w:rsid w:val="7F351153"/>
    <w:rsid w:val="7F3C31DB"/>
    <w:rsid w:val="7F4C44C4"/>
    <w:rsid w:val="7F54171E"/>
    <w:rsid w:val="7F5F07EF"/>
    <w:rsid w:val="7F651B7D"/>
    <w:rsid w:val="7F7928B0"/>
    <w:rsid w:val="7F8005B9"/>
    <w:rsid w:val="7F842003"/>
    <w:rsid w:val="7F89761A"/>
    <w:rsid w:val="7FA02BB5"/>
    <w:rsid w:val="7FA11E52"/>
    <w:rsid w:val="7FB5619C"/>
    <w:rsid w:val="7FBA5A25"/>
    <w:rsid w:val="7FBD3767"/>
    <w:rsid w:val="7FC02FF1"/>
    <w:rsid w:val="7FC7180E"/>
    <w:rsid w:val="7FDA7E75"/>
    <w:rsid w:val="7FE02FB2"/>
    <w:rsid w:val="7FE47E50"/>
    <w:rsid w:val="7FEB2DF8"/>
    <w:rsid w:val="7FF2744A"/>
    <w:rsid w:val="7FFB603E"/>
    <w:rsid w:val="7FFE0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nhideWhenUsed="0" w:uiPriority="0" w:semiHidden="0" w:name="heading 3" w:locked="1"/>
    <w:lsdException w:qFormat="1" w:unhideWhenUsed="0" w:uiPriority="9" w:semiHidden="0" w:name="heading 4" w:locked="1"/>
    <w:lsdException w:qFormat="1" w:unhideWhenUsed="0"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nhideWhenUsed="0" w:uiPriority="0" w:semiHidden="0" w:name="caption" w:locked="1"/>
    <w:lsdException w:qFormat="1" w:unhideWhenUsed="0" w:uiPriority="99"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qFormat="1"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unhideWhenUsed="0" w:uiPriority="0" w:semiHidden="0" w:name="Body Text First Indent" w:locked="1"/>
    <w:lsdException w:qFormat="1" w:unhideWhenUsed="0" w:uiPriority="0" w:semiHidden="0" w:name="Body Text First Indent 2" w:locked="1"/>
    <w:lsdException w:unhideWhenUsed="0" w:uiPriority="0" w:semiHidden="0" w:name="Note Heading" w:locked="1"/>
    <w:lsdException w:qFormat="1" w:unhideWhenUsed="0" w:uiPriority="0" w:semiHidden="0" w:name="Body Text 2" w:locked="1"/>
    <w:lsdException w:unhideWhenUsed="0" w:uiPriority="0" w:semiHidden="0" w:name="Body Text 3" w:locked="1"/>
    <w:lsdException w:qFormat="1" w:unhideWhenUsed="0" w:uiPriority="0" w:semiHidden="0" w:name="Body Text Indent 2" w:locked="1"/>
    <w:lsdException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0" w:name="Balloon Text"/>
    <w:lsdException w:qFormat="1" w:unhideWhenUsed="0" w:uiPriority="0" w:semiHidden="0" w:name="Table Grid"/>
    <w:lsdException w:uiPriority="0" w:name="Table Theme" w:locked="1"/>
    <w:lsdException w:qFormat="1"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locked/>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4">
    <w:name w:val="heading 3"/>
    <w:basedOn w:val="1"/>
    <w:next w:val="1"/>
    <w:qFormat/>
    <w:locked/>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2"/>
    <w:qFormat/>
    <w:locked/>
    <w:uiPriority w:val="9"/>
    <w:pPr>
      <w:keepNext/>
      <w:keepLines/>
      <w:spacing w:before="280" w:after="290" w:line="372" w:lineRule="auto"/>
      <w:outlineLvl w:val="3"/>
    </w:pPr>
    <w:rPr>
      <w:rFonts w:ascii="Arial" w:hAnsi="Arial" w:eastAsia="黑体"/>
      <w:b/>
    </w:rPr>
  </w:style>
  <w:style w:type="paragraph" w:styleId="6">
    <w:name w:val="heading 5"/>
    <w:basedOn w:val="1"/>
    <w:next w:val="1"/>
    <w:link w:val="62"/>
    <w:qFormat/>
    <w:locked/>
    <w:uiPriority w:val="0"/>
    <w:pPr>
      <w:keepNext/>
      <w:keepLines/>
      <w:numPr>
        <w:ilvl w:val="4"/>
        <w:numId w:val="1"/>
      </w:numPr>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semiHidden/>
    <w:qFormat/>
    <w:locked/>
    <w:uiPriority w:val="99"/>
    <w:pPr>
      <w:ind w:left="200" w:leftChars="200" w:hanging="200" w:hangingChars="200"/>
    </w:pPr>
    <w:rPr>
      <w:rFonts w:ascii="Calibri" w:hAnsi="Calibri" w:cs="Calibri"/>
    </w:rPr>
  </w:style>
  <w:style w:type="paragraph" w:styleId="7">
    <w:name w:val="List 3"/>
    <w:basedOn w:val="1"/>
    <w:next w:val="1"/>
    <w:qFormat/>
    <w:locked/>
    <w:uiPriority w:val="0"/>
    <w:pPr>
      <w:autoSpaceDE w:val="0"/>
      <w:autoSpaceDN w:val="0"/>
      <w:adjustRightInd w:val="0"/>
      <w:spacing w:line="288" w:lineRule="auto"/>
      <w:ind w:left="1260" w:hanging="420"/>
      <w:jc w:val="left"/>
      <w:textAlignment w:val="baseline"/>
    </w:pPr>
    <w:rPr>
      <w:kern w:val="0"/>
      <w:szCs w:val="20"/>
    </w:rPr>
  </w:style>
  <w:style w:type="paragraph" w:styleId="8">
    <w:name w:val="Normal Indent"/>
    <w:basedOn w:val="1"/>
    <w:next w:val="1"/>
    <w:qFormat/>
    <w:locked/>
    <w:uiPriority w:val="99"/>
    <w:pPr>
      <w:ind w:firstLine="420" w:firstLineChars="200"/>
    </w:pPr>
    <w:rPr>
      <w:sz w:val="21"/>
    </w:rPr>
  </w:style>
  <w:style w:type="paragraph" w:styleId="9">
    <w:name w:val="caption"/>
    <w:basedOn w:val="1"/>
    <w:next w:val="1"/>
    <w:qFormat/>
    <w:locked/>
    <w:uiPriority w:val="0"/>
    <w:pPr>
      <w:spacing w:before="120" w:line="360" w:lineRule="auto"/>
      <w:jc w:val="center"/>
    </w:pPr>
    <w:rPr>
      <w:rFonts w:eastAsia="黑体"/>
      <w:szCs w:val="20"/>
    </w:rPr>
  </w:style>
  <w:style w:type="paragraph" w:styleId="10">
    <w:name w:val="annotation text"/>
    <w:basedOn w:val="1"/>
    <w:link w:val="56"/>
    <w:semiHidden/>
    <w:qFormat/>
    <w:uiPriority w:val="0"/>
    <w:pPr>
      <w:jc w:val="left"/>
    </w:pPr>
    <w:rPr>
      <w:kern w:val="0"/>
      <w:szCs w:val="20"/>
    </w:rPr>
  </w:style>
  <w:style w:type="paragraph" w:styleId="11">
    <w:name w:val="Body Text"/>
    <w:basedOn w:val="1"/>
    <w:next w:val="12"/>
    <w:link w:val="51"/>
    <w:qFormat/>
    <w:uiPriority w:val="0"/>
    <w:pPr>
      <w:widowControl/>
      <w:snapToGrid w:val="0"/>
      <w:spacing w:before="60" w:after="160" w:line="259" w:lineRule="auto"/>
      <w:ind w:right="113"/>
    </w:pPr>
    <w:rPr>
      <w:kern w:val="0"/>
      <w:sz w:val="18"/>
      <w:szCs w:val="20"/>
    </w:rPr>
  </w:style>
  <w:style w:type="paragraph" w:customStyle="1" w:styleId="12">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3">
    <w:name w:val="Body Text Indent"/>
    <w:basedOn w:val="1"/>
    <w:next w:val="14"/>
    <w:link w:val="59"/>
    <w:qFormat/>
    <w:uiPriority w:val="0"/>
    <w:pPr>
      <w:spacing w:after="120"/>
      <w:ind w:left="420" w:leftChars="200"/>
    </w:pPr>
    <w:rPr>
      <w:kern w:val="0"/>
      <w:szCs w:val="20"/>
    </w:rPr>
  </w:style>
  <w:style w:type="paragraph" w:styleId="14">
    <w:name w:val="Body Text Indent 2"/>
    <w:basedOn w:val="1"/>
    <w:next w:val="1"/>
    <w:qFormat/>
    <w:locked/>
    <w:uiPriority w:val="0"/>
    <w:pPr>
      <w:ind w:firstLine="560" w:firstLineChars="200"/>
    </w:pPr>
    <w:rPr>
      <w:rFonts w:ascii="宋体" w:hAnsi="宋体"/>
      <w:sz w:val="28"/>
      <w:szCs w:val="20"/>
    </w:rPr>
  </w:style>
  <w:style w:type="paragraph" w:styleId="15">
    <w:name w:val="Date"/>
    <w:basedOn w:val="1"/>
    <w:next w:val="1"/>
    <w:link w:val="67"/>
    <w:qFormat/>
    <w:uiPriority w:val="0"/>
    <w:pPr>
      <w:ind w:left="100" w:leftChars="2500"/>
    </w:pPr>
    <w:rPr>
      <w:kern w:val="0"/>
      <w:szCs w:val="20"/>
    </w:rPr>
  </w:style>
  <w:style w:type="paragraph" w:styleId="16">
    <w:name w:val="Balloon Text"/>
    <w:basedOn w:val="1"/>
    <w:link w:val="58"/>
    <w:semiHidden/>
    <w:qFormat/>
    <w:uiPriority w:val="0"/>
    <w:rPr>
      <w:kern w:val="0"/>
      <w:sz w:val="18"/>
      <w:szCs w:val="20"/>
    </w:rPr>
  </w:style>
  <w:style w:type="paragraph" w:styleId="17">
    <w:name w:val="footer"/>
    <w:basedOn w:val="1"/>
    <w:link w:val="65"/>
    <w:qFormat/>
    <w:uiPriority w:val="99"/>
    <w:pPr>
      <w:tabs>
        <w:tab w:val="center" w:pos="4153"/>
        <w:tab w:val="right" w:pos="8306"/>
      </w:tabs>
      <w:snapToGrid w:val="0"/>
      <w:jc w:val="left"/>
    </w:pPr>
    <w:rPr>
      <w:kern w:val="0"/>
      <w:sz w:val="18"/>
      <w:szCs w:val="20"/>
    </w:rPr>
  </w:style>
  <w:style w:type="paragraph" w:styleId="18">
    <w:name w:val="header"/>
    <w:basedOn w:val="1"/>
    <w:link w:val="66"/>
    <w:qFormat/>
    <w:uiPriority w:val="0"/>
    <w:pPr>
      <w:pBdr>
        <w:bottom w:val="single" w:color="auto" w:sz="6" w:space="1"/>
      </w:pBdr>
      <w:tabs>
        <w:tab w:val="center" w:pos="4153"/>
        <w:tab w:val="right" w:pos="8306"/>
      </w:tabs>
      <w:snapToGrid w:val="0"/>
      <w:jc w:val="center"/>
    </w:pPr>
    <w:rPr>
      <w:kern w:val="0"/>
      <w:sz w:val="18"/>
      <w:szCs w:val="20"/>
    </w:rPr>
  </w:style>
  <w:style w:type="paragraph" w:styleId="19">
    <w:name w:val="Body Text 2"/>
    <w:basedOn w:val="1"/>
    <w:qFormat/>
    <w:locked/>
    <w:uiPriority w:val="0"/>
    <w:pPr>
      <w:spacing w:after="120" w:line="480" w:lineRule="auto"/>
    </w:pPr>
  </w:style>
  <w:style w:type="paragraph" w:styleId="20">
    <w:name w:val="Normal (Web)"/>
    <w:basedOn w:val="1"/>
    <w:link w:val="53"/>
    <w:qFormat/>
    <w:uiPriority w:val="0"/>
    <w:pPr>
      <w:widowControl/>
      <w:spacing w:before="100" w:beforeAutospacing="1" w:after="100" w:afterAutospacing="1"/>
      <w:jc w:val="left"/>
    </w:pPr>
    <w:rPr>
      <w:rFonts w:ascii="宋体" w:hAnsi="宋体"/>
      <w:kern w:val="0"/>
      <w:szCs w:val="20"/>
    </w:rPr>
  </w:style>
  <w:style w:type="paragraph" w:styleId="21">
    <w:name w:val="index 1"/>
    <w:basedOn w:val="1"/>
    <w:next w:val="1"/>
    <w:qFormat/>
    <w:locked/>
    <w:uiPriority w:val="0"/>
    <w:pPr>
      <w:jc w:val="center"/>
    </w:pPr>
    <w:rPr>
      <w:rFonts w:eastAsia="黑体"/>
      <w:color w:val="000000"/>
      <w:sz w:val="21"/>
    </w:rPr>
  </w:style>
  <w:style w:type="paragraph" w:styleId="22">
    <w:name w:val="annotation subject"/>
    <w:basedOn w:val="10"/>
    <w:next w:val="10"/>
    <w:link w:val="55"/>
    <w:semiHidden/>
    <w:qFormat/>
    <w:uiPriority w:val="0"/>
    <w:rPr>
      <w:b/>
    </w:rPr>
  </w:style>
  <w:style w:type="paragraph" w:styleId="23">
    <w:name w:val="Body Text First Indent 2"/>
    <w:basedOn w:val="13"/>
    <w:next w:val="1"/>
    <w:qFormat/>
    <w:locked/>
    <w:uiPriority w:val="0"/>
    <w:pPr>
      <w:ind w:firstLine="420"/>
    </w:p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locked/>
    <w:uiPriority w:val="0"/>
  </w:style>
  <w:style w:type="character" w:styleId="28">
    <w:name w:val="Hyperlink"/>
    <w:basedOn w:val="26"/>
    <w:qFormat/>
    <w:locked/>
    <w:uiPriority w:val="0"/>
    <w:rPr>
      <w:color w:val="0000FF"/>
      <w:u w:val="single"/>
    </w:rPr>
  </w:style>
  <w:style w:type="character" w:styleId="29">
    <w:name w:val="annotation reference"/>
    <w:basedOn w:val="26"/>
    <w:semiHidden/>
    <w:qFormat/>
    <w:uiPriority w:val="0"/>
    <w:rPr>
      <w:sz w:val="21"/>
    </w:rPr>
  </w:style>
  <w:style w:type="paragraph" w:customStyle="1" w:styleId="30">
    <w:name w:val="A-正文"/>
    <w:basedOn w:val="1"/>
    <w:qFormat/>
    <w:uiPriority w:val="0"/>
    <w:pPr>
      <w:spacing w:line="560" w:lineRule="exact"/>
      <w:ind w:firstLine="560" w:firstLineChars="200"/>
    </w:pPr>
    <w:rPr>
      <w:rFonts w:eastAsia="仿宋_GB2312"/>
      <w:kern w:val="0"/>
    </w:rPr>
  </w:style>
  <w:style w:type="paragraph" w:customStyle="1" w:styleId="31">
    <w:name w:val="表格内容"/>
    <w:basedOn w:val="32"/>
    <w:next w:val="1"/>
    <w:qFormat/>
    <w:uiPriority w:val="0"/>
    <w:pPr>
      <w:spacing w:line="240" w:lineRule="atLeast"/>
      <w:jc w:val="center"/>
    </w:pPr>
    <w:rPr>
      <w:szCs w:val="20"/>
    </w:rPr>
  </w:style>
  <w:style w:type="paragraph" w:customStyle="1" w:styleId="32">
    <w:name w:val="表格标题"/>
    <w:basedOn w:val="1"/>
    <w:next w:val="31"/>
    <w:qFormat/>
    <w:uiPriority w:val="0"/>
    <w:pPr>
      <w:jc w:val="center"/>
    </w:pPr>
    <w:rPr>
      <w:b/>
    </w:rPr>
  </w:style>
  <w:style w:type="paragraph" w:customStyle="1" w:styleId="33">
    <w:name w:val="Table Paragraph"/>
    <w:basedOn w:val="1"/>
    <w:qFormat/>
    <w:uiPriority w:val="0"/>
    <w:pPr>
      <w:jc w:val="center"/>
    </w:pPr>
    <w:rPr>
      <w:rFonts w:ascii="宋体" w:hAnsi="宋体" w:cs="宋体"/>
      <w:sz w:val="21"/>
      <w:szCs w:val="21"/>
    </w:rPr>
  </w:style>
  <w:style w:type="paragraph" w:customStyle="1" w:styleId="34">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24磅正文"/>
    <w:basedOn w:val="1"/>
    <w:qFormat/>
    <w:uiPriority w:val="0"/>
    <w:pPr>
      <w:spacing w:line="480" w:lineRule="exact"/>
      <w:ind w:firstLine="480" w:firstLineChars="200"/>
    </w:pPr>
  </w:style>
  <w:style w:type="paragraph" w:customStyle="1" w:styleId="36">
    <w:name w:val="！正文"/>
    <w:basedOn w:val="1"/>
    <w:qFormat/>
    <w:uiPriority w:val="0"/>
    <w:pPr>
      <w:ind w:firstLine="480"/>
    </w:pPr>
    <w:rPr>
      <w:rFonts w:cs="宋体"/>
      <w:sz w:val="21"/>
      <w:szCs w:val="20"/>
    </w:rPr>
  </w:style>
  <w:style w:type="paragraph" w:customStyle="1" w:styleId="37">
    <w:name w:val="正文文字"/>
    <w:basedOn w:val="1"/>
    <w:qFormat/>
    <w:uiPriority w:val="0"/>
    <w:pPr>
      <w:spacing w:line="560" w:lineRule="exact"/>
      <w:ind w:firstLine="200" w:firstLineChars="200"/>
    </w:pPr>
    <w:rPr>
      <w:szCs w:val="20"/>
    </w:rPr>
  </w:style>
  <w:style w:type="paragraph" w:customStyle="1" w:styleId="38">
    <w:name w:val="p0"/>
    <w:basedOn w:val="1"/>
    <w:qFormat/>
    <w:uiPriority w:val="0"/>
    <w:pPr>
      <w:widowControl/>
      <w:spacing w:before="100" w:beforeAutospacing="1" w:after="100" w:afterAutospacing="1"/>
      <w:jc w:val="left"/>
    </w:pPr>
    <w:rPr>
      <w:rFonts w:ascii="宋体" w:hAnsi="宋体" w:cs="宋体"/>
      <w:kern w:val="0"/>
    </w:rPr>
  </w:style>
  <w:style w:type="paragraph" w:customStyle="1" w:styleId="39">
    <w:name w:val="无间隔1"/>
    <w:basedOn w:val="1"/>
    <w:qFormat/>
    <w:uiPriority w:val="0"/>
    <w:pPr>
      <w:widowControl/>
      <w:jc w:val="left"/>
    </w:pPr>
    <w:rPr>
      <w:rFonts w:ascii="Cambria" w:hAnsi="Cambria"/>
      <w:kern w:val="0"/>
      <w:sz w:val="22"/>
      <w:szCs w:val="22"/>
      <w:lang w:eastAsia="en-US" w:bidi="en-US"/>
    </w:rPr>
  </w:style>
  <w:style w:type="paragraph" w:customStyle="1" w:styleId="40">
    <w:name w:val="正文首行缩进1"/>
    <w:basedOn w:val="11"/>
    <w:qFormat/>
    <w:uiPriority w:val="0"/>
    <w:pPr>
      <w:spacing w:before="100" w:beforeAutospacing="1"/>
      <w:ind w:firstLine="420" w:firstLineChars="100"/>
    </w:pPr>
    <w:rPr>
      <w:rFonts w:ascii="Calibri" w:hAnsi="Calibri"/>
      <w:szCs w:val="21"/>
    </w:rPr>
  </w:style>
  <w:style w:type="paragraph" w:customStyle="1" w:styleId="41">
    <w:name w:val="[1]正文"/>
    <w:basedOn w:val="1"/>
    <w:qFormat/>
    <w:uiPriority w:val="0"/>
    <w:pPr>
      <w:autoSpaceDE w:val="0"/>
      <w:autoSpaceDN w:val="0"/>
      <w:ind w:firstLine="200" w:firstLineChars="200"/>
    </w:pPr>
    <w:rPr>
      <w:color w:val="000000"/>
      <w:kern w:val="0"/>
      <w:szCs w:val="22"/>
      <w:lang w:val="zh-CN"/>
    </w:rPr>
  </w:style>
  <w:style w:type="paragraph" w:customStyle="1" w:styleId="42">
    <w:name w:val="表格"/>
    <w:basedOn w:val="43"/>
    <w:next w:val="1"/>
    <w:link w:val="60"/>
    <w:qFormat/>
    <w:uiPriority w:val="0"/>
    <w:pPr>
      <w:adjustRightInd w:val="0"/>
      <w:spacing w:beforeLines="10" w:afterLines="10" w:line="259" w:lineRule="auto"/>
    </w:pPr>
    <w:rPr>
      <w:rFonts w:ascii="宋体"/>
      <w:szCs w:val="20"/>
    </w:rPr>
  </w:style>
  <w:style w:type="paragraph" w:customStyle="1" w:styleId="43">
    <w:name w:val="表格文字"/>
    <w:basedOn w:val="11"/>
    <w:next w:val="11"/>
    <w:qFormat/>
    <w:uiPriority w:val="0"/>
    <w:pPr>
      <w:spacing w:after="0" w:line="360" w:lineRule="exact"/>
      <w:jc w:val="center"/>
    </w:pPr>
    <w:rPr>
      <w:spacing w:val="-4"/>
      <w:sz w:val="24"/>
      <w:szCs w:val="28"/>
    </w:rPr>
  </w:style>
  <w:style w:type="paragraph" w:customStyle="1" w:styleId="44">
    <w:name w:val="表格样式"/>
    <w:basedOn w:val="1"/>
    <w:qFormat/>
    <w:uiPriority w:val="0"/>
    <w:pPr>
      <w:shd w:val="clear" w:color="auto" w:fill="FFFFFF"/>
      <w:autoSpaceDE w:val="0"/>
      <w:jc w:val="center"/>
    </w:pPr>
    <w:rPr>
      <w:rFonts w:cs="宋体"/>
      <w:color w:val="FFFFFF"/>
      <w:spacing w:val="-1"/>
      <w:position w:val="-1"/>
      <w:szCs w:val="21"/>
    </w:rPr>
  </w:style>
  <w:style w:type="paragraph" w:customStyle="1" w:styleId="45">
    <w:name w:val="A标准格式"/>
    <w:basedOn w:val="1"/>
    <w:qFormat/>
    <w:uiPriority w:val="0"/>
    <w:pPr>
      <w:spacing w:line="440" w:lineRule="exact"/>
      <w:ind w:firstLine="480" w:firstLineChars="200"/>
    </w:pPr>
  </w:style>
  <w:style w:type="paragraph" w:customStyle="1" w:styleId="46">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szCs w:val="22"/>
      <w:lang w:val="en-US" w:eastAsia="zh-CN" w:bidi="ar-SA"/>
    </w:rPr>
  </w:style>
  <w:style w:type="paragraph" w:customStyle="1" w:styleId="47">
    <w:name w:val="Default1"/>
    <w:qFormat/>
    <w:uiPriority w:val="0"/>
    <w:pPr>
      <w:widowControl w:val="0"/>
      <w:autoSpaceDE w:val="0"/>
      <w:autoSpaceDN w:val="0"/>
      <w:adjustRightInd w:val="0"/>
      <w:spacing w:after="160" w:line="252" w:lineRule="auto"/>
      <w:jc w:val="both"/>
    </w:pPr>
    <w:rPr>
      <w:rFonts w:ascii="宋体" w:hAnsi="Calibri" w:eastAsia="宋体" w:cs="宋体"/>
      <w:color w:val="000000"/>
      <w:sz w:val="24"/>
      <w:szCs w:val="24"/>
      <w:lang w:val="en-US" w:eastAsia="zh-CN" w:bidi="ar-SA"/>
    </w:rPr>
  </w:style>
  <w:style w:type="paragraph" w:customStyle="1" w:styleId="48">
    <w:name w:val="普通(网站)2"/>
    <w:basedOn w:val="1"/>
    <w:qFormat/>
    <w:uiPriority w:val="0"/>
    <w:pPr>
      <w:widowControl/>
      <w:spacing w:before="100" w:beforeAutospacing="1" w:after="100" w:afterAutospacing="1"/>
      <w:jc w:val="left"/>
    </w:pPr>
    <w:rPr>
      <w:rFonts w:ascii="宋体" w:hAnsi="宋体"/>
      <w:szCs w:val="20"/>
    </w:rPr>
  </w:style>
  <w:style w:type="paragraph" w:customStyle="1" w:styleId="49">
    <w:name w:val="表格内容自定"/>
    <w:basedOn w:val="1"/>
    <w:qFormat/>
    <w:uiPriority w:val="0"/>
    <w:pPr>
      <w:spacing w:line="280" w:lineRule="exact"/>
      <w:jc w:val="center"/>
    </w:pPr>
    <w:rPr>
      <w:kern w:val="0"/>
      <w:sz w:val="18"/>
      <w:szCs w:val="21"/>
    </w:rPr>
  </w:style>
  <w:style w:type="paragraph" w:customStyle="1" w:styleId="50">
    <w:name w:val="新格式表"/>
    <w:basedOn w:val="1"/>
    <w:qFormat/>
    <w:uiPriority w:val="0"/>
    <w:pPr>
      <w:adjustRightInd w:val="0"/>
      <w:snapToGrid w:val="0"/>
      <w:spacing w:line="0" w:lineRule="atLeast"/>
      <w:jc w:val="center"/>
    </w:pPr>
    <w:rPr>
      <w:kern w:val="0"/>
      <w:szCs w:val="21"/>
    </w:rPr>
  </w:style>
  <w:style w:type="character" w:customStyle="1" w:styleId="51">
    <w:name w:val="正文文本 字符2"/>
    <w:link w:val="11"/>
    <w:qFormat/>
    <w:locked/>
    <w:uiPriority w:val="0"/>
    <w:rPr>
      <w:sz w:val="18"/>
    </w:rPr>
  </w:style>
  <w:style w:type="character" w:customStyle="1" w:styleId="52">
    <w:name w:val="标题 4 字符"/>
    <w:link w:val="5"/>
    <w:qFormat/>
    <w:uiPriority w:val="0"/>
    <w:rPr>
      <w:rFonts w:ascii="Calibri Light" w:hAnsi="Calibri Light" w:eastAsia="宋体" w:cs="Times New Roman"/>
      <w:b/>
      <w:bCs/>
      <w:kern w:val="2"/>
      <w:sz w:val="28"/>
      <w:szCs w:val="28"/>
    </w:rPr>
  </w:style>
  <w:style w:type="character" w:customStyle="1" w:styleId="53">
    <w:name w:val="普通(网站) 字符"/>
    <w:link w:val="20"/>
    <w:qFormat/>
    <w:locked/>
    <w:uiPriority w:val="0"/>
    <w:rPr>
      <w:rFonts w:ascii="宋体" w:hAnsi="宋体" w:eastAsia="宋体"/>
      <w:sz w:val="24"/>
    </w:rPr>
  </w:style>
  <w:style w:type="character" w:customStyle="1" w:styleId="54">
    <w:name w:val="正文文本 字符1"/>
    <w:semiHidden/>
    <w:qFormat/>
    <w:uiPriority w:val="0"/>
    <w:rPr>
      <w:rFonts w:ascii="Times New Roman" w:hAnsi="Times New Roman" w:eastAsia="宋体"/>
      <w:sz w:val="24"/>
    </w:rPr>
  </w:style>
  <w:style w:type="character" w:customStyle="1" w:styleId="55">
    <w:name w:val="批注主题 字符"/>
    <w:link w:val="22"/>
    <w:semiHidden/>
    <w:qFormat/>
    <w:locked/>
    <w:uiPriority w:val="0"/>
    <w:rPr>
      <w:rFonts w:ascii="Times New Roman" w:hAnsi="Times New Roman" w:eastAsia="宋体"/>
      <w:b/>
      <w:kern w:val="2"/>
      <w:sz w:val="24"/>
    </w:rPr>
  </w:style>
  <w:style w:type="character" w:customStyle="1" w:styleId="56">
    <w:name w:val="批注文字 字符"/>
    <w:link w:val="10"/>
    <w:qFormat/>
    <w:locked/>
    <w:uiPriority w:val="0"/>
    <w:rPr>
      <w:rFonts w:ascii="Times New Roman" w:hAnsi="Times New Roman" w:eastAsia="宋体"/>
      <w:sz w:val="24"/>
    </w:rPr>
  </w:style>
  <w:style w:type="character" w:customStyle="1" w:styleId="57">
    <w:name w:val="批注文字 字符1"/>
    <w:semiHidden/>
    <w:qFormat/>
    <w:uiPriority w:val="0"/>
    <w:rPr>
      <w:rFonts w:ascii="Times New Roman" w:hAnsi="Times New Roman" w:eastAsia="宋体"/>
      <w:sz w:val="24"/>
    </w:rPr>
  </w:style>
  <w:style w:type="character" w:customStyle="1" w:styleId="58">
    <w:name w:val="批注框文本 字符"/>
    <w:link w:val="16"/>
    <w:semiHidden/>
    <w:qFormat/>
    <w:locked/>
    <w:uiPriority w:val="0"/>
    <w:rPr>
      <w:rFonts w:ascii="Times New Roman" w:hAnsi="Times New Roman" w:eastAsia="宋体"/>
      <w:sz w:val="18"/>
    </w:rPr>
  </w:style>
  <w:style w:type="character" w:customStyle="1" w:styleId="59">
    <w:name w:val="正文文本缩进 字符"/>
    <w:link w:val="13"/>
    <w:semiHidden/>
    <w:qFormat/>
    <w:locked/>
    <w:uiPriority w:val="0"/>
    <w:rPr>
      <w:rFonts w:ascii="Times New Roman" w:hAnsi="Times New Roman" w:eastAsia="宋体"/>
      <w:sz w:val="24"/>
    </w:rPr>
  </w:style>
  <w:style w:type="character" w:customStyle="1" w:styleId="60">
    <w:name w:val="表格 Char"/>
    <w:link w:val="42"/>
    <w:qFormat/>
    <w:locked/>
    <w:uiPriority w:val="0"/>
    <w:rPr>
      <w:rFonts w:ascii="宋体"/>
      <w:sz w:val="21"/>
    </w:rPr>
  </w:style>
  <w:style w:type="character" w:customStyle="1" w:styleId="61">
    <w:name w:val="正文文本 字符"/>
    <w:qFormat/>
    <w:uiPriority w:val="0"/>
    <w:rPr>
      <w:kern w:val="2"/>
      <w:sz w:val="24"/>
      <w:szCs w:val="24"/>
    </w:rPr>
  </w:style>
  <w:style w:type="character" w:customStyle="1" w:styleId="62">
    <w:name w:val="标题 5 字符"/>
    <w:link w:val="6"/>
    <w:qFormat/>
    <w:uiPriority w:val="0"/>
    <w:rPr>
      <w:rFonts w:hint="eastAsia" w:ascii="宋体" w:hAnsi="宋体" w:eastAsia="宋体" w:cs="宋体"/>
      <w:b/>
      <w:bCs/>
      <w:kern w:val="2"/>
      <w:sz w:val="24"/>
      <w:szCs w:val="24"/>
      <w:lang w:val="zh-CN" w:bidi="zh-CN"/>
    </w:rPr>
  </w:style>
  <w:style w:type="character" w:customStyle="1" w:styleId="63">
    <w:name w:val="日期 字符"/>
    <w:semiHidden/>
    <w:qFormat/>
    <w:uiPriority w:val="0"/>
    <w:rPr>
      <w:rFonts w:ascii="Times New Roman" w:hAnsi="Times New Roman" w:eastAsia="宋体"/>
      <w:sz w:val="24"/>
    </w:rPr>
  </w:style>
  <w:style w:type="character" w:customStyle="1" w:styleId="64">
    <w:name w:val="页脚 字符"/>
    <w:qFormat/>
    <w:uiPriority w:val="99"/>
  </w:style>
  <w:style w:type="character" w:customStyle="1" w:styleId="65">
    <w:name w:val="页脚 字符1"/>
    <w:link w:val="17"/>
    <w:qFormat/>
    <w:locked/>
    <w:uiPriority w:val="99"/>
    <w:rPr>
      <w:sz w:val="18"/>
    </w:rPr>
  </w:style>
  <w:style w:type="character" w:customStyle="1" w:styleId="66">
    <w:name w:val="页眉 字符"/>
    <w:link w:val="18"/>
    <w:qFormat/>
    <w:locked/>
    <w:uiPriority w:val="0"/>
    <w:rPr>
      <w:sz w:val="18"/>
    </w:rPr>
  </w:style>
  <w:style w:type="character" w:customStyle="1" w:styleId="67">
    <w:name w:val="日期 字符1"/>
    <w:link w:val="15"/>
    <w:qFormat/>
    <w:locked/>
    <w:uiPriority w:val="0"/>
    <w:rPr>
      <w:rFonts w:ascii="Times New Roman" w:hAnsi="Times New Roman" w:eastAsia="宋体"/>
      <w:sz w:val="24"/>
    </w:rPr>
  </w:style>
  <w:style w:type="paragraph" w:customStyle="1" w:styleId="68">
    <w:name w:val="报告正文"/>
    <w:basedOn w:val="1"/>
    <w:qFormat/>
    <w:uiPriority w:val="0"/>
    <w:pPr>
      <w:spacing w:before="50" w:line="360" w:lineRule="auto"/>
      <w:ind w:firstLine="540"/>
    </w:pPr>
    <w:rPr>
      <w:rFonts w:cs="黑体"/>
      <w:szCs w:val="20"/>
    </w:rPr>
  </w:style>
  <w:style w:type="paragraph" w:customStyle="1" w:styleId="69">
    <w:name w:val="TW"/>
    <w:basedOn w:val="1"/>
    <w:qFormat/>
    <w:uiPriority w:val="0"/>
    <w:pPr>
      <w:ind w:firstLine="480"/>
    </w:pPr>
  </w:style>
  <w:style w:type="paragraph" w:customStyle="1" w:styleId="70">
    <w:name w:val="Default"/>
    <w:basedOn w:val="71"/>
    <w:next w:val="7"/>
    <w:qFormat/>
    <w:uiPriority w:val="0"/>
    <w:pPr>
      <w:autoSpaceDE w:val="0"/>
      <w:autoSpaceDN w:val="0"/>
    </w:pPr>
    <w:rPr>
      <w:rFonts w:ascii="仿宋_GB2312" w:hAnsi="Times New Roman" w:eastAsia="仿宋_GB2312" w:cs="仿宋_GB2312"/>
      <w:color w:val="000000"/>
      <w:szCs w:val="24"/>
    </w:rPr>
  </w:style>
  <w:style w:type="paragraph" w:customStyle="1" w:styleId="71">
    <w:name w:val="纯文本1"/>
    <w:basedOn w:val="1"/>
    <w:next w:val="1"/>
    <w:qFormat/>
    <w:uiPriority w:val="0"/>
    <w:pPr>
      <w:adjustRightInd w:val="0"/>
    </w:pPr>
    <w:rPr>
      <w:rFonts w:ascii="宋体" w:hAnsi="Courier New"/>
      <w:szCs w:val="20"/>
    </w:rPr>
  </w:style>
  <w:style w:type="paragraph" w:styleId="72">
    <w:name w:val="No Spacing"/>
    <w:basedOn w:val="1"/>
    <w:unhideWhenUsed/>
    <w:qFormat/>
    <w:uiPriority w:val="0"/>
    <w:pPr>
      <w:widowControl/>
      <w:spacing w:line="360" w:lineRule="auto"/>
      <w:jc w:val="left"/>
    </w:pPr>
    <w:rPr>
      <w:rFonts w:ascii="Cambria" w:hAnsi="Cambria"/>
      <w:kern w:val="0"/>
      <w:sz w:val="22"/>
      <w:lang w:eastAsia="en-US"/>
    </w:rPr>
  </w:style>
  <w:style w:type="paragraph" w:customStyle="1" w:styleId="73">
    <w:name w:val="4表格标题"/>
    <w:basedOn w:val="1"/>
    <w:qFormat/>
    <w:uiPriority w:val="0"/>
    <w:pPr>
      <w:numPr>
        <w:ilvl w:val="3"/>
        <w:numId w:val="2"/>
      </w:numPr>
      <w:spacing w:line="360" w:lineRule="auto"/>
      <w:jc w:val="center"/>
    </w:pPr>
    <w:rPr>
      <w:rFonts w:ascii="gbsnu54" w:hAnsi="gbsnu54" w:cs="gbsnu54"/>
      <w:b/>
      <w:bCs/>
      <w:color w:val="000000"/>
      <w:kern w:val="0"/>
      <w:szCs w:val="16"/>
    </w:rPr>
  </w:style>
  <w:style w:type="paragraph" w:customStyle="1" w:styleId="74">
    <w:name w:val="7表格内容"/>
    <w:basedOn w:val="75"/>
    <w:qFormat/>
    <w:uiPriority w:val="0"/>
    <w:pPr>
      <w:spacing w:line="240" w:lineRule="auto"/>
      <w:ind w:firstLine="0" w:firstLineChars="0"/>
      <w:jc w:val="center"/>
    </w:pPr>
    <w:rPr>
      <w:szCs w:val="21"/>
    </w:rPr>
  </w:style>
  <w:style w:type="paragraph" w:customStyle="1" w:styleId="75">
    <w:name w:val="5段落"/>
    <w:basedOn w:val="1"/>
    <w:qFormat/>
    <w:uiPriority w:val="0"/>
    <w:pPr>
      <w:spacing w:line="360" w:lineRule="auto"/>
      <w:ind w:firstLine="420" w:firstLineChars="200"/>
    </w:pPr>
  </w:style>
  <w:style w:type="character" w:customStyle="1" w:styleId="76">
    <w:name w:val="font11"/>
    <w:basedOn w:val="26"/>
    <w:qFormat/>
    <w:uiPriority w:val="0"/>
    <w:rPr>
      <w:rFonts w:hint="eastAsia" w:ascii="宋体" w:hAnsi="宋体" w:eastAsia="宋体" w:cs="宋体"/>
      <w:color w:val="000000"/>
      <w:sz w:val="24"/>
      <w:szCs w:val="24"/>
      <w:u w:val="none"/>
    </w:rPr>
  </w:style>
  <w:style w:type="character" w:customStyle="1" w:styleId="77">
    <w:name w:val="font41"/>
    <w:basedOn w:val="26"/>
    <w:qFormat/>
    <w:uiPriority w:val="0"/>
    <w:rPr>
      <w:rFonts w:hint="eastAsia" w:ascii="宋体" w:hAnsi="宋体" w:eastAsia="宋体" w:cs="宋体"/>
      <w:color w:val="000000"/>
      <w:sz w:val="18"/>
      <w:szCs w:val="18"/>
      <w:u w:val="none"/>
    </w:rPr>
  </w:style>
  <w:style w:type="paragraph" w:customStyle="1" w:styleId="78">
    <w:name w:val="无间隔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1.jpe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er" Target="foot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I4MjUzMTYwNDIzIiwKCSJHcm91cElkIiA6ICI4MTg1OTk0MzUiLAoJIkltYWdlIiA6ICJpVkJPUncwS0dnb0FBQUFOU1VoRVVnQUFBdThBQUFIVUNBWUFBQUNLMXNhaUFBQUFDWEJJV1hNQUFBc1RBQUFMRXdFQW1wd1lBQUFnQUVsRVFWUjRuT3pkZVhoVTFmMC84UGU1azh4a0puc3lnWkFKMlFraElXVG1wbGh4eGExMTRTZGRiTlc2MTYxMnNlM1hCZGNXdFZLcFZhdDF3d1dwYTNFdFdnVzBLb3E0TTFsZ0lvUUFNUWtRUWhLeVRqS1ptWHQrZnlRVEoyR3lRY0tRNVAxNkhoL3VQZWZjZXo0M1hvWlB6cHg3TGtC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RMEJCSHNBSWhvN01YR3h2NWkvLzc5TDQ3a21MeTh2QXFIdzVFRkFIcTlQc2RvTktZb2lwS2cxK3NUUWtKQ2t2VjZmWEpYVjFmTnJsMjdyaCticUltSWlLaS9rR0FIUUVSakx5VWw1VkZmOGw1UVVORGs4WGhxL2V2MWVuMVdVVkhSZ0o4SHljbkpkOFhFeEp6ajlYcGJGVVV4TlRVMXZlcDBPa3ZiMjlzL0hldllpWWlJNkR0TTNva21JWWZEa2VPL1AyZk9uSHJmZGxaVzFscTlYbS9SNi9YVGMzTnpOd05BV1ZuWjhRQXVCZEJ1dFZyYmR1N2NlZDVoRFppSWlJZ0FNSGtubXREeTgvTnJBVUNuMDBYbDUrZlg3dHk1ODN3QXlNdkwyK0xmVHFmVHhmaTJLeW9xZnRqVHBxS3NyR3oyRUYyRUFlZ2MzYWlKaUlob0lFemVpU2F3VFpzMkpRTGRVMlY4Mnk2WHEzekxsaTFIK2JmTHljbXgrN1pqWW1JV0ppVWwzZTAvOGw1WFYvZXd5V1FxREFrSmlWY1V4WmlYbDdkTkNLSHY2dXFxS2k4dlAvNXdYaE1SRWRGa3hnZFdpU2FCZ29LQ3BpMWJ0aFM2WEs2NnZMeThyd0sxY2J2ZCs4dkx5K2Y1OXYwZldJMk1qRHhlMHpROWdIMHpac3o0dExpNE9BYUE1L0JFVDBSRVJENGNlU2VhdUF6eDhmSG5oWWVIRitwMHV1aXNyS3pWMjdkdlAxMm4wNWxMUzB2TkFHQTJtNit1cjY5ZkJudzM3ejAzTjNlekVDTEVZRENrKzBiZUt5b3F6dTNxNm5MNG5adUpPeEVSVVJBd2VTZWF1RVJNVE16UFdsdGIxM205M21hSHc1SGRyMTV2c1ZpVytwSjNuN0t5c3RsbXMvbktsSlNVSjNvZVZHMDFtODJYaDRhRy9saW4weVVJSWNKbXpKanhQNTFPRnlXbGxQdjM3MTlaVjFkMy8rRzdMQ0lpb3NtTHlUdlJ4Tlc1ZmZ2MkJRQXdiZHEwMi9wWEdvM0dLVzYzZTFlQTR3eXhzYkhuZG5WMTdjek96djVQZlgzOXM1cW11VHM2T2txOVhtKzkyV3krWXR1MmJUOEYwSXp1enhCK2poQVJFUjBtU3JBRElLTERxNzI5L1hNQU1KbE1wNGFHaGxxaW9xSk83eW5mQUFCSlNVbUxtNXViWDVOU2F1WGw1YWZIeE1Rc2NMbGM5cWFtcGpkYlcxcy9CU0RSbmJqRFlEQms1dVRrckF2U3BSQVJFUkVSVFR3RkJRVk4vdnRHb3pFNU56ZjNtN2k0dUhQejgvTnIvRWJtUTdPeXN0WUMwT1hsNVZVRU9wZlZhblVDTUFCQWJHenNlZW5wNlN2SE5QakRxTEN3TUxxd3NGQXRMQ3o4UWJCaklTSWlDb1JmZHhOTmJERUF3cVNVcnA3OStJU0VoUE9uVEpueWgrcnE2dCswdExTczdlam8ySkNXbHZhMndXRElyYXlzL0dWRlJjVUNBTjZCVHRqYzNQeG1RVUZCblpUU0RVRGJ2bjM3THc3SGhSeUtPWFBtVEpGU1p1cDB1Z3doUklZUUlnUEFOQURSNlA0WlJVc3BFNldVQWtDdEVPSzRvQVpNUkVRMEFDNFZTVFNCNWVUa0ZPdjErcVNHaG9ZblcxcGExbVJrWkx5NWYvLytsL2Z0Mi9lWGpvNk9hcittY2RuWjJhdXFxNnV2NytqbytBTG91eExOZUdXejJXNENjSWNRUWovTVF5bzZPanBPK09hYmIvYU1aVnhFUkVRSGk4azcwZVFTQ3NBZDdDQU9sK3pzYkhORVJNUytZVGIvcEtXbDVheUtpb3FXTVEyS2lJam9FUENCVmFMSlpkSWs3Z0JRWGw1ZUw2WDgzMUR0cEpTdkNTRk9adUpPUkVSSE9zNTVKNktKN3A4QVRoMmsvdDZpb3FKRjZGNUZoNGlJNklqR2FUTkVOT0hZYkxZVGhCQjNTeWx6aFJCeGdkcElLVFVBbHhZVkZUMTNtTU1qSWlJNmFFemVpU2FvR1RObWZCZ1pHVG5mYnJkSEFtZ0RBSVBCTU1OaXNmdzFNakx5WkVWUlRLMnRyUnRxYW1xdTdPenMzTkgvK0pHMERkVFg0WlNWbFdXSWlJajRQMFZSTGdKZ0FSRGxWOTBncFh4S0NMSElyOHd0cFR5MXFLam80OE1iS1JFUjBhSGhuSGVpQ1NnMk52YThzTEN3blA3bDBkSFJDMXRiV3o4c0tTbkpMQ29xU2dYZ1NrMU5mVDdRT1liYmRxQyt4cHFxcWtmYmJMWTNiVFpiZFdSa3BGTlJsQ1VBWnFFN2NkOHRwYnpDNC9GTXQ5dnRDVjFkWFg4Q29QVWMyaTZsdERKeEp5S2k4WWdqNzBRVFQvanMyYk8vMmJkdjMvMFdpK1dCZnFQaE92aXQ0UjRlSG43cXpKa3ozN1hiN2FFNGNHMzM0YlFkcksvUnBsaXQxbXVGRUw4WFFpUklLVTFDaU43UE1DbmxzMEtJZTFwYVduWUZldkRVWnJQOVRnanhKNWZMTmRQaGNEU09VWXhFUkVSamlnK3NFazB3U1VsSnQ3VzB0SHpRMHRMeXVjVmk2Vi9kSjBIWDYvVlQzVzUzWGYveTRiWWRvcTlEbHBPVEV4OFdGbmF2RU9KTUlVUTgrbjVtN2RVMDdUYVB4L09Xd1dCb3ROdnRnNjZrMDlyYStrUjBkUFRURG9mRE9lcUJFaEVSSFNaTTNva21FSVBCTU1Oc05sOVJXbHFhYnpRYTA0Wm9IanAxNnRRL05qUTBET2RGVEFlMEhXRmZJeUZzTnR0aUljUlZVc29wUW9qZTZYMVN5bmVrbEl0MU9sMjUzVzV2SHNsSkt5b3FYRU8zSWlJaU9ySXhlU2VhUUtaUG4vNWdiVzN0WHdIVUFrZ2JyRzFLU3NxalVrcnY3dDI3bHd4MTNrQnRSOUxYY09UbDVVWG85ZnAzaFJCejBmUFpKSVNBcG1sM2U3M2Urelp0MnRRS3dIT28vUkFSRVkxblRONkpKb2lZbUppejlYcDlXbDFkM1QrSGFtdXhXTzZMakl3OHdlRndIQTlnMEJIcFFHMUgwdGR3cUtyNkRvQWZvSHVlUFFDODNkSFJjZVUzMzN3ejBKUWVJaUtpU1lrUHJCSk5FQmtaR1c5RVJVV2RKcVgwQUlBUVFxY29Tb1RYNjIzZXVYUG51UzB0TFdzQndHS3hMSW1PanY1eFdWblp5UUQyREhiT2dkb090NitoV0szV1M0UVF5NFFRQmdEd2VyMTNob1NFTE4yNGNTUG5wUk1SRVJIUjVHRTBHbzlXVlZVQ2lQQ1ZKU1VsTGM3TnpYVUFtRHJVOFNOcEc2aXZvYWlxK3J5cXFyTG52OWZtejUvUGJ3S0ppSWlHd0g4c2lTYVJ4TVRFUHdPQXFxcTEvdVYydTkxb05Cck5HUmtaSHpnY2pod0EybUJ0QVhRZVNodzJtKzBMQUVjQlFNK2E2eVdIY2o0aUlxTEpndE5taU9pd1VsVjFMWUFmU0NrYlcxdGIwd090eVU1RVJFU0I4UTJyUkhUWXFLcjZSM1EvbU9wMnU5MVdKdTVFUkVRanc1RjNJam9zNXMrZkg5TFMwdElncFl5VVVoNVhYRno4YWJCaklpSWlHbTg0OGs1RWgwVkxTOHNkQUtJQS9KdUpPeEVSMGNGaDhrNUVoNFdVOG1jQTRQRjQvaHJzV0lpSWlNWXJUcHNob2pGbnRWcG5LSXBTTHFXc0t5b3FHbkxwU1NJaUlncU1JKzlFTk9hRUVHZjAvUGxTc0dNaG9tRlRJaU1qajVzK2Zmb0RBRUlETlFnUEQ1K1RsWlgxdnRWcWRSWVVGT3lQam80K3g2L09PbVBHalBlc1ZtdWIxV3B0ejhyS2VzZGdNR1FOMEZkaVJrYkc2MWFydFczT25EbjEwNlpOK3d2NkRUQU8xaGNSRVJHTklsVlZsNnVxS20wMkcvK3hKUm9uOHZQejkrVG41Ky91ZVFGYldQOTZnOEdRV1ZCUTBKaVltTGdJUUtUUmFMVDRKZWVSYytiTWFiQllMRXNBeEFCSVNFMU5mUzQzTi9lYlFIM05uRG56aTR5TWpGY0F4Qm9NaHF5OHZMd3RVNlpNdVdhWWZSRVIwWkhLWURETXlNakllTFdnb0tEUlpyTjFabVZsdlI4V0ZwYmgxMlNva2FJaFI1SkcwQmNOazZxcWI2bXFLcTFXNi94Z3gzS1ljTVNTeGoyVHlhVDZ2VDM1Z09ROUl5UGpwZFRVMU9jQ0hSc2VIbDdRYzV6WnIreFVtODNtUXIvNzAyQXd6RkJWVlJxTnhoUmZXV3hzN0hrNU9UbGZENmN2b3NtRzAyWm9YSW1Pamw3WTJ0cjZZVWxKU1daUlVWRXFBRmRxYXVyenZ2cjgvUHhkYVdscEx5Y2tKUHdCZ0s3LzhVUFZqNlF2R2o0cHBRRUFoQkN1WU1keU9BeDFueGtNaHN5c3JLeDFiVzF0N3hZWEYwOHRMeStmM2RuWldkeFRIWm1abWZtKzArbjhxcmk0T0xtNHVEak43WFkzWkdabXZoV29yNWt6WjY0QzRDMHVMcDYrZGV2V28rUGk0czZaTW1YS3I0YlpGOUdBbkU2bmZaRHFrS2lvcUlVTkRRM1BCS3BzYjIvL3h1VnlWYVNrcFB3VmdBRkFnc1ZpdWIyeHNmRjVBTExQaVVKQ2pEMmJtcStzcTZ0cm45Rm9uRDJjdm9nbW01QmdCMEEwRW5WMWRROEE4UHIyOSt6WmMvL01tVFBmUlhlQzVOMitmZnRaVWtyOXJGbXpQZ3QwL0ZEMUkrbnJVSzlsbUJTcjFYcTZvaWpYQXBpSDdxVVd4N05QVlZVTmRnd2pKcVZzRTBKOHBXbmFROFhGeFc5aGlQLy9ROTFuRm92bEwwMU5UVy9YMXRZdUJZQ09qbzVXWDExNGVIaEdTRWhJM0s1ZHUrNEgwQVFBOWZYMS80cUxpL3M1dWtjc2V4TWZnOEV3SXp3OC9LaHZ2dm5tWndEMnUxeXUvYnQzNzE0OGRlclU2K3ZxNmg0YnFxOFJVZ29LQ2s1VkZPWDNRb2hqQVVRZjVIbG9qRWtwdTRRUU93QTg0M1E2bjk2eVpVdkRhUGRoTUJneUZFVXhHZ3lHNmFtcHFSVjZ2VDY1dGJYMTQxMjdkbDNXMGRHeEMwRFhqaDA3VGtwSlNWazVaODZjS2tWUklob2FHcFpYVjFmL1gvOXp0YmUzbDNWMWRYMDdkZXJVdXlzckszOXZNcGxNU1VsSk53c2hEQUJDaHRFWDBhVENrWGNhYi9va1RYcTlmcXJiN2E3emxROHhValJrL1VqNk9nd1VWVldmVmhUbGJRQS94UGhQM0NIRStGemdTZ2dSQWVBa1JWSGVzTmxzcjJHSWIyMG00SWlsWXJQWkh0SHBkR3VGRUdlQ2lmc1JUUWloQjVBRFlLblJhQ3liTTJkTyttajNvZFBwb2dBZ1BEejhHSWZETWJlb3FDaE5VWlF3aThXeTNOY21QRHo4akxDd3NQejYrdnJIVzFwYTNvbUxpN3M0UER6OGhBQ244K3pjdWZQL0dReUdHVGFiclM0OVBmMkR0cmEyZFZKS0Z3RFBjUG9pbWt3NDhrN2pXZWpVcVZQLzJORFFzR3lDOVFVQUtDZ29PQWZBcFdhekdZc1dMWUxOWmtOc2JPemg2cDc4TkRjM1k5T21UYmpubm51d1o4K2VoYXFxWG1PMzJ4OCttSE9OeHhGTHE5VjZoaERpVjdHeHNianBwcHVncWlyaTR1SU81dkxwTUhDNVhQajIyMit4Yk5reXJGdTNib3BPcDNzR3dQelI3TVBqOGJRRFFGVlYxV0lBK3dHZ3RyWjJhV1ptNWlwMER3eEdKU2NuUDFoVlZYVkpZMlBqS3dCZ3NWaitucGFXdHN6aGNCencvRVo3ZS91bXJWdTNIdVBiTjV2TlYzWjJkbTRkWmw5YS8vTVJUV1FjZWFkeEt5VWw1VkVwcFhmMzd0MUxKbEpmUGpxZDdtb0F1UFBPTzNIeXlTY3pjUStpNk9ob0hIZmNjVmk2ZEttdjZOS0RQZGQ0SExFVVF2d0dBUDcwcHovaDFGTlBaZUoraERNWURNak96c1o5OTkySDVPUmtDQ0ZPTENnb3lCN05QcnE2dWlvMFRXdlQ2L1grMzhKSUtXVW5BTTFrTXFVcmltSnNiR3hjNTZ0c2JtNSt4MkF3WkdBWXVVZE1UTXpQbXBxYTNocE9YNk56UlVUakI1TjNHcGNzRnN0OWtaR1JKMnpkdXZYL0FSalRoeUFQWjEvOXpBV0FuSnljdzlnbERTWWxwWHN4RENubFFmOVBDVENLV0Z0Ylc3czBNakx5RkhSL0pzY2tKeWMvV0YxZGZmbnUzYnYvdkdQSGpwL1YxOWMvbVphV0Z2QmJIOStJWlZGUmtkN2hjT1M0M2U2OWc0eFk5dTlyV0lRUXh3QkFmbjcrd1Y0MkJVbHFhaW9BUUZHVTBmNGdjZGZYMXkrZlBuMzZmUURNSnBNcGFkcTBhYmMxTmphK0FBQk9wN1BjNi9YdVQwbEp1UjFBck1sa1NrcE1UUHhqZTN2N3h3aVFjRWRHUmg2RDdpVWxZeTBXeTkxR296RnZ6NTQ5RHd5bkw2TEpoc2s3alRzV2kyVkpkSFQwbVE2SFl6NkF1b25TVndDUlFQZW9MeDBaSWlNakFRQkNpUENEUGNjNEhiR01Cc0J2ZjhhaGlJZ0kzK2FJNzFsVlZhWHZvV3RWVlR0VVZaVTl5ejhDQUdwcWFtNTB1OTI3Q2dvS2RzeVlNY1BoZERxTHE2cXEvdEJUM1Y1ZVhuNm15V1E2Mm1hejdaMHhZOFptcjlmYnZuWHIxdk1Bd0dnMEp1Zmw1WldqNTU2T2pvNWVhTFZhcTYxV2E1WFJhSnhUWGw1K0lvQ0dZZlpGTktsd3pqdU5LMGxKU1l1am82TVhscFdWelFld2Q2TDBSWk5LN3lqaTl1M2JMekdaVFBxQlJpeXJxcXIrYkRLWmpFT05XTGEydHBZQkVCYUw1WHFqMFpoWFVWRngvbkQ2SWhxTTNXNGY2Z2x6VjFWVjFWVlZWVlZYQmFyczZPajRmTXVXTFVjTlVGZmpjRGg2cC9MVTFOUXNxcW1wV1hTd2ZSRk5Ka3plYVZ4SlRFejhNd0NvcWxyclgyNjMyNDBBT3YxSGhWUlY3ZkNyRnoxbEE5WWJqY2Jrakl5TUR4d09SdzRBYmFpK1J2WENhRUlaNmo2c3FhbTVNU1VsNVo4RkJRVTdBSGdiR3h0ZnFxNnV2cTZuV1h0NWVmbVpxYW1wRDlsc3RyMmFwclcxdExTOFcxRlJjU1hRUFdMcGY1OUdSMGN2ek16TVhBc0FiVzF0NndLTldBN1NGeEVSalRQamM5MDJva25BbHdCdTNMZ3gyS0dRbjhMQ1FnRERHcFdjTUhndmpsKzMzSElMMXE1ZEN5bmxMNHFLaWw0S2RqeEVkT2c0NTUySWlJaUlhSnhnOGs1RVJFUkVORTR3ZVNjaUlpSWlHaWVZdkJNUkVSRVJqUk5NM29tSWlJaUl4Z2ttNzBRMDdwU1ZsVUZLT1hSRElxSkpKRG82K3JSZ3gzQ1FkTUVPWUR4aDhrNUV2VG82ZXBja3gvbm5uNC9tNXVhQTdUUk53Nk9QUG9wOSsvWWRVT2YxZXRIUzBvTHE2bXBzMnJRSkgzNzRJWGJzMkRHcWNWNTAwVVZ3dTkyamVrNGFXMTZ2ZDhEL05FMURWMWNYTm16WU1PRHgxMTEzNE5MMERvY0RwYVdsQWR0ZmM4MDFveEszbEJJWFgzd3hTa3BLQUFBdExTMjQ1SkpMQmozbWl5Kys2SFBQLy9yWHYrNVRiN2ZiVVZ2Yi9mcUl3M0VORkJ5UmtaSEhSVVJFbkRCWW0vRHc4RlA4OTJOaVlzNGU0clQ2MU5UVVo0MUdZM0tneW95TWpMY0dpZWNZMzNaWVdGZ0dnSVFoK2pvb0JvTWhNeTR1N3R6KzVWT21UTGtlZ0RIUU1UYWJyVDFBbWNmL1Qvb09YOUpFTk1hc1Z1c2xtcVp0TEMwdDNSenNXQVpUVzF1TGl5NjZDR3ZYcm9XaUtDZ3ZMNGZITS9CbnBoQUM1NTkvUHU2KysyN3MzTGtUeTVZdGc5dnRoaEFDVHFjVG1abVppSXFLUWt4TURNNDQ0d3hrWkdTZ3E2c0w4K2JOODM5bE93Q2dyYTJ0VDFsYld4dSsvUEpMNkhUREg0elJOQTJLd3ZHSW9WaXQxa3NBbEJRWEY1Y0FHTE92TCtiT25ZdnAwNmVqdWJrWmwxMTJHZDUrKyswQjIzN3ZlOS9ENVpkZmpoZGVlQUVyVjY3RW4vNzBKNWpONWo1dDFxMWJkOEJ4SVNFaHVQbm1tM0htbVdmaXFxdXV3dE5QUDQwcnI3d1NBUERsbDErT3luVjgvZlhYMkwxN04yYk5tZ1VBY0x2ZDJMeTU3MS9sN2R1M0l6TXpzM2QvNTg2ZHVQNzY2L0hiMy80VzU1NTdMaHdPUjIrZDNXN0hva1dMY1AvOTl5TXhNZkd3WEFNQnFxcGVMYVZjWDFSVVZIYTQralFZRExsSlNVbDNsNWFXWmdQWUg2aE5WbGJXYXlVbEpURysvZFRVMUdlYm1wcGlnTzczSzNSMWRYMExBSHE5UHNWdXR5c0EzSnFtdFdWa1pLemZ2bjM3eVdscGFXLzRuMDhJb2MvSnlTbjI3VHVkem8rcnFxcXVCWUMwdExUWE4yM2FsTml6L1hKZFhkMGpqWTJOendTS3kyZzBXbkp5Y3I0ZHlmVVdGUldGQUVCOGZQd2xtcVlkTUxxU25KeDhiMTFkM1FvQUhmM3JhR1NZdkJPTk1VVlJibElVSlVkVjFRcE4wNTdYTk8ydDB0TFNJb3hoNG5Rd1hudnROWng0NG9uRFNvQVZSY0UxMTF5REdUTm1vTE96RXovOTZVK3hjT0ZDR0kzRzNnVDk1WmRmSHZEWWp6NzZxSGZmNi9YaXFLT082bFBtZXhIU1lFcEtTakIzN2x3QXdJb1ZLMUJaV1luRml4Y1BlZHhrcHlqS2RRRHlWVlg5VmtyNW90ZnJYVlZhV3ZvMUFPOW85aE1aR1luWFgzOGROOTU0SStiTW1ZTUxMN3dRRjE1NDRRSHRZbUppZWtmVkgzNzRZVHp6VEhjdWNkcHBCMzc3NzE4V0VoS0MxYXRYWS9ueTViMzMyaE5QUE5HYitBS0EwK2xFU1VrSjdIWTdMcnJvSWtSRlJZMzRPcDU3N2psY2VPR0YwT3YxQWV2WHJWdUhXMjY1QlMrLy9ES1NrN3NIUTg4Nzd6ems1K2ZqNDQ4L1BxRDloZzBiY01jZGR5QS9QeDhBTUhQbXpERy9CZ0trbEhjSklSSlVWZDBpcFh6SjYvWCtkelEvaDFWVmxacW1IVEI2REFCV3E3WGFmMTlSbEhDNzNTNlNrcEx1MU9sMGtYbDVlUlcrT3QrK3crSElrbEs2Tm0vZW5OWnpqamJmcFZSWFYvODZKU1hsTWFQUmVNeVdMVnVzL3VlMjJXeWQvY3Y2aTRxS09sT3YxNmNuSlNYOU9Ta3A2Yy8rZFRxZGJ1cTJiZHVPZHpxZFgvdVNjWDhaR1JtdmhZYUdKbTdkdXZYWUFVNHZZbU5qejlmcjlTblRwazI3RlFCYVcxczNWRlJVbkRKQWV3WGZ6UUlKQWNCUjltRmc4azUwK0dRcGlySllVWlRGcXFwV1NTbGY2RW1jdmdLZ0JUT3dscFlXdlB6eXkzQTZuVmkxYWxWditlbW5uMzVBMnlWTGxpQTNOeGM2blE2bm5ucHFiM2xvYU9pb3gvWGYvLzRYOTl4elQrKytFQUxyMTY4SEFLeGN1Ukp6NTg3RnE2KytpdWVlZXc2UFB2cm9xUGMvd2FVS0lXNE9DUW01V1ZYVlBRQldTaW4vVTFSVTlDbUFVWm1UMU5IUmdjcktTc3laTXdjQXNIZnZYcnozM250OTJ2Z1M4bzgvL2hqNStmbTQvUExMQVFDTmpZMTkzdWhhV0ZqWTU5aTVjK2Zpdi8vOUw4NDg4OHcrMDFMV3JGbURvcUlpQU4xSnROVnF4WWNmZm9qenp6OS94UEU3SEE1czJMQmh3RjhLTjIvZWpOdHZ2eDIzM0hKTGIrTCs4NS8vdkUrYmwxNTZDZTN0N2ZqZTk3NkgxTlJVNkhRNnJGKy9Idi80eHorUWxaV0ZZNDQ1Wmt5dmdRNlFJNFM0SXlRazVBNmJ6Zll0Z0g5TEtkOHNMaTcrQW9mNEMyeHhjWEhFMEswUW9xcXFHd0IyNzk3OXA0U0VoR3NkRGtlV3I3S2dvS0RKZnorQUtBQ3lxcXJxR2dDWU1XUEdoenFkTHRaWDJYL2tmY3VXTFZhTHhmTDNtSmlZSDRXRWhKam56SmxUNTNhN2E3Lzk5dHZ6dlY3djdyYTJ0ajVmSTgyY09YT2RvaWlkQVR1T2lqbzlKaWJtSjl1MmJSc29jVWRVVk5RUG5FNm4zZUZ3ekFDQStQajRpNk9qbzMvc3E5ZnI5Vk82dXJycWZmdFRwa3o1NDVRcFUzNG5oRERNbmoyN1lzZU9IVC9PenM1ZUw0VG9rNS9hYkxaT0FHaHFhbnB6NTg2ZGZmK1NUVUpNM29tQ0k4VS9jWkpTdmlpRVdHVzMyejlERUVZZUhubmtFUng3N0xGWXNtUkpiMWxoWVNIV3JGbUQrUGo0QTlyLzV6Ly93VC8rOFEvODlyZS9oYzFtQ3ppaU9tL2V2RDc3bjMzMkdZRHU2UzBubjN6eUFlMERsUzFZc0FBTEZpd0FBT3pZc1FNMzMzeHpiMTFaV1JtV0xGbUNUei85RkU4KytTUXlNaktHZWJVVXdEUUFmeEJDL01GbXN6V2lPNUYvbzZtcGFYMWxaV1hBZjhpSDQ4TVBQOFF4eC9ST3MwVnpjM1BBZXdYb1RwVC84cGUvWU9uU3BiRFpiTU02L3p2dnZJTTMzM3dUaXhZdHdyWFhYZ3ROMDdCeDQwYW9xb3BYWDMwVmI3NzVKZ0RnbEZOT2djRmdDSGlPVFpzMjRkSkxMOFg2OWV0aE1wbDZ5NldVdVBmZWV3RUUvc1gwaXkrK3dQWFhYNC9mL09ZM3ZmY29BTHo4OHN2WXRXc1hQdnZzTTN6MTFWYzQ0NHd6c0h6NWNseDk5ZFg0OE1NUGtaK2ZqKzkvLy92SXljbUJYcS9IRFRmY2NNalhRQWRIQ0pFS1lKRVFZcEhOWnRzTDRHVWh4SCtFRU9zM2J0dzRvbDlnZmNuME1IaXJxNnQvNTErUW5aMzlpVjlNZXYvdHZMeThMUUNnS0lvSkFDSWlJcjZYbHBiMlRIMTkvY011bDJ1TGYrSWVTRTVPVHZHV0xWdXN1M2J0dWo0L1A3KzJ2THo4QkpQSmRGUnljdkkvQVlRb2loTHU5WHJyTlUzejlJelk2OTF1dHl2QXFlSlRVbEtXTlRVMS9idTF0ZlhUZ2ZxYk5tM2FuM2Z0Mm5XVGI5OWdNT1IyZG5adTlidldOWTJOalN0Mjc5Nzlad0N5cnE3dXZycTZ1dnRzTmx1bjcxc0czeTlCL25QZGk0cUt3Z2E3enNtR3lUc0ZqZFZxUFVzSW9RWTdqckVtcFl3WFFneldaSm9RNGpvQTE2bXFXaStsL0xjUTRvM0JEaGhOR3pac3dOcTFhN0Z5NWNwaEgvT2pILzBJNmVucFdMcDBLVTQ1NVpUZXhCeEE3N1FaL3pKL2lxTGdndzgrNk4zM1RadnhMd3MwYmVhZGQ5N3BNMjNpc3NzdXcwTVBQWVEzM25qamdQblJoNE9xcWg0QVVrcXBDU0UwZEg5NzRnV2crY3FrbE42ZVB6VUFtaERDNjFmbk84N2JjNnl2ckgrYi91ZnNQV2FRTmw1ZlRBSGFXd2E3SDRVUWNRQ3VFVUpjRXhjWDF4b2JHL3Y2d2Y2TWNuTnpzWHo1Y3Z6dWQ3K0RUcWZEWC8vNlY1eHlTdDl2ejk5Ly8zMEEzUTluVHA4K0hSczNiaHgyOHY3d3d3L2p2dnZ1UTBkSEIxNSsrV1hNbno4ZnQ5NTZLd0RndHR0dTYyM25jcmxHblBpKzhNSUxnejd6Y2YzMTEyUFJva1Y5RXZmeThuSXNXclFJNmVucE9PMjAwN0J3NFVJY2M4d3hXTEZpQlM2ODhFSmNjTUVGZU9hWlo3QnAweWE4OE1JTGNMdmRlT1NSUi9EQUF3K015VFgwdnlSVlZaOUQ5ejBoL2UrUG5tMy9lMW5pdTN0U291ZmU2ZDltZ08wQmorKzNyUUdRL3R1K1kvekxCNHF0WjEvNi9tNzU5Z2ZvU3dvaEJoMFZGMEpNQmZBN0FML1ROSzNKWnJPOUN1RDEvZnYzZnppY1gyQ1RrNVAvbnB5Yy9QZis1WXFpaEFlYVRyTnYzNzduQURRRFFIbDVlZTlYbkFVRkJUVytiYS9YNjNJNEhEbkFkOU5tMnRyYVB0aStmZnQ1S1NrcGY5MjZkZXY5Ky9mdkgvQUIxUURYR0JJU0VqTGRhRFRPM3JWcjE4MU5UVTJ2NStYbFZaU1ZsYzMyYTJNSU1QS3VaR1ZsdlNDbDdJeUppVGtQd0IvajR1TE9hbXhzZkExQWs2OVJkSFQwT1ZKSzRYYTdkd09JQmJBL01qTHloTDE3OXk3MXRkbXhZOGRQMDlQVFg5THI5Vm1WbFpXWEFlajlSU0VpSW1KMlcxdmJYZ0FIcm9SQWZUQjVwNkJSRk9WMUFJRW5razVlb1VLSXFacW14Uit1aHk4VEV4T3hlUEZpVEowNmRVVEhGUlFVNE1VWFh4elJNVjZ2OTZDbTE3UzF0ZUd0dDk3Qzg4OC8zMXUyWU1FQ3JGcTFDcXRYcjhaRkYxMDA0bk1lcXU1OFFPZ0NKY0src3Y1L0RsUjJLTWNOMVdhdzlzT2dROCtLRkFlek5HZGFXaG95TXpQeHlTZWY0T21ubjRiYjdjWlRUejExUUx2bm5uc09LMWFzNkpNSUE4QVpaNXd4Nkw2aUtMamhoaHNHN04vajhhQ2xwUVZDQ0lTRTlQM25idDY4ZWVqcTZ1cmRQLzc0NHdFQXMyYk53dlBQUDQ5MzNua0hkOTU1Sjg0OTk3dEZNNnFycTN0SDR4OS8vSEhrNWVYMU9XZDJkalplZmZYVjNnZXRUenp4Ukh6MDBVZTl6M01JSWJCOCtYSjg4c2tuZlk0NzJHczRDQW9BM1VEM3gyRDM1RkR0Qjdxdmh0TitwTWY2NzQvazc4VndDU0YwVXNvcEFNeFJVVkhEZW1xK1o3UTRJaXdzTEw2enM5UDNvR2VFcXFxdFEwMm55YzNOL2R5dmI5Ky9pVG9oUk1EZkhqczZPajdidW5YclNlaVpyNStibS9zTkFrLzUwWldWbGMyYU5tM2FiWEZ4Y1JmcmRMcUk4UEJ3VzJ4czdEbXhzYkhuV0N5V3YrbjEraFRmblB2VzF0YjNGRVV4ZEhSMCtJKzhpNVNVbEdYaDRlRkhiZG15WlY1ZVh0NFdnOEVRSGhzYmUzWnljdktTbXBxYW0zc2VlcFhKeWNuM1ZGWldYaDBYRjNkcFhGemMrZFhWMWI4MUdvMXptcHFhUHZTZHpPbDA3blE0SE1mbDV1YStQMzM2OVB1cXE2dC9hektaVkNHRUlUVTE5WTJLaW9vemNuTnpxL3RmaUcvYVRGVlYxYThhR2hwV0RQYnpuQXlZdkZNdzZZSHVCNG1DSGNoWUVrSmNBMkN3b2VFR0tlVzdRb2hxbDh2MWdNUGhxQVVBVlQwOFgwcGtacFRaNkdBQUFDQUFTVVJCVkdiQ2JEYjNQdnpwTDlDYzk2KysrcXAzKzdISEhzUFBmLzV6eE1mSEgvQ0FvZisrYjY2eXkrVkNWMWZYa0E4ajl2ZjQ0NDlqL3Z6NVNFajRibVV6blU2SHUrNjZDeGRmZkRIUzA5TngzSEhIRFhLVm82K29xTWozajdxdXNMQlFhVzV1VmpvN081WG82R2lkeStWU0lpSWlGTGZicmVqMWVwM2I3VllNQm9QaThYZ1VyOWVyaElTRTZEd2VqeTRrSkVUUk5FMEpDUWxSdkY2dm90UHBkSnFtS1RxZFR0RTBUZkY2dlRxZFRxZElLUlZGVVJSTjAzU2FwaW1Lb3VnVVJWR2tsSXFVVXVsSk5oUmZtYStORU9LQU5rS0l4VUlJeXlDWDFpeWxmQi9BTmlIRXY0cUtpcjVSVlZXT05BSHl5Yy9QeDdadDI3QnYzejY4L2ZiYmVPQ0JCM0RkZGRmaHM4OCt3NW8xYTNESEhYZjBKdVVPaHdNZmZmUlI3L3p2MWF0WDk1Nm5zTEN3ejc3dmZuM3d3UWVSbnA2T3M4OCtjSVc5RlN0V1lObXlaZmp4ajM5OFFKM3ZtNkdCcHMwODhzZ2ppSTN0bnBIUTJOaUlCeDk4RUd2V3JPbDl6cU4vNHU3alB5L2Q2WFFlTUFmZTVYTDFsdDE3NzcxSVRVMDk2R3NZb1F2c2R2dExBQVFBcGJDd1VPbnM3QlR0N2UxS2ZIeTg0bmE3aGN2bFV0eHV0eElWRlNVNk96dDFtcWFKc0xBd3hldjFLbUZoWWNKMy94b01CdUgxZWhXdjE2dUVob1lxbXFZSjMzMHNwUlE5OTdpaWFab2lwUlMrKzdtbmplZ3BWNVR1RVFyUmM3OHFVa3BGcDlNSjN6ME1RUFRjOXdmVStiYjk3M0ZGVVlSdjIzZHN6NzVRRk9VZUFKRUQvWENrbEkxQ2lQZWxsRHU4WHUvRHBhV2xOUU8xSFVoY1hOeFpGb3ZsNzVzMmJabytrdVA4Ujc0TENncDhJOWxoaXFLWStrK2I2YUV6bTgxWDF0ZlhQd25BYXpBWTBnTk5LL0Y3eURXc3VycjYydFRVMUJWMWRYVi9yNnVyNi8yR3dQZHdyTi8rTmdDK2tYZGRTa3JLSTdHeHNUL2Z0bTNicVM2WGF5c0F1Rnl1OXUzYnR5K01pWWxaT0gzNjlFZk1adk12S3lzcnI2cXVydjV0ZTN2NysrM3Q3ZTlybXJZdk16UHpyZjM3OTc4TW9LVmZhTFZsWldVbmhvV0ZSVXliTnUyMm1KaVljNldVWFE2SFl4WUFqKzlhT0cxbVlFemVLZWlLaW9yK0ZPd1l4cEtxcWovRGdjbDdMWUExQVA1dHQ5dmZRNUFmV0kyT2p1NlRsQU9EejNrSHVoOCtYTDU4ZVc4aTB2OEJReC8vWHdwYVdsb3djK1pNdlBEQ0M3MWx2bWt6L2c4aitrK2IrZUtMTC9EdXUrL2lsVmRlT2VEYzZlbnB1UFBPTzNIVFRUZGh5WklsT09HRVFaZFVIaXZlalJzMzlvNTYxZFNNK04vOHcwcFYxV3NCOUUvZTY2V1U3MnVhdHRMajhienRjRGk2QWgxN01KcWFtbnFYQVZVVUJaR1JrV2hxYXNLOTk5NkxXMjY1cFUvYlR6NzVKT0M3QXdhemJ0MDY1T2JtQnF5NzRvb3JjTVVWVitEYmI3L0ZuWGZlaVQvOWFmZ2ZOYjdFSFFDTVJpT2lvcUt3Y3VWS2hJV0Y0YTIzK3M1VWNEZ2MrT0tMTC9ETFgvNnl6eXBMSjU1NDRnR3JMaDEzM0hFSGxJM1ZOUXhBb3Q4OVcxbFplYWpuUE9MWmJMYkZRb2oreWZzZUFQL1ROTzNmeGNYRjcrSVFuemN5R28xSHRiVzFmZFMvM0M4aEJ3RHMyclhyaHA3RWU3Qnp4VG1kemsyK2xXUDhFbkdZVEtZNVNVbEpkOWZYMXk4RERueEkxVWRSRkNNQTdObXo1emIvOHNURXhCdHJhMnYvNWwrV2tKRHd1MzM3OWozZmMwd25nTGdaTTJhc0RBc0x5NjJvcURqQjZYU1c5RDkvVTFQVHFxYW1wbzlTVWxMK01XdldyTTlMU2tyUy9lcldUSnMyN2EvNzl1MjdwLzl4UGVvN096dnI5K3paOC9TZVBYdnV0dGxzSGVCS004UEc1SjNvOEtrR3NGcEsrV0pSVWRISE9NS1dpaHlweno3N0RIbDVlUU1tOTRIczJyVUxGc3RnZzc1OWZmdnR0N2psbGx0dysrMjNJem82T21DYmswNDZDVGZlZUNOdXZQRkcvT1kzdnduS0ZKcHhhZytBdGVqK0JmSi9HT1dsSXFXVU9PdXNzNkRUNmZEWVk0OWg1Y3FWdVBmZWUxRlNVb0pubm5rR21abVorTWMvL3RGbkt0VG5uMzgrNUF1US9OWFUxR0QzN3QwSFBCemQzNTQ5ZTdCdDI3YUR2aGFqMFlocnI3MFdBTkRRMEhCQWZXVmxKVFpzMklDMHREUTgvdmpqdmVWRGpid0R3UDMzMzM5WXJvRzZTU2tyaFJEdlNTbGZLQ29xV28vUkd6Z0pqWTJOL1puSDQ5bUw3aEgrVmwrRi96cnUvdExTMGw3d2VEejEva3RGOXV4ditmYmJiNi9wNnVxcUNIUmNlSGo0TWUzdDdaL2dJUDhOaVkrUC8yWC81RDArUHY2QzF0Yld0NFFRQmdCZEVSRVJTWnFtdVRadDJsU0k3c0dtZ1RSVlZWVmRXbGRYZHdjQTMxOE9VM3A2K291TmpZMVB0YmUzQjM0RDJYZjIrTytrcEtROEdSOGZmOENIdUcvYWpOdnRydlU5MkRxWk1Ya25HbnZQOUx3Y0pQQVRuT1BVdSsrK2k1Tk9PbWxFeHhRWEZ3ODQzU0NRVFpzMjRlS0xMOGI4K2ZQUjJkbUowTkJRVkZaV0lqUTB0TS84MzdQUFBodng4ZkZjaldNWWVwWW8vYlMwdEhRRHh2QWJIeUhFQVM5bThzM3RYcmh3WVora0hRRDI3ZHVIYmR1MjRlaWpqeDUySDJ2V3JJSE5adXNkMlRjYWpiMi9JUHAvQy9UNTU1OGpKeWNuNERueTgvTURmbU0wRU44OVZsdGJpOFRFUkVncDhlV1hYeUl6TXhNbm4zeHk3NnBKMWRYVmVQWFZWM0hzc2NmaXFLT09BZ0E4K2VTVENBME54YW1ubnRxN3RPUlRUejExeU5kQXcvS1kxK3Q5dTZTa1pFemVmSldZbVBoSHA5TzUwZVZ5bGMyZVBidWt0cmIybm82T2pvRSs4L1VBdkpXVmxSZEVSVVdkWVRRYWJYdjM3djFyUmtiR2kvdjI3WHU0dGJWMVEzSnk4dEtXbHBiM0FoMGNFUkZ4WW10cjYzcmZ2cFN5SzlEYTd2Nmo5ZjVjTHRjTzMzUWNBQjdmdGhEQ2paNDExOXZhMmphM3RiVXRDSFI4SUoyZG5UdDdOc096c3JKZWwxSjZxcXFxRmczM2VKK3FxcW9ycTZxcXJnUTRiV1l3VE42SnhwamRidi9iMEsyQzU2bW5uc0tLRlNzT0tEY2FqVmk0Y0dIQVkxYXRXb1d2dnZvS2l4YjEvV3dPTkc5ZDA3cnpRNC9IZzdmZmZoc1BQL3h3d0hOS0tlSDFlckYvLzM0b2lnSWhSSjhIR0o5OTlsa3NXN1lNaXFMZ3dnc3ZQT0JsVXNjZU8rRFN3K1NucUtobzZkQ3R4cDd2amJodGJXMVFGQVh2di84K2pqcnFLSVNGZmZkdnRQLzlGQmNYZDhEOXRYNzlldnpnQnovbzNiL3d3Z3Y3UEdEcTY4ZHNOdU9CQng0WWxiZ2pJaUx3b3gvOXFIY091cVpwbURadEd1Njc3ejU0dlY2ODhjWWJlUGZkZDlIVzFvYWYvdlNudlM5akFvQmpqamtHYTlhc3dXV1hYUWFMeFlMenpqc3ZLTmN3R1JVVkZmMTU2RllIeDJBd3pEQ2J6Yi9hdkhuek1RQnFXMXRiUDAxSVNQajF0R25UN3BSU3VsUlY5UUpBejRvNElRQ3dkZXRXcTZacGpTa3BLY3NxS3lzdkJpRDM3ZHYzYUZwYTJzckt5c3J6WTJKaXp0MjhlZk1jQUVZQUJuUS9xd0FBU2xSVTFLbTF0YlgzRHhRT0FHa3ltY3o5MWtvM29lZjlEUlVWRldmNmxjZWgrMXUzdHRqWTJETjdWb281MkovRHpJeU1qSDlMS1QxYnRtdzVFOE43azZvZWdFbEtPYXJmL0JIUkdGRlZWYXFxT3E2bmpvd2wzOC9uU09UeGVPU1hYMzdacCt6KysrOFAyUGJCQngrVVVrcFpVbElpcjc3NjZnUHF2VjZ2UFBiWVk2WEg0NUhmLy83M1pXRmhvZno5NzM4ZnNNLzI5bmJwOFhoRzRRb08zbVM4YncvbVhqenJyTE1HM0wveHhodGxhV21wbkQ5L3ZqemxsRlBrUXc4OUpKdWJtK1dlUFh0NjIyellzR0hRODMvNTVaZXl2YjFkTmpjM2p5aXVrWHJsbFZka1YxZlhzTnBxbWlZZmUrd3h1WFhyMWtIYmVUd2UrY0VISDhpdnZ2cHF6Sy9oNXB0dmxxcXFTcHZOeGpjOGpaMndzTEN3dENIYTZOQTlZS3BEeitoMmFtcnE4cGlZbUIvMWF4ZVZrWkh4Wmx4YzNDOEJJREV4Y2RHY09YUDJwcVNrUEE0QVJxTXhlZGFzV1NVQWVwZnQ4azBwQVlESXlNZ0YrZm41TmJObno2NUtUazUrc0tlZnB3b0tDaHBUVTFPZjdoOVVmSHo4cFFVRkJVMVdxOVU1ZS9ic3FxaW9xRFA3dC9IWDAxZkFwY21NUnVPOGxKU1VKd0dFQjZyditkenM4L3hYY25MeVVwdk41a2xMUy90WC8vWlRwMDY5eGY5UCtzN0JMUjlBTkFwOENaRGRidWQ5R0lEdjV6T1NyL1NQZEcxdGJiM1RBd0tSVXNMajhZekoyMXBIaSs5aDJzbDAzMDdFZTNHeXVPV1dXN0IyN1ZwSUtYOVJWRlQwVXJEam9UNUNFUGdoelNnY3VFTExvVENpKzVlR2dOTm9hUHpodEJraU9td0dTOXlCN25uU1IzTGlUa1EwaWdaYVhXVTBFM2RnZU5OWGFCdzVQRytCSVNJaUlpS2lROGJrbllpSWlJaG9uR0R5VGtSRVJFUTBUakI1SnlJaUlpSWFKNWk4RXhFUkVSR05FMHplaVlpSWlJakdDU2J2UkVjb0tXVVhBSFIxZFFVN0ZPcmhkcnQ3TjRNWngrSG11eGRkTGxld1E2RVJtcXozTE5GRXh1U2Q2QWdsaEtnQ2dOcmEybUNIUWowYUdob0FBRkxLdlVFTzViQVNRdXdBZ0YyN2RnVTdGQm9oM3owcmhKaFU5eXpSUk1ia25lZ0lKYVY4RlFCV3JGZ1I1RWpJNTVWWFh2RnR2aC9NT0lMZ2VRQjQ2cW1uZ2gwSGpVQnBhU2tjRGdla2xFMk5qWTFmQlRzZUlob2RrK2IxM25UazhiMXlmVEs5Wm40azh2THlFZzBHd3lZQTV1VGtaQ1FtSnNKb05BWTdyRW1wczdNVGRYVjErUGJiYnlHbGJPcnE2aXB3T0J4VndZN3JjTW5PemphSGg0YzdoQkJUTEJZTEVoTVRZVEtaZ2gwV0RjRGo4YUNwcVFrVkZSVnd1OTNRTk8ycTR1TGlKNE1kRnhHTkRpWk5GRFJNM29kbXRWcG5LSXJ5TElDamd4MExBVkxLRW8vSGM5R21UWnMyQlR1V3c4MXF0YWIxM0l2SEJ6c1dHclptQUgrMDIrM1BCRHNRSWhvOVRKb29hSmk4RDV1d1dxMVpRb2hVSVVSWXNJT1pqRFJOYzNrOG5wck5temR2QVNDREhVOFFDVlZWTTZXVWFid1hqMXhTU3ErbWFRMGhJU0diTjI3YzZBeDJQRVJFTkVHb3FpcDlDVHdSRVJFUkRZMFByQklSRVJFUmpSTk0zb21JaUlpSXhna203MFJFUkVSRTR3U1RkeUlpSWlLaWNZTEpPeEVSRVJIUk9NSGtuWWlJaUlob25HRHlUa1JFUkVRMFRqQjVKeUlpSWlJYUo1aThFeEVSRVJHTkUwemVpWWlJaUlqR0NTYnZSRVJFUkVUakJKTjNJaUlpSXFKeGdzazdFUkVSRWRFNHdlU2RpSWlJaUdpY1lQSk9SRVJFUkRST01Ia25JaUlpSWhvbm1Md1RFUkVSRVkwVFRONkppSWlJaU1ZSkp1OUVSRVJFUk9NRWszY2lJaUlpb25HQ3lUdlJ4S1FMZGdCRVJFUTArcGk4RTAwUVZxdTF6YmVka1pHeE1qdzgzRHFhNTQrTmpmM0ZTSS9KeTh1cjhHM3I5ZnFjNk9qb0g4VEd4bDR3ZGVyVVAxZ3NscitucDZmLzIyS3gvSDAwNHlRaUlwcklRb0lkQUJGMTgwOTBLeW9xZnBpZG5mMlJvaWp4bXFZMStNcDFPbDNzMXExYlQrM282UGhza0ZPWklpSWlUdHF4WThkRm94bGZTa3JLby92MzczOFJBQW9LQ3BvOEhrK3RmNzFlcjg4cUtpb2E4RE1sT1RuNXJwaVltSE84WG0rcm9paW1wcWFtVjUxT1oybDdlL3Vub3hrbkVSRVJFWTBCVlZXbHFxb3kySEVjS2ViTW1WUHYveWNBUlZWVnpWY2ZIaDV1N1Vud3czeGxNMmZPL01LMzdSdDVqNDJOdlNBN08vdWowWTZ2b0tDZ0tkQjIvL2dCSUNzcmEyMXVidTVtbTgzbXlzM04zWnlibTdzWlFDeUFjUDlZaVlpSWFHUTQ4azUwNVBMOS9Zd0cwR3l4V0I2c3FhbFpCS0RUMThCa01oWDBQMmpLbENtL01ScU5CYjRFVzZmVFJYbTkzbFlBc3FLaVluNTdlM3Z4U0lMSXo4K3Y5WjBuUHorL2R1Zk9uZWNEUUY1ZTNoYi9kanFkTHNhM1hWRlI4Y09lTmhWbFpXV3poK2dpelArYWlJaUlhR0JNM29tT1hDWUFJalkyOXYvdDM3OS9kVVJFeEFrR2cyRW1nRWMyYmRxVUM2Q3gvd0dSa1pISGhJZUh6NnVxcXJxeXZyNytLUUN3V3EzdEpTVWxVM0dRQ2ZLbVRac1NnZTdSZHQrMnkrVXEzN0pseTFIKzdYSnljdXkrN1ppWW1JVkpTVWwzNi9YNjZUMmo3cWlycTN2WVpESVZob1NFeEN1S1lzekx5OXNtaE5CM2RYVlZsWmVYSDM4d3NSRVJFVTAyVE42SmpsQmhZV0d4bXFZNUV4SVNmcmwvLy83bjdYYTdBQkNYbjU5ZkJ1Q0FhU3NBa0pDUWNKUFQ2U3pTNi9WWlBVVm1UZFBhTUVvajJ3YURJZFBsY3RYcGRMcW8vaVB2QUpDZG5mMVplWG41dkthbXBsVk5UVTJyL0VmZUl5TWpqKy9vNk5nR1lGOVVWTlFQSEE3SExBQ2UwWWlMaUlob3NtRHlUblNFQ2cwTnRYUjBkR3dXUW9TWlRLWkNwOU81MFd3Mi82eTV1WGtWQUMzUU1iVzF0WXNCaU9uVHB6OEVBRkZSVVlWT3AvUExRd2pERUI4ZmYxNTRlSGloVHFlTHpzcktXcjE5Ky9iVGRUcWR1YlMwMUF3QVpyUDU2dnI2K21YQWQvUGVjM056TndzaFFnd0dRN3B2NUwyaW91TGNycTR1aDkrNW1iZ1RFUkdORUpOM29pT1UwV2ljMDluWnVhbTV1Zm1kNU9Ua2U4dkx5MCtmT25YcWRaV1ZsVDhOMEh3cUFEaWRUanNBaElTRUpJU0ZoYVhGeE1UOHFLbXA2YTFEQ0VQRXhNVDhyTFcxZFozWDYyMTJPQnpaL2VyMUZvdGxxUzk1OXlrcks1dHROcHV2VEVsSmVhS3NyT3g0QUsxbXMvbnkwTkRRSCt0MHVnUWhSTmlNR1RQK3A5UHBvcVNVY3YvKy9TdnI2dXJ1UDRRNGg1U1hseGRoTUJobWFwcVdXRnhjL0E0QVBpeE5SRVRqRHBOM29pTkVTRWhJYkY1ZVhrVklTRWdzQUVSRlJaMjliOSsrcDVxYm0xK2ZNbVhLNzJmT25MbSt2YjM5cy9iMjlrMDloNWdBNkRJeU1sNFBEdytmNTMrdXZYdjMzcCtVbFBTQXlXU3lWVlZWM1hnSVlYVnUzNzU5QVFCTW16YnR0djZWUnFOeGl0dnQzaFhnT0VOc2JPeTVYVjFkTzdPenMvOVRYMS8vcktacDdvNk9qbEt2MTF0dk5wdXYyTFp0MjA4Qk5LUDdjMmcwUDR0QzU4eVprNkVvU280UVlwWVFRZ1V3SDRBWlFKdWlLR2VCaVRzUkVZMVRUTjZKamhCdGJXMmYraDdjTkpsTWhVYWpjWFp6Yy9OYkFORFMwdkpCVWxMUzRzYkd4bWQ5N2NQRHc3TzlYdS8rdHJhMlQzYnMySEdoMVdxdDg5WFYxOWMvazVTVWRHZlA4YTMrL1JpTnh1a2RIUjNWaHhKcmUzdjc1ejF4bmhvYUdtcUppb282dmFXbFpVMTdlL3NHQUVoS1NscmMzTno4V2tKQ3duWGw1ZVduWjJSa3ZMaDM3OTQ3L0ZhNmtlaE8zR0V3R0RMVDA5UC90V1hMbHFOSEdrZEJRWUZGcDlQTkZFTGtTQ210QUFxbGxMT0ZFUHIrYmFXVVhRQitYRlJVdFA1Z3I1dUlpQ2pZK0laVm9pT0UzNG9yNFdscGFmL2F2WHYzYlFDa3hXSzV6MncyLzNMSGpoMC9TVXhNdkxYbmphVEc5dmIyNHRMUzBwU2U2U1pPMzNuQ3dzSXlzck96LzlmVTFQUWZnOEV3TXpzNysrT29xS2d6MGYzM1BTd2pJK1BEcVZPbjNud29zVzdmdm4yQjBXaE1uanAxNnFMcTZ1cXJVMU5UbjVvMmJkcHQyN2R2WHdnZzFHUXlxWFYxZFUvME5PL1lzV1BIai9zdFVha0FNQUNBeVdTeXVWeXViMGNhZzZxcUYrcDB1aG9BNzBzcEh3RndKUUExVU9JT29GUFR0UE9MaW9yZUgyay9SRVJFUnhLT3ZCTWRZZExUMDUvcDZPZ283dWpvZUhmV3JGbGZlenllaHMyYk4zOGZRRzFuWjJkeGFtcnFDek5uemx5OWRldldrOUJ2RlprcFU2WmNuNWlZZUVOTlRjM05qWTJOeXdFb1pyUDU4dFRVMUdVQVVGNWVmdXJPblR0UFNFdEwrMTlvYUdoY1RVM05EY01JS1FaQW1KVFMxYk1mbjVDUWNQNlVLVlArVUYxZC9adVdscGExSFIwZEc5TFMwdDQyR0F5NWxaV1Z2NnlvcUZnQXdEdlFDWnVibTk4c0tDaW9rMUs2QVdqYnQyLy94VWgvVG5hN2ZhV3FxbjhHa0RWWU95bWxTMHA1ZmtsSnlYOUcyZ2NSRWRHUlJnUTdBSnE4Zkc5WDdWa0NrWHFFaFlXbGQzWjIxZ0J3UjBWRi9iQ2xwZVZkOUoyanJRTVFENkRPLzdpNHVMakxYUzdYeHZiMjlyMEE5dlE3YllqSlpMSTVuYzZ2ZXZhbmhZZUg1N1czdC85dnFIaHljbktLOVhwOVVrTkR3NU10TFMxck1qSXkzdHkvZi8vTCsvYnQrMHUvNlRkeDJkblpxNnFycTYvdjZPajRBdWk3RXMxWXNObHNQeFZDdkRwSUV6ZUFpK3gyKzhxeGlvR0lpT2h3WXRKRVFjUGtmZHdLUlhkU0hIUUZCUVY1aXFKOElZUUlEMUR0MFRUdGl1TGk0bjhkOXNDSWlJakdDS2ZORU5GSUJUVnh6OHJLTWtSRVJKd3VoUGl0RU9MVUFacDVBZnlHaVRzUkVVMDBUTjZKYUZ5d1dxMVdJY1NGQUM0VFFzVDFGTGNDZUZWS09Vc0ljVFFBU0NrMUFQOVhWRlQweEVEbklpSWlHcStZdkJQUkVjdG1zeVVBT0FmQTFVS0lBcitxRWdBdnRyUzBQRjVSVWRFeVo4NmM3NGVFaEh3dXBaUkNpSnZ0ZHZ0RHdZbVlpSWhvYkRGNUo1cWdqRWJqMGJObXpmck12Nnkrdm41WlZWWFZyM3AyZFJhTDVXOW1zL2t5QUtLaG9lR0ptcHFhbS9EZHc3RkQxWThWbmMxbU93bkE1VUtJYy9EZDUxUzlsUEkxVGRPV2xaU1VGUGtmVUZwYStvWE5abnNkUUluZGJ2L2JHTWRIUkVRVU5FemVpU1k0dTkwZUNhQ3RmM2xpWXVMMTBkSFJaNWFYbDF1OVhtOUVUazdPT3FmVFdkN1kyUGowY09wSFcyRmhZWXJYNjcxQVVaUmZBVWpwS1hZRFdBdGd1ZDF1ZngyQVo2RGp2Vjd2eGFXbHBlMWpFUnNSRWRHUmdzazcwU1JsTnB0L3ZXZlBudHM3T2pxcUFLQ2hvZUZKczlsOHNTODVINnArdEJRVUZCeW5LTXIxVXNxekZVWHhyVHkwWFVyNVFtZG41K1BmZlBOTi8yVXZBMkxpVGtSRWt3R1RkNkxKS1ZHdjE2ZTB0YlY5N2l0b2IyLy8ybXcyLzNxWTlZZk1ack9kS29TNEM4RFJQVVZPQVA4RnNNeHV0Mzh3V3YwUUVSRk5KRXplaVNZNFZWVmJ2VjV2YzJ0cjYrb2RPM2I4RGtDOXlXU2FCZ0F1bDZ2M1JVOWVyN2RlcDlQRkFOQU5WWTlCM3A0NmxKNjEyZThWUXB3QkFGTEt2UUNlOEhnOEQyemF0R24vd1o2WGlJaG9NbUR5VGpSQmRYUjBmRzIzMjhNQmRKbE1wdnpVMU5UbG1abVpLN1p2Mzc0QTNRazRBR2graDJqb2ZoaFZEcVArWUlTb3F2cEhBRXZRL2RtelQwcTV0S3VyNjU4T2g2UHJJTTlKUkVRMHFUQjVKNXE0UEQzL3dlbDBGdTNhdGV2V3pNek1WUUFVcjllN0h3REN3c0xpT2pzN1d3QkFwOVBGZXp5ZWVnRGFVUFVqRGFTd3NOQ3NhZG9yQU9hait5SFVmN2hjcnRzZERzY0JEOUlTRVJIUndKaThFMDBTaXFJWXBKU2RBRFNYeTFYcDlYcWJEQWJEOXpvN095c0J3R2cwem5VNm5WOEF3RkQxSTFGUVVHRFJOTzFkSVVRdWdPMWVyL2ZTa3BLU1QwYnZ5b2lJaUNZUEpkZ0JFTkhZaUltSitVbFlXRmc2Z0JDajBmaDlpOFd5dEw2KzNyZFNqTGV4c1hGRlVsTFNyUUNtNmZYNjNJU0VoS3ZxNnVvZUhtYjlzQlFXRnBvVlJWa3ZoTWlWVW43VzB0S2lNbkVuSWlJNmVCeDVKNXFnSWlJaWprNU5UVjJ1S0VxRTIrM2UxZGpZdUdMMzd0MTMrZXFycTZ0dlNVMU5YV2ExV2l1OFhtOVRiVzN0NHBhV2xyWERyUjhHbmFacC94SkNwQVA0b0xXMTljeUtpZ3JYYUY0akVSSFJaQ09HYmtJME5sUlZsUUJndDl0NUgwNUFxcXIrQWNBREFLbzBUU3NvTGk1dUNuWk1SRVJFNHgxSDNvbG8xTmxzdGdRcDVWMEFOQ25sTDVpNEV4RVJqUTRtNzBRMDZvUVFsd0tJQVBCdVVWSFJoaUNIUTBSRU5HSHdnVlVpR2d0WEFZQ1Vja213QXlFaUlwcEltTHdUMGFncUtDaklCcEFscGR4VlZGVDBVYkRqSVNJaW1raVl2QlBScUJKQ0ZQVDgrVld3WXlFaUlwcG9tTHdUMGFnU1FtVDBiSllITlJBaUlxSUppTWs3RVkwMkN3QklLWGNGT3hBaUlxS0poc2s3RVkwcUthV2g1MDluc0dNaElpS2FhUGh5SEFvYXZxUnBXRUp0TnR2bEFINHBoTWdEWUFwMlFNTWhwUVFBQ0hIRS82L3RrRktXQ1NGV0NDR1diZHk0MFIzc2dJaUlpQWJEa1hlaUkxZW96V1piTFlSNFRBZ3hGK01rY1FlNmsvWnhrTGdEZ0ZFSVVRamduMUxLRHdvTEMwT0RIUkFSRWRGZytKSW1vaU9VeldhN1RnaHhTbTV1TG02ODhVYWtwNmNqSWlJaTJHRk5LTzN0N2Fpc3JNUjk5OTJIa3BLUzQ2U1Vmd1p3VzdEaklpSWlHc2k0R0JxamlXazBwczBZamNhalo4MmE5WmwvV1gxOS9iS3FxcXBmOWV6cUxCYkwzOHhtODJVQVJFTkR3eE0xTlRVM0FaRERyQThhVlZWTEFlUy8rT0tMbURselpyRERtZEIyN3R5SmM4NDVCd0MyMnUzMm5HREhRMFJFTkJDT3ZOT0VZTGZiSXdHMDlTOVBURXk4UGpvNitzenk4bktyMSt1TnlNbkpXZWQwT3NzYkd4dWZIazU5a0dVQndQVHAwNE1keDRTWG1Kam8yMHdOWmh4RVJFUkQ0WngzbXRETVp2T3Y5KzdkKzllT2pvNnFycTZ1c29hR2hpZk5adlBGdzYwUE1pTUFtRXpqWnFyN3VHVTBHbjJiWWNHTWc0aUlhQ2hNM21raVM5VHI5U2x0YlcyZit3cmEyOXUvTmhxTmM0WlpUMFJFUkhSRVlmSk9FNEtxcXEwRkJRVk5HUmtaTHdFd0E0REpaSm9HQUM2WHE4N1h6dXYxMXV0MHVoZ0F1cUhxRCtzRkVCRVJFUTBEazNjYTF6bzZPcjYyMiszaGRyczlkTnUyYlNjWkRJYWN6TXpNRlQzVnZnUmM4enRFUS9mRHFISVk5VVJFUkVSSEZDYnZOTjU1QURnQmVKeE9aOUd1WGJ0dWpZcUsraUVBeGV2MTdnZUFzTEN3T0Y5am5VNFg3L0Y0NmdGb1E5VWYxcXNnSWlJaUdnWW03elNoS0lwaWtGSjJBdEJjTGxlbDErdHRNaGdNMy9QVkc0M0d1VTZuOHdzQUdLcWVpSWlJNkVqRDVKM0d0WmlZbUorRWhZV2xBd2d4R28zZnQxZ3NTK3ZyNjMzTFBIb2JHeHRYSkNVbDNRcGdtbDZ2ejAxSVNMaXFycTd1NFdIV0V4RVJFUjFSdU00N2pXc1JFUkZIcDZhbUxsY1VKY0x0ZHU5cWJHeGNzWHYzN3J0ODlkWFYxYmVrcHFZdXMxcXRGVjZ2dDZtMnRuWnhTMHZMMnVIV0V4RVJFUjFKK0laVkNwclJlTVBxUk9iNytXemN1REhZb1V3S2hZV0ZBSGcvRWhIUmtZM1Rab2lJaUlpSXhna203MFJFUkVSRTR3U1RkeUlpSWlLaWNZTEpPeEVOUzBsSnlRRmxMcGNMTFMwdFk5cHZXVmtacE9RN3M0aUlpQUFtNzBTVDBzNmRPN0Y2OWVvRHlsZXZYbzJ0VzdjR1BPWlh2L3JWQVdWUFB2a2s3cmpqamxHUHo5OUZGMTBFdDlzOXBuMFFFUkdORjF3cWttaU1XYTNXU3pSTjIxaGFXcm81MkxINHhNWEY0WWtubmtCbVppYXlzN01CQU8rOTl4N3V2LzkrUFBmY2M4TSt6d1VYWElCTExya0U5ZlgxTUp2TmZlcTZ1cm93Yjk0OFJFUkU5Q2x2YTJ2clU5Ylcxb1l2di93U09wMXUyUDFxbWdaRjRkZ0RFUkZOUGt6ZWljYVlvaWczS1lxU282cHFoYVpwejJ1YTlsWnBhV2tSZ0tETUJWbXdZRUh2OXYvOTMvOWh6NTQ5bURadEdnREFZRERnaWl1dUFBQWtKeWZqOGNjZkQzaU9rMDgrdVhmYjYvWGk1ei8vZWUveC9pUDZpcUxnbzQ4KzZ0UDJxS09PNmxQbVc2SnhNQ1VsSlpnN2R5NEFZTVdLRmFpc3JNVGl4WXVIUEk2SWlHaWlZZkpPZFBoa0tZcXlXRkdVeGFxcVZra3BYL0I2dmF0S1MwdS9BcUFkcmlEKys5Ly85bTU3dlY0Y2YvenhmY3I2OHlYN1hWMWRXTEJnQWU2NDR3NDBOemNIWEg5KzNyeDVoeFRYUGZmYzA3c3ZoTUQ2OWVzQkFDdFhyc1RjdVhQeDZxdXY0cm5ubnNPamp6NTYwUDBRRVJHTlowemVpWUlqUlFoeGMwaEl5TTJxcXU2UlVyNG9oRmhsdDlzL0ErQVp5NDc5Ujk1ZExoZWtsSDNLQUdEbXpKbTQ3Nzc3QUh5WDdNK2JOMi9RSkQ4UVRkUDZqTkw3QkNwYnNHQkJieHc3ZHV6QXpUZmYzRnRYVmxhR0pVdVc0Tk5QUDhXVFR6NkpqSXlNRWNWQlJFUTBVVEI1cDZDejJXeGVBQkJDU0hSUEpaRTlxNHY0OXYzcjBGUGZ1OTFUMTZlOVg1dUF4L3YzNFR2ZXIvMkE1eDRrcnY3bjZLMlRVcVlMTWVoTE82Y0pJYTREY0oycXFnMVN5cGVFRUc4TTlYTTdXUDRKK09PUFA0NkdoZ2JjZXV1dHd6cDIyN1p0aUltSkdYWmZpcUxnZ3c4KzZOMzNUWnZ4THdzMGJlYWRkOTdCYWFlZDFydC8yV1dYNGFHSEhzSWJiN3h4d054NklpS2l5WVRKT3dXVkx3Y1gzZG10N3o4TWtld09XWDh3NXhpTGN3NzN2SDVDaEJCVElMUWNid0FBSUFCSlJFRlVOVTJMSDRzSE12MUgyRnRhV3REUjBZR3BVNmRpd1lJRnFLdXJnMDZuUTN4OGZHK2JGMTU0QWUrOTl4N3NkanU2dXJxd2RPbFMzSERERFFBQ2o1Nzc4M3E5Q0EwTkhYR01iVzF0ZU91dHQvRDg4OC8zaVh2VnFsVll2WG8xTHJyb29oR2ZrNGlJYUtKZzhrNUJKWVNBM1c3dnY4eElieEx2Mnk0c0xCUUEwTm5aS1Z3dWx3QUFqOGNqUEI2UG1EcDFxZ0FBdDlzdHZGNXZiNTNYNnhXYXBvblkyRmg0dmQ3ZWZRRHdiV3VhSmlJakkrRmZKNlVVWVdGaHZmdWFwZ2twWmUrMndXRG8wOVovVzBvcDlIcDluK04wT3QxcUFJUE44MmlRVXE0RjhJSFg2LzEzYVdscE93Q29xbm9JUDluQWZLUHVYMy85Tlc2NjZTYjg0UTkvd0U5KzhoTUF3THAxNjNENzdiZmpxcXV1d3Rsbm45MGRXRU1EMXF4WmcrT1BQeDRmZnZnaG5ucnFLZXpidHc5eGNYRjQ3NzMzRGpqL3RkZGUyN3Z0Y3JuUTFkWFZad1RkSjFDWnorT1BQNDc1OCtjaklTR2h0MHluMCtHdXUrN0N4UmRmalBUMGRCeDMzSEVIOXdNZ0lpSWE1NWk4MDVISWYrb0tBQVI4T05LbnBxWm1yT001SktxcWRnVW9yZ1d3QnNDLzdYYjdlemhNRDZ3NkhBNDg5OXh6S0MwdFJWWldWbS9pRGdEejU4L0hNY2NjZzJlZmZSYXZ2LzQ2emo3N2JKeDIybWw0NnYremQrZHhjWlgzL3NBL3o1bU5HZllsQ1dITFJnS0J3REFIcmNaYUc2M2RVcXRXMjJwYlRXdGRlcXZkOWFxeFdsTzlWNXYyWjcydFM5VldhMjI5THJXMXNTNVZielh1YTRZdEpJUUFJVUFDSVN4aEFyT2Y4L3orZ01HQkRGc0NUQmcrNzljckw4K3puT2Q4ejNCTXZuTjR6blArOEFjQUdGNTVwcW1wQ1RrNU9SSEgvKzF2Znp1ODdYSzVVRkJRZ0VjZmZYUzRMalJ0Smp6eEQ1ODI4OTU3NytHbGwxN0NYLy82MXlQR1hyWnNHVzY1NVJaY2YvMzF1TzIyMjNEYWFhY2Q1YWRBUkVRMGQzR2haS0xaMHdyZ0FTbmxPcWZUbWVWME9pOXhPcDB2WXBZU2Q3ZmJqZC84NWpmSXpzN0dYLzd5RjlUVzFoN1I1NVZYWHNFVFR6eUJMMy81eS9qM3YvK05ZUERJWjJjLy9QRERTZjFXWU4rK2Zjak96cDUwZkh2MzdzVU5OOXlBRzI2NEFjbkp5Ukg3bkg3NjZiajIybXR4N2JYWFRtazllaUlpb2xqQk8rOUVNKytQVXNvM0tpb3Ezb2xtRURhYkRRODg4QUNBd2Q5a3JGeTVNbUkvZzhFd1l1VVh2OThQcjljTFJWSGc4L253M0hQUDRlNjc3NTd3ZUpXVmxTZ3VMcDUwZkRVMU5kaXdZUVBXclZzSHI5Y0xrOG1FNXVabW1Fd21HSTBmL1ZWMTl0bG5JejA5SFJhTFpkSmpFeEVSeFFvbTcwUXp6T2wwL2pMYU1ZUnJhMnZETDM3eEMvendoeitjVlA5enp6MFhYVjFkV0w5K1BWNS8vWFdVbDVkUHVGUmpNQmdjTjhtWFVrTFROUFQyOWtKUkZBZ2hSanhNKzhnamorRCsrKytIb2lpNDZLS0xqbmliNnNjLy92Rkp4VTVFUkJScm1Md1R6VE0vKzluUDhKT2YvR1RTTDFSNi92bm5SNVFuODdEb2poMDdrSk9UZzZWTGw0Nm9GMExBYXJWQzEzV2NldXFwQ0FhRE9QWFVVNDlJemkrOTlGSmNkTkZGc0Znc01CaEdQODlNUkVRMGYwMXBEVHVpNmFTcXFnUUFwOVBKNnpDQzBPY3ozc082UjBOS09kWGxLNDlLZjM4L0VoSVN4bzBqR0F3ZTFYS1NNeUgwNEN5dlJ5SWlPcDd4Z1ZXaWVXWTJFbmNBNHlidW9UaU9sOFNkaUlob3JtRHlUa1JFUkVRMFJ6QjVKeUlpSWlLYUk1aThFeEVSRVJITkVVemVpWWlJaUlqbUNDYnZSRVJFUkVSekJKTjNJaUlpSXFJNWdzazdFUkVSRWRFY3dlU2RpSWlJaUdpT1lQSk9SRVJFUkRSSE1Ia25JaUlpSXBvam1Md1RIYWVrbERvQWFKb1c3VkJpWHVnekRuM21SRVJFeHlzbTcwVEhLU0ZFTndEMDl2WkdPNVNZNTNLNVFwdUhvaGtIRVJIUlJKaThFeDJucEpUdkFNQ2JiNzRaN1ZCaTNudnZ2UmZhcklobUhFUkVSQk14UmpzQUloclRyUUErYyt1dHQ4YTkvdnJyV0xac0dSSVNFcUlkVTB3WkdCaEFjM016dG03ZENpbWxUMHI1czJqSFJFUkVOQjRSN1FCby9sSlZWUUtBMCtua2RUZ0dWVlcvSktXOFR3aXhNTnF4eExodUtlWDNLaW9xSG85MklFUkVST1BoblhlaTQ1alQ2WHg2NmRLbEx5UW5KMzllVVpSaUFQSFJqaW5HdUFIc1BIanc0SE50YlcyZWFBZERSRVEwRVNidlJNZTU1dVptTDRDbmgvNFFFUkhSUE1ZSFZvbUlpSWlJNWdnbTcwUkVSRVJFY3dTVGR5SWlJaUtpT1lMSk94RVJFUkhSSE1Ia25ZaUlpSWhvam1EeVRrUkVSRVEwUnpCNUp5SWlJaUthSTVpOEV4RVJFUkhORVV6ZWlZaUlpSWptQ0NidlJFUkVSRVJ6QkpQM3NXVUNNSXlxTTQwcUo0NDNnTTFtT3dHQW1NNmdpSWlJaUdqK21oZkp1ODFteTFxMmJObmpZelFMcTlXYW01eWMvQm1FSmVkRlJVV3Z4c2ZIRjRWM1hMRml4VDhTRWhMV0FJRFpiQzYyMiswdEFCYU5kZHpDd3NJUEFGaU8vUXlJaUlpSWlBQmp0QU9ZRFc2M2U3L05ablBZYkxZc3Q5dTlId0FLQ2dyZXMxZ3N5dzBHUTZJUXdnUkExTlhWZmN6dGRuK1ltSmg0bHNWaVdiNWt5WkxIQUtDNXVma1N0OXY5UVc5djd5T1ptWm0zTnpRMGZERTNOL2VYWFYxZER3STRNTVZ3RkFCNnFGQlNVckxmNy9mWGo5SFhKSVF3MU5YVm5Yd1VwMDFFUkVSRU1TYm1rL2ZDd3NMM0ZVV0psMUlHbGk1ZCtoS0drbWVEd1pCUlhWMmRBOEEzYWhkRGRuYjJMVHQzN2l6d2VyMkhTa3BLZHJyZDdnWUE2T25wK2F2WDY2MVBUVTM5b3NWaVdkclkySGorUk1kUFNFZzRwYisvL3hVQXlNek12TTVzTmhlMnRMUmNNdDNuU1VSRVJFU3hMK2FUOTZhbXBtOHRXclRveXRiVzF1K2xwS1NjbTVtWitkTzllL2VlbjUrZi96Nk9UTnl4YU5HaWE5MXVkNVhYNjIxZXRHalJEYjI5dlg4RzBGdFNVdElXNm1NeW1iSURnY0Mra3BLU2hnTUhEdHltYWRwQWJtN3VQV0hEeU1yS3lrUUFXTGh3NGZmNisvdGZXYmh3NFhjWExseDRUVU5EdzJkbS9LU0ppSWlJS0NiRmRQS2VrNVB6bTZTa3BFOEpJZUtMaW9wT2o0dUxXKzN6K2ZZc1c3YnMrYkgyR1JnWWVDY3JLMnVUeldaeldLM1dJby9IczZPNHVQaThtcHFhbkZBZmg4UGhEUzhEUUhkMzk1OEF3R3cyRjYxWXNXSjRmbjE4ZlB5SmVYbDU5eVVsSlgydXJxN3VrMzYvZndjQXJGaXhZb3ZCWUVnM21VeUxmVDVmVTZSWURBWkRvdFZxTFZtMWF0V2IzZDNkRDNSM2R6OXlySjhKRVJFUkVjMWRNWjI4dDdXMS9UQzBuWmVYOS9zZE8zWVVoOG9sSlNVZHhjWEZEUUNnS0lwRjEzVmZYMS9mMzlyYTJxN3orLzJ0ZFhWMVpXdldyR211cTZzckMvV2JqQVVMRmx6VTI5djcxMUQ1d0lFRHQyZGxaVzJ1ckt4Y0JhQTlWTi9ZMkhqT01aOGdFUkVSRWMwck1aMjhoMHRPVHY1aWVGa0lvZFRXMXVZRGdOMXVQMVJUVTVNYmFqT2J6VG1GaFlVZm1reW14WVdGaFIrRzZrTlRaNFFRbHRCMklCQm9yNnVyT3pGMG1MUzB0RzgxTmphZUVOcW5zN1B6VDJscGFkOWV1SERoTnpvN08vL2Y2TGpzZHJ2SDYvVytGeXJiYkxhVDNXNzN1Nkd5eVdSYXVuMzc5cVhIZXY1RVJFUkVOUGZGZlBKZVZGUzBIUUNNUm1ONmFIdkltTXRrK3YzK3RycTZ1aE9HN3J5ZkVMcnpIcG9xRTJuYURBRGs1T1Q4dksrdmIwdG9SWnNoV2xOVDA4V3JWNjkreit2MTduUzVYTTlOejVrUkVSRVIwWHdUODhsN1MwdkxENlNVUGN1WEwvOVhRMFBEbHhNU0VrN3A2ZW5aVWxKU1VqT2R4NG1Qano4ek5UWDFncHFhbWpXajIveCsvODY5ZS9kK2Mvbnk1VS9zM2J2M2E3Mjl2ZjhNdFFXRHdYMjdkdTFhRnlxdldiT21lWFI1T3VNa211L1dyRm1UYXpLWlBpT2w3S2lzck9TWGFTSWltbE5pUFhsUFhMSmt5UU9OalkxbkFvRGY3Ky9Nek15OE9pMHQ3Y3RqUFNRS0FHYXpPYmV3c0xCUzA3VERoWVdGbFFDd1pNbVNQeWNsSlgwYUdKNDIweEhxWDE5Zi84a1ZLMVk4MXRMU2NobUE3a2hqSGpwMDZPbVdscGJ2TDEyNjlDbVR5ZlRUMEJRYWs4bTBxS0NnWUd1b244bGt5Z3d2U3ltRHgvUUowSnlYbEpUMGVaZkw5UjZBbnFFcVpjbVNKUS9zM2J2M3NqSEs0V3labVpsWGRYUjAvQTVBLzFTUG5aQ1FzRTdYOWZwUnYwMmFjeHdPeHdJQXB3RzRWZ2p4TVNubCs1V1ZsV3VqSFJjUkVkRlV4WFR5bnBhV3R0N2xjdjNUNi9VMkN5R01BSHFhbXByVzUrVGsvTjd0ZG04YmE3L2R1M2QvcnIrLy85V3dxZ3dBWGFIQzBMU1p6RkE1UFQxOVEyZG41NjhPSFRxMEJZQU5nRDhoSWFGUVN1a0g0QS8xNitucCtXTXdHT3pRZGQwTElMbWdvR0NMeCtNWk13NEFDQWFEYlFVRkJWdkQ3OGJUL0dLejJVcXpzN052MjdsejUra0FEZ0ZRMHRQVEx3MVAza2VWdy9uTlpuTitmbjcrVXcwTkRlc1I5b0t3eVVoSlNUbFhVWlNVbHBhV2I0M1ZSMVZWR1FnRTlvM1Ziaktac3AxT3A1aktjYWREZVhtNVRVcFpLb1Q0Z1pUeXF3QU1RMDJhcG1rYk1NWFBnb2lJNkhnUTA4bDdUMC9QRTM2L3Y2TzB0TFRUNS9OdEJ3Q3YxN3MzTGk2dXNMMjkvWmVSOWtsTlRmMjZ6V1lyVDB0TDIyQXltZEtNUm1PRzBXaGMwTkxTOHUzRGh3Ky9HV21mOENVY016TXovek1ySzJ1VGxGSTdlUERncnpFcVFYQzVYQzhBd0twVnE5NlVVa2FNVzBwNXhNOGxJeVBqUDdxNnV1NmI3TGxUN09qbzZOaHNzOWxPU2s5UFB6YzdPM3Y0b2VmUzB0S3U4SDZscGFWZDFkWFZpd0JvWWRYQmxwYVc3eFlVRkx5eVlNR0NLdzhlUEhoM3BHTllyZGFQNWVmblB6TldET0cvYVFvSi93SmJVMU96RkVDazN4SVpWVlVOakhseTAyemR1blhHbnA2ZVFrVlJMdFYxL2J0Q0NNdm8vOCtrbEQrdXJxN2VOVnN4RVJFUjBURktURXc4QmNEd25jRGMzTng3dzlyT3lzakkrRTVLU3NwNWlZbUpIN2RZTFBrQUVzUDNuMkFldWhGQUFtTDhpOUYwVUZWVnFxb2ErUnNNalJaKzU5bzQ2bk1iWFQ1Q1dscmFwWGE3dlJkQTZrUUhzbGdzK2ZuNStTOEJTQW8veHZMbHkvOGVIeDlmT3JyLzBMSEh1dDRuakcwYUNGVlY4OHZLeWpZNkhJN0RvZXRxakQ5dllPUm5TVVJFTktmTXl3VHo4T0hEYjRlWFcxdGJyd3hyZS9idzRjUGo3ai9CMG8xQkhNWGM0dW1tcXFxT3diditVa3FwQTVCQ2lPR3lFRUlDME9YZ2Jja1JaU0hFY0gxb3Y3SDZIZTM0US8wZ0JQT29TUXBQZ0tmOG9TVW5KMzlXU3VsZnZIangxZTN0N1RlTzE5Zm44elY0UEo0UHM3S3lmckovLy81TkFKQ1RrM083bE5JOU1EQVE4VUh2a3BLUzVxbkdORjNzZG51WmxQSmRSVkhNNC9XVFV2WUR1QWdqUDBzaUlxSTVaVjRtNy9PQUdFcVNGUUJpZElJY1hoNnJiYng5Smp2R1pNYWg4UzFldlBpbkN4Y3UvRTlGVWVJcUtpcmlocW9WVEcyK2RtcHljdklYR2hvYVByOTgrZktuMjl2YmZ3V2dMMEkvUzBsSlNlUFF0Z0FnMDlQVEx3TUc1NjBIQW9HT2twS1NWZ0R3ZXIxMXUzZnZQak8wWXpTbnpWUlZWVlU0SEk0N3BKVFhIM0d4ajNSSlJVWEYzcG1NaFlpSWFLWXhrNHA5WXVpUFVsNWVMdnI2K3BSZ01DalMwOU1WcjllckJJTkJFUWdFbEtTa0pCRUlCQlJOMDRUVmFsVTBUUk9hcGlsbXMxblJkVjFvbXFaWUxCYWhhWnFpNjdyUWRWMHhtODFDMHpSRlNpbU1ScU1pcFJTYXBpbWhiVjNYRmFQUktIUmRIeTRiREFaRlNpa3crS1hpVFNFRW92RXc0MXpqY0RpOGRYVjFLL1B6OHo4QUJsY3BDZ1FDQjBMdDRlWHd1ZWdBa0ptWmVWTjhmUHpKalkyTlgxaTZkT21qUHArdnFiMjkvYVlJaDRsVFZkVnpGRCtQT0FEZVkyaWZGa05UWWs2TjFDYWxmTDZpb3VJTE14MERFUkhSVE9PZDk5Z25oLzdvMjdaOXRMQk5jM056dE9JWnBxcHF0RU9ZVXp3ZVQydE5UVTFtWW1MaVdZc1hMLzVwZlgxOWFLbERvNnFxZ2RGSis1QkZpeFl0dXJxcHFXazlBTFMzdDI4cUxDejhzTGUzOXlHdjE3dG5WRitqbEZLTE1NYVlScTgwWXpRYU15b3FLdUljRG9jM0dBd09QMUE3MHl2T0xGMjZORTVLK2JJUTR1TVlkVk5pYUxyTXQyYnEyRVJFUkxOcFhpYnZWcXYxNU5XclY3OFRYdGZWMVhWL1Mwdkxmd3dWRGRuWjJiL015TWk0QklEbzd1NStvSzJ0N1hvTXpaV045QUNlcG1tOVZWVlZhVU5GSlRFeDhaU1VsSlR6VzF0YnJ3VXc1clFCaThXeU1qczcrL2JFeE1RekZFV3hIVDU4K0syMnRyYkx2Vjd2bU92UTAveVducDcrZFpmTDlZOUpkQlhMbHkvL2ZWOWYzL09oNXp4OFB0L3VycTZ1UHl4WnN1U1B1M2J0K2hUQ1ZxYXhXcTFwdXE2N3BoS0xsTklYL3JaaGg4TXhmSWQ5clBycFpyZmJWeW1LOG80UUltMW91cGlHajVhRmhKVHl3c3JLeW9NemRYd2lJcUxaTkMrVDl4Q24wNW1JQ0ErWFptWm1YcE9jbkx5K3ZyNitUTk8waE1MQ3dxMXV0N3UrcDZmbndhSDlSdHpaeTgzTnZTZThYRkpTc2crQU5KbE1pMXRiV3pkaW5PUTlPVG41bk1PSEQ3L2ExTlIwT1FCemZuNytINWNzV2ZLWFhidDJuVElkNTBpeEpTMHQ3U3Z4OGZFbk5UYzMvOGRFZmJPeXNtNjMyV3lsMjdkdkgvRXJqbjM3OXQxVVhGenN6TTNOL1ovVzF0YnZoK3BOSnRNYW44L1hQQU5oejRqeTh2SmtYZGYvSklRNFo2aXFEOENYZFYxZkxvVDQzZEF6SDMvbVcxU0ppQ2lXek92a2ZTd1pHUmxYdHJlMzMrVHhlRm9Bb0x1NysvY1pHUmtiUXNuN0tKYTB0TFN2N2Q2OSs3T2hpc2JHeGk5SUtjMmo3KzVIMHRuWmVTZkM3bjYydDdmL3VxQ2c0Q1VNM2ptYzBoUUdpa25KUzVjdXZWY0lZVnE0Y09HVktTa3BGK3pldmZzc0FPUGRJVGZtNWVYOU9pVWw1UnQxZFhXbjRhTTNzNGE0ZCsvZWZmN3ExYXZmVWhRbGVlL2V2ZDhENEVwUFQvK1d5K1Y2NlNoaWpKdTR5L1RKejgrM0pDWW1YaUdsdkZNSVlRQ2dTU21mVlJUbEswNm5Nd0FBRG9majAxTEt6N25kN3F0bU16WWlJcUtaeHVUOVNKbG1zem12djcvLzNWREZ3TURBaHhrWkdWZEc2cHlXbG5adUlCRFk3M2E3UHdqVnVkMXVwOVZxUFhtU3h4dVJvSnZONWtXQlFLQnpkRDNOVDRzV0xmcVdvaWh4Mjdkdkw4bkt5cnJSWXJIa0Z4UVUvRnRLR1pSU0JqQzR3b3N4RUFpMGxaYVdkbnE5M2wwZWorZURwS1NrYytycTZrN3orLzIxa2NiMSsvMjF1M2Z2L3ZTS0ZTdWV5Y3JLdXFHL3YzOXJVbExTbVZWVlZVVlRpVThJWVM0dUxxNk0xRlpVVkxROXZOOVV4aDNyY0tXbHBTY1pqY2JYQVppRzZ2WUhnOEdUcXF1cjI4STdWbFJVZk1WdXQyZnYyclZyL0hWZmlZaUk1cGg1bmJ5cnFucFkwN1MrdzRjUHY5RFUxUFI5QUYwMm0yMHhBUGg4dnM1UVAwM1R1Z3dHUXdvaTNBMVBTMHY3ZGxkWDE4UFRGSkpwMGFKRlArN3U3cjUvbXNhak9lN0FnUVAzQWJnTGdON2MzUHoxc0NZakFETStTbUpERHliN0FNUzN0cmIrTjREdThjWjJ1OTBmMU5UVWxHQnd1b21wdnI1K1BZQWozcVE2SHAvUHQ3dTJ0cll3VkM0dUx0NEZBSDYvZisrT0hUdldqSzQvV2dVRkJZazJtNjFhQ0xFVUdKeHJMNFQ0cnRQcC9PTlkrMVJWVmUwYnE0MklpR2l1bXBmSnU4ZmorZERwZE1ZRDhOdHN0cElsUzVZOHRHTEZpb2NiR3h2UHdrY1B1b1d2bzYzam8rUm9tTlZxelVsTVRGelgwTkR3emVtSUt5OHY3MTRwcGJaLy8vN2JwbU04aWdtK01lcURpTHl1T2dENHB6QithRVdZZ01mamVYZmNuaEhVMXRZV1JDcVBWVDlWeGNYRlpvdkY4Z2NBRnc5VmFRRCtWbEZSOFhYd3QxTkVSRFFQemN2a0hXR0pqOXZ0cnRpM2I5OVBWNnhZc1FXQW9tbGFMd0RFeGNXbGViMWVGd0FZREliMG9XWHZScndZSnlVbDVac3VsK3RsVFBGdVpTVFoyZGwzSkNZbW5sWmJXL3NKakoyd0VjMFhpcXFxbndid3I3QzZkcC9QdDZxMnRqYnFiekFtSWlLS2x2bWF2SStnS0lwRlN1a0ZvUHQ4dm1aTjB3NVpMSllUdkY1dk13QllyZFlUM1c3M2U2UDNTMHRMKzFaYlc5dkdZejErZG5iMmJjbkp5ZXRyYTJ2WEFlaWNxRDlSTENzdExZMDNHbzN0QUJKRGRicXVmNmF5c3ZMbEtJWkZSRVIwWEZDaUhVQTBwS1NrbkJjWEY3Y01nTkZxdFo2VW5aMjl1YXVySzdTU2pOYlQwL053VmxiV1R3RXNOcHZOUlFzV0xMaWlzN1B6N3ZBeEVoSVNUak1ZREdsOWZYM1BIRXNzV1ZsWm01S1RrOC9ac1dQSE9nRHR4eklXMFJ3blZGWDltOUZvN01kUTRpNmwvSVBUNlJSTTNJbUlpQWJOeTlmUzUrVGsvREk5UGYwS1JWRVNBb0hBdnA2ZW5vZjM3OTkvS3o2YVEyeGRzbVRKL2FtcHFlZHJtbmJvd0lFRC85WFoyZm03OERIeTh2TCtLS1VjYUcxdC9kN284U085eEFrWVhCL2VhclhtTEYrKy9KV2hoL3owY2ZwYU1RdXZsSSttMExuUDVKczM1NnVWSzFlK21waVl1RzdVdXd6R2ZmbllOTFFmdGJLeXNwV0tvdFNIeWxMS3RvcUtpaVVZTlZXTmlJaUlpS0pFVlZVNTFwY1hPbnFwcWFrWGxwU1V0QTk5dGdtaCtzek16T3VLaW9wMldxM1dQTFBaWEZSYVd0cVpscFoyNlhTMUh5Mkh3L0ZJNkZwUVZUVllWbGJHRjVRUkVSR05ZVjVPbXlHS1lmSFoyZG0vN096czNEeTZJU01qNDhvREJ3N2M3dkY0V3Z4Ky80N1F5OGVtcTMycXlzdkxiUTZIbzBrSWNURUFTQ2wzOVBUMEpGUldWcjU5dEdNU0VSSEZPaWJ2UkRFa0t5dnJScGZMOVlyTDVScTk3R1BFbDQ5WnJkYlNhV3Fma3RXclZ5K1dVbllMSVpiSlFaZFdWRlFVTnpjM3gvUlVNU0lpb21QRjFXYUlZb1RGWWxtWmtaRnhXWFYxZFluVmFsMGEzamJSeThlT3RSMVRXSFBkNFhBc0FWQ1B3WmRNZWR4dWQvNnVYYnYyVC8yTWlZaUk1aC9lZVNlS0VibTV1Yi9wNk9pNEhaSGZPekRSeThlT3RYMVMxcXhaa3l1RTJDbUVNQU00R0FnRXNwbTRFeEVSVFI2VGQ2SVlrSktTY3JiWmJGN2EyZGw1VjZUMjhKZVBoZXJDWHo1MnJPMlRpYkdrcENUVmJEYlhBckJLS2ZjRmc4RmxOVFUxdlZNL1d5SWlvdm1MMDJhSVlrQmFXdG9sWnJNNXoyNjNId1FBSVlRQkFPeDJlOXVlUFhzdWNMbGMvemZleThjbWVqblpWRjVlTmdhanlXUjZFMENpbExMWDcvY1gxdGJXRGt6alIwQkVSRVJFTTRsTFJjNGNxOVY2OHVpbEluTnpjKzljdlhwMUJZWmVQbFphV25vZ0tTbnBzOVBWUGg2SHczR3BxcXJTNFhCNFY2OWV2V1Q2enBTSWlHaCs0WjEzb25taXRiWDFoaVZMbHR4ZlZsYldvR25hb1k2T2prMHVsK3ZGNldvZmk4UGhXQURnbnFIaTVwMDdkKzZkL3JNaklpS2FIL2htUzRvYXZtRjFmbkE0SFBjS0liNExZSmZUNlZ5TmFYZ2pLeEVSMFh6RkIxYUphTWFVbHBibUFQZ09BRWdwTHdJVGR5SWlvbVBDYVRORU5HT01SdU9uTVhpVG9MR2lvdUxEYU1kRFJFUTAxL0hPT3hITkdDbmxEd0JBMS9VSG94MExFUkZSTEdEeVRrUXpvcnk4UEVNSVlRY1E2T3JxK3A5b3gwTkVSQlFMbUx3VDBZd0lCb1BMTWZoUWZFdGJXNXNuMnZFUUVSSEZBaWJ2UkRRakZFWEpBd0FwNVlGb3gwSkVSQlFybUx3VDBZd1FRaXdmMnR3WjFVQ0lpSWhpQ0pOM0lwb1JVc3Jjb2MzZFVRMkVpSWdvaGpCNUo2SVpJWVN3RFcyNm9ob0lFUkZSRE9HYkxTbHErSWJWU1RFNEhJNnZDeUV1bDFJNmhCQUowUTRveGdXa2xHMVN5bjlJS2Urb3FxcmFGKzJBaUlpSXd2SE9PODFaSzFldWZIWG9DOEJ3UW11eFdGWXVYNzc4S2J2ZDN1TndPTHo1K2ZuL2pvdUxXeDYybXlFN08vc091OTNlWTdmYmUzTnljalpqNUpmWWlkcG5rOEhoY1B4RkNQRUlnRTh3Y1o4VkppSEVNa1ZSZnF3b1NyWEQ0U2lhcVFQRjJMVktSRVJFc1U1VlZSbTYrejVWcWFtcEY1YVVsTFNQVHQ0WExseDR6WUlGQzY0Q2tBcGdVWDUrL3ZNRkJRVnZoOW96TXpPdkt5b3EybW0xV3ZQTVpuTlJhV2xwWjFwYTJxV1RiWjlOWldWbFgxRlZWWjV6empueXd3OC9sSDE5ZlpKbWx0L3ZseTB0TGZKWHYvcVZITG8rdDJHR0V1Sll1bGFKaUlob0hqaUc1RDErelpvMUxZc1dMZnJSNk9RZGdHRkV4L2o0TTFWVjFVUDFhOWFzMlp1ZW5yNGgxSjZkbmYzZnExYXRlaTFVbnFoOU5xbXErb3FxcXZMZGQ5K05kazQ3TDUxLy92bFNWVlZaV2xxNlpvWit4REZ6clJJUjBlemh0Qm1hYzdLeXNtNTB1Vnl2dUZ5dWR5TTBhK0VGczltOEtCQUlkQTdWWjVyTjVyeisvdjdoL1FZR0JqNjBXcTJsUThXSjJtZmJDUUN3ZXZYcUtCMStmc3ZKeVFFQUtJcXlZb1lPRVV2WEtoRVJ6UkltN3pTbldDeVdsUmtaR1plMXRMUmNQNG51cGtXTEZ2MjR1N3Y3ZmdDdzJXeUxBY0RuODNXR09taWExbVV3R0ZJQUdDWnFuOVlUbVp4RUFFaEtTb3JDb2NsbUcxd3NKMnpWbkprMDE2OVZJaUthSlV6ZWFVN0p6YzM5VFVkSHgrMEFPaWJxbTVlWGQ2K1VVdHUvZi85dFExV2hwRVlQNjZZRGtFTi9KbW9ubWhHOFZvbUlhTEtZdk5PY2taS1NjcmJaYkY3YTJkbDUxMFI5czdPejcwaE1URHh0MTY1ZFh3VGdBd0JOMDNvQklDNHVMaTNVejJBd3BBZUR3UzRBK2tUdDAzdzZSQUI0clJJUjBkUXdlYWM1SXkwdDdSS3oyWnhudDlzUDJ1MzJRd1VGQlM4RGdOMXViMHRLU3Zwc3FGOTJkdlp0eWNuSjYydHJhOWNCR0o1VzRQUDVtalZOTzJTeFdFNEkxVm10MWhQZGJ2ZDdrMmtubW02OFZvbUlhS3FNMFE2QWFMS2FtcHErRkY2MldxMG5yMTY5K3AycXFxb2NBUDBBa0pXVnRTazVPZm1jSFR0MnJBTndZTlFRV2s5UHo4TlpXVmsvN2V2cmU4dHNOcWN1V0xEZ2l1Ym01ZzJUYkNlYU5yeFdpWWpvYURCNXA1aVNtWmw1TXdDb3FqcGlUcnpUNmJRQzhMYTJ0dDZ3Wk1tUys4dkt5aG8wVFR2VTBkR3h5ZVZ5dlJqcU4xRTcwWFRodFVwRVJFZURiK09qcUFtdDhlNTBPbmtkUmhENmZMWnQyeGJ0VU9hbEcyNjRBUysrK0NLa2xGK3ZxS2g0TE5yeEVCRVJBWnp6VGtSRVJFUTBaekI1SnlJaUlpS2FJNWk4RXhFUkVSSE5FVXplaVlpSWlJam1DQ2J2UkhUYzI3RmpCNlRraTBPSmlJaVl2QlBOVTQ4Ly9qZ0FRRXFKL2Z2M0F3QSsrT0FEN051M2I3aFBmWDA5QW9IQWNQbkVFMDg4WWh5LzM0L3k4dklaamZYaWl5OGVFUWNSRWRGOHhlU2RhSWFWbFpWOXM3UzBkRTIwNHhqdGdRY2VBQUFjUEhnUTMvbk9kN0Jueng1MGRuWU8xN2UxdGVIU1N5OUZWVlhWRWZ0dTJyUUo3Nzc3N2hIMVBwOFAzLy8rOStIMyt3RjhsTmgvOHBPZkhQRm5kRjE1ZVRrMFRadFMvTHF1VC9XVWlZaUk1ankrcElsb2hpbUtjcjJpS0lXcXFqYm91djRYWGRmL1dWMWRYUUhndUpnSHNuRGhRbHgxMVZWNDY2MjNjUDc1NStQZ3dZUHcrLzI0N3JycmNOWlpaK0dFRTA0NFlwKzFhOWZpbGx0dXdWTlBQUVdqOGFPL1JyWnMyUUtEd1FDejJUeGNweWdLWG52dHRlR3lwbW40Mk1jK05xSnVNbmZ1cTZxcWh1LzhQL3p3dzJodWJzYW1UWnVPNXBTSmlJam1MQ2J2UkxNblgxR1VUWXFpYkZKVnRVVksrYWltYVZ1cXE2cy9BREJydDVFZmVlUVJQUGJZWXpoOCtEQSsvL25QbzdPekV6azVPUUNBdi83MXJ3Q0F2LzN0YnhnWUdJREw1Y0piYjcwRmk4VUN2OThQWGRkeHpqbm5ZTXVXTGZqSFAvNkIzLzN1ZC9qKzk3OFBZUEN1K3lPUFBJSzc3Nzc3cUdONzl0bG44WXRmL0dLNExJVEFHMis4QVFCNDRva25jT0tKSitLcHA1N0NuLy84Wjl4Nzc3MUhmUndpSXFLNWlzazdIUTlFK0oveThuTGg5WHJGd01DQUVnd0d4YUpGaTBRZ0VCQ2Fwb2xnTUNnMFRSUEp5Y2xDMHpTaGFab0lCQUtLcnVzaVBqNWVhSm9tZEYwWFVrb1JGeGNuZEYwWHVxNExUZE1VQURDWlRJcVVjcmlQMld3VzRXVmQxeFVBTUJxTlNxaE9TaWxNSnRQd3RwUlNHSTFHb2V1NkVsNEhRQmdNaHVGdEthVXdHQXdDZ0RYQ09lY0pJVFlhamNhTnFxcTJTeWtmQTFCMStQRGhmelEwTkxobThzUGVzR0VETm16WWdEUE9PQU9UeWF4TEFBQWdBRWxFUVZRdnZQQUN6ampqREd6WnNtWE0vbWVjY1FhZWVlWVpBSU56M2tOOU4yN2NDSi9QTjl4UFVSUnMzTGdSUzVjdUhiRy9ydXM0NDR3eklvNDcybGxubllXenpqb0xBTkRVMUlTTkd6Y090KzNZc1FPMzNYWWIzbjc3YmZ6Kzk3L0g4dVhMSjMvU3h5RDA4OFRnTkVNQlFCUVhGd3VmenllQ3dhQ1l6RFU2ZEEySzBkZXBwbWxLNkRvTlhZY1dpMlZFT2RKMU92cTZETlViamNZUjEyVG9XaDFkaHpHdTFmQ3lsRklvaXFLRWw0ZXVaeUdsRk1GZ3NLMm1wcVptVm40SVJFUTBqTWs3UloycXFpUHVPa3NwWWJGWVlMRlloc3RHb3hGR28zRkVuYUlvVUJRRkpwTnBlTi93S1J4U1NnZ2hZREFZWURBWWh1dUZFQmpNU1RDOGdrbW9ITjR2ZkR1MG54Qml4TmloOHVoK1U3UllDUEVUQUVoS1N1cDJPQnlQQ1NHZW51b2dSOFBsY3VIdXUrL0c1ei8vK1JGVFhVTDhmai8rOUtjL2phaVRVdUtyWC8wcTJ0dmJSOVNmZnZycHc5dHZ2dm5tOExhaUtIamxsVmVHeTZGcE0rRjFrYWJOUFAvODgvajBwejg5WEw3a2trdncyOS8rRms4Ly9UUXlNakttY0piSFJsR1VSMVZWZlhSMGZlaGFCQ2ErUmtjTHYwNkJrZGRhK0xVMTFuVWFMblNOaDVkSFg0T1R2VlpENWJIcXc4c21rOG03ZHUzYXRIZmVlY2R6eE1CRVJEUmptTHpUOFNBSVFNckJERVVLSVhRTVZ1aERaWW5CK2VIRGZTTFU2d0F3dEcvNFdCUHRGenFlakxUZkJHUHBrK2tuaERnUmdHMlNuNFZCQ0xGSTEvWDBTSW5hZE5pN2R5LysrYzkvb3ErdkQ1ZGRkaGx1dXVrbXVOMXV2UERDQzlCMUhSZGVlQ0dlZlBKSkFNQW5QL2xKNU9ibW9xZW5CN1cxdFpCUzR2TExMeCtlWGdNTUp2aHIxNjRka2JDSGFKbzI0c3ZWWlBYMzkrT2YvL3duL3ZLWHZ3elhuWFhXV2RpeVpRdGVlT0VGWEh6eHhVZHg1a2N0ZEoyTStiT2VxQTZUdks0bmM3MkcxUTJQTjlteEpocHY2RXVDUGxFY0FENEhJSzZucDRmL2hoQVJ6VEwreFV0UjUzUTZwNTdkelNHcXF1NEVVRGhPbDI0cDVZc0FucWlvcUhnQlFHQm92eG1KNTVsbm5vSFA1ME55Y3ZKd2toN1MyOXVMbEpTVUVYVWVqd2NYWFhRUlZGV0ZFQUsvL2UxdkozMHNuODhIdjk4LzRnNTZTS1M2a1B2dXV3L3IxcTNEZ2dVTGh1c01CZ051dmZWV2JOaXdBY3VXTGNPcHA1NDY2VGlPaFpUeUd4VVZGWS9OeXNIbUNGVlZYUUFTb3gwSEVkRjh4T1NkS0RvNkFQd0x3T05PcC9ObHpPSURxNkVIVEo5Ly92a2oybXBxYXVCME9rZlVXYTNXNGI0dnZ2Z2liRFliMXE1ZGU4Uys0WFVwS1NsNDRZVVg0SEs1VUZCUWdFY2YvV2pXU1dqYXpNc3Z2enhjRno1dDVyMzMzc05MTDcwMDR1NSt5TEpseTNETExiZmcrdXV2eDIyMzNZYlRUanR0c3FkTlJFUVVFNWk4RTgyZVZnQXZTQ24vdDZLaTRuVWNKMHRGQW9NUHNRTEFXMis5aGFTa3BCSDEvLzczdjFGVVZJVEZpeGNQMTcvenpqdkQyNkZwTStGMUlmdjI3VU4yZHZhazQ5aTdkeTl1dU9FRzNIVFRUVWhPVG83WTUvVFRUOGUxMTE2TGE2KzlGbGRkZGRWc1Q2RWhJaUtLS2lidlJEUHZqMUxLTnlvcUtvN01ibzhUbDF4eUNYNzk2MTlqNWNxVjJMcDFLendlRDZ4V0s3Nzk3Vy9qRzkvNEJxNisrdW9SeWZ0a1ZWWldvcmk0ZU5MOWEycHFzR0hEQnF4YnR3NWVyeGNta3duTnpjMHdtVXdqSHZJOCsreXprWjZlUHVLaFVTSWlvdm1BeVR2UkRITTZuYitNZGd6aDl1M2JCNnZWQ29QQmdFQWdnTmRlZXcwUFBmUVFjbk56OGVNZi94Z3RMUzM0NGhlL0NKUEpoRUFnZ0pVclY2S2dvQUM5dmIwUlY2UVpTekFZeEhQUFBUZm11dTlTU21pYWh0N2VYaWlLQWlIRThES1J3T0I2OVBmZmZ6OFVSY0ZGRjExMHhFb3JILy80eDQvdUF5QWlJcHJEbUx3VHpUUFYxZFc0NmFhYmNPNjU1Nktqb3dNLy8vblA4YzF2ZmhQZi92YTNJWVRBTmRkY2cydXV1V2JFUHV2WHIwZHZieS9PT2VlY0k4WXpHbzI0OXRwcmo2amZzV01IY25KeWpsajNYUWdCcTlVS1hkZHg2cW1uSWhnTTR0UlRUejBpT2IvMDBrdHgwVVVYd1dLeEhMRnNKeEVSMFh3MTVRV3BpYWFMcXFvU0FKeE9KNi9EQ0VLZno3WnQyMmIwT0tFcE1qT2h2NzhmQ1FrSlk3WkxLUkVNQm85cU9jbVpkc01OTitERkYxK0VsUExyWEcxbXBOQnFNd01EQTBtN2R1MDZITzE0aUlqbWs1bFpTSnFJNW95WlN0d0JqSnU0QThNdis1bXg0eE1SRWNVYUp1OUVSRVJFUkhNRWszY2lJaUlpb2ptQ3lUc1JFUkVSMFJ6QjVKMklpSWlJYUk1ZzhrNUVSRVJFTkVjd2VTY2lJaUlpbWlPWXZCTVJFUkVSelJGTTNvbUlhRmJsNXViK3VyUzB0TlBoY0FRS0N3dTNXYTNXa3lQMVc3bHk1YXRETHl1TCtNS0FpZHFKaUdJUmszZWk0MWNBQVB4K2Y3VGptSmVDd1NBQVFFb1pqSElvTWNmbGNyMWRYVjFkVUZGUnNjRGo4VlRrNStmL0hhUGUrSjJhbW5waFhGeGM0VmhqVE5ST1JCU3JtTHdUSGFla2xIc0JZTisrZmRFT1pWN3E3dTRHQUFnaE9xTWNTc3pwNit0N0NrQXZnRVBkM2QyUEdvM0dESXo4OXlnK096djdsNTJkblp2SEdHS2lkaUtpbU1Ya25lajQ5VGdBUFByb281QlNSanVXZWFXK3ZoNDdkdXdBQUpmZjc5OFc3WGhpbExCYXJYbUxGaTM2NGNHREIrOEZvSVVhc3JLeWJuUzVYSys0WEs1M0krMDRVVHNSVVN3elJqc0FJb3JNNy9mZll6YWJyM2o2NmFjWHZ2LysrOGpQejBkU1VsSzB3NHBwZ1VBQUhSMGQyTDU5ZTJqYXpFOXJhMnY3b3gxWHJJbVBqeit6b0tEZ1pRQnd1VnpQdHJXMVhSOXFzMWdzS3pNeU1pNnJycTR1c1ZxdFMwZnZPMUg3REJNT2g2TVV3UFVBUGl1RVNKM2w0ODhyVWtxL0VHS25ydXQzNnJyK1ZIVjE5VUMwWXlJNkhqQjVKenBPMWRiV2RwU1ZsWjBxaFBqenZuMzdUdUwwbWRranBleFJGT1dXYmR1MjNSM3RXR0xSd01EQS96bWRUb1BaYkM1Y3RtelpINWN1WGZwZ2MzUHpOd0FnTnpmM054MGRIYmNENkFDd2RQUytFN1hQSkZWVmJ3Wnc4MndlY3o0VFFwZ0IyQlZGZVZnSThWL0Z4Y1gyMnRyYW5xbU9rNXViKyt2VTFOU0xEQVpEcXNmanFkNjdkKzlWSG8vbmlOL2FyRnk1OHRYRXhNUjFUcWN6RWNBUlg5b25haWVhTFV6ZWlZNWpsWldWdXdHY3JLcHF2cFN5VEFqQlZUVm1WbEJLMmVyMys5K3ByYTNsazhJelMvZjcvVHZhMjl0L3ZtTEZpbjgwTnpkZm5KS1NjcGJaYkY3YTJkbDVWNlFkVWxKU3poNnZmU1k1SEk0ekFkeHNzOWx3OWRWWDQrTWYvemdXTEZndzIySE1LMTZ2RncwTkRianp6anRSV1ZtWlk3RlkvaGZBNTZZNmpzdmxlcnUxdGZWV0FITEpraVgvTHo4Ly8rODFOVFhaQUlibkkvSUJhWnBMbUx3VHpRRk9wN01CUUVPMDR5Q2FBVkpLR1FDZ3A2V2xYV0kybS9Qc2R2dEJBQkJDR0FEQWJyZTM3ZG16NTRLSjJsMHUxNHN6RmFRUTRrb0F1UG5tbTNIbW1XZk8xR0VvVEZ4Y0hOYXNXWU1ISDN3UTY5ZXZ4NEVEQno1YldscTZyTHE2ZXM5VXhobDZRQm9BME4zZC9XaGFXdG9HREQ3ekYzck9ZdmdCNk96czdEc2pEREZSTzlHc1l2Sk9SRVN6eG13MkY4WEh4NWYxOXZZK2JiVmFGeXhldlBpbW5wNmVKd0dncWFucFMrRjlyVmJyeWF0WHIzNm5xcW9xQjBELzZPUjhkUHRNeGkybFhDZUVRRmxaMlV3ZWhzYXdmUGx5SERod0FFS0lZZ0JUU3Q2SENLdlZtanZSQTlMWjJkbEg3RGhSTzlGczQyb3pSRVEwYXhSRkdWaTBhTkUxRG9lamI5V3FWWlVlajZlbXBhWGxlOUdPYXlLaGgxTXpNaktpSGNxOEZIcFlYMUdVeEtudUd4OGZmNmFxcXZycTFhdjNDaUVNa1I2UWJtbHB1VDdTdmhPMUUwVUQ3N3dURWRHczhYcTllK3ZxNnRUSjlQVjRQTzg2blU1eHRPMUV3Tng5UUpwb0xMenpUa1JFUkxGdStBSHAxTlRVcndCUUpub0FPcG9QU0JPTmgzZmVpWWlJYUw2WUV3OUlFNDJIeVRzUkVSSEZwTG42Z0RUUmVKaThFeEVSVVV3S1BTQzlkT25TaDNWZDcrL3Q3ZjFyUzB2TFQ2SWRGOUd4WVBKT1JFUkVNWWtQU0ZNczRnT3JSRVJFUkVSekJKTjNJaUlpSXFJNWdzazdFUkVSRWRFY3dlU2RpSWlJaUdaYWZHaWpzTEN3RWtENlZIWk9TRWhZWjdQWnNxWTlxam1JRDZ3U0VSRVJ6VjF4cXFwNk5FM3JtNmlqd1dCSWRqcWRxUUFPamJXZndXQklEcThiMnNjRUlLaXFxcHhNUU8zdDdmL2QzdDUrWTZoc3RWcnpWcTVjK1VGMWRYVVdBTTFtczlrQm1DWjVmZ0NBbEpTVWN4VkZTV2xwYWZuV1ZQYUxSVXplaVlpSWprTStudzl2dnZrbVB2V3BUMDE2bjBBZ2dMNitQbVJrWkJ6UjF0SFJnYTFidCtMQ0N5OGNVVjliV3d0TjAxQmFXbnJFUHQvOTduZnh1OS85YnVyQjA2eXJxcXJLQk9BZHI4L281RnRLcVZWVlZhV0VWUmxWVlEyRTE0WHZNNVRFaDB0V1ZiVXJRcjBlWGtoTFMvdk9vVU9IdGdEUUpqb1BxOVg2c2Z6OC9HZkdhaThwS2VrWVhWZFRVNU01MGJpeGhNazdFUkhORzJWbFplc01Cb1B3ZXIxdjFkYlcrcU1kejNnT0h6Nk0rKysvSDA2bkUxZGZmVFZPUFBGRW1NM21pSDM5ZmovZWYvOTlPSjFPYk5xMENiLzR4UzlndDl0SDlFbE9Uc2JqanorT2M4NDVCMWFyZGJqZWFEUmk0OGFOV0w5K1BhNjQ0Z284K09DRHVQenl5d0VBNzcvLy9zeWQ0RHhVVmxiMlRVM1RuRFUxTmRzQlRPb3U5bkVtT0txc2pWRWZMalVqSStNcVJWRVMwdFBUdngycWREZ2NiYU03N3QyNzkrczlQVDFQaHBKeGk4V1NuNXViZTI5RFE4T1hBYmlHdWhtWEwxLys1SUVEQnpZTkRBeFVIOE81ekZsTTNvbUlhRDc1Z1pUeVN4YUx4YStxNm91YXB0M1QzZDM5ZWx0Ym15ZmFnWTJXa1pHQlAvemhEL2pSajM2RSt2cDZBTUJycjcwV01ZRXZMeThIQUp4MDBrbjQyYzkraHV1dnZ4NVBQUEVFVGovOWRDUW5KNC9vKzRVdmZBSEE0SmVEdi83MXJ5Z29LTUJERHoyRUo1OThFZ0R3d0FNUERDZnZBT0IydTFGVlZRV24wNG1MTDc0WVNVbEpNM0srODRHaUtEY3FpcEt2cXVwdVhkY2ZOUmdNLzl5MmJWc0ZwakdSVjFWVkJnS0JmYUd5eVdUS0htdDllaUdFb2JTMHRHdDBmYVM2bzVXWGwzZmI0Y09IWDJocWF2cGFlSXdWRlJVNUFJNjRpeDdPNS9NMWVEeWVEN095c242eWYvLytUUUNRazVOenU1VFNQVEF3VUROZE1jNDFUTjZKaUdnK01nUDRvc0ZnK09MQ2hRdURDeFlzZURVWURONmo2L3EvYTJ0cis2TWRIQUQwOXZZaUtTa0pEejMwRUFCZzdkcTFVSlRJNjB5c1hic1dRZ2hJS2JGMjdWcjgvZTkvSDc2Ny9zb3JyMFRjNTd6enpvT21hWGoyMldleGZ2MTZYSG5sbGNOdC8vclh2MUJSVVFFQXVQRENDMUZXVm9aWFgzMFZYL3ZhMXlLT1JWTzJVbEdVVFZMS1RhcXE3Z1h3aEs3cld5b3JLOS9ESkthV2pFZEtxZFhVMU9TRXlnNkhZOHk3NGxKS3JicTZPbnlPbFZGVjFVQjRYV2phekhqejNTTzFkWFIwL0x5L3YvLzkxTlRVQyt2cjYwdW1lQnFXa3BLU3hxRnRBVUNtcDZkZkJneCtHUWtFQWgwbEpTV3RBT0QxZXV0Mjc5NTk1aFRIbjlPWXZCTVIwWHhuRkVKODJtUXlmUnFBcHFycTI1cW0zVzAwR2wvY3RtM2JoQThCenBTWFhub0pXN1pzd2MwMzM0eUNnZ0xjZmZmZFdMdDI3Ukg5M25yckxkeDk5OTBBZ0N1dXVBS25uMzc2Y0pKOTY2MjNqam4rOTcvL2ZTUWtKT0Q1NTUvSE04ODhnK3V1dXc0LytNRVBvT3M2dG0zYkJsVlY4ZFJUVCtHWlp3YW5IMy9xVTUrQ3hXS1pnVE9kOTVZQXVGWlJsR3NkRHNjQkljVGp1cTcvSXhBSXZEM0RVN3NNVXNwSmp6L0czZnNVVlZWN3g3cXpiemFiaS9mdTNYdUp4K001WW9yTUJNUjR2ekdZNzVpOEV4SFJWQmtCd0dhei9VMVYxZU42M25nRTVSTzBHd0I4d21Bd2ZFSktLUjBPeHdlNnJ0OHRwWVFRczV0SFhIREJCVml3WUFFZWVPQUIzSEhISFFBK210dHVNQmdBREU2WGtmS2ptNTQzM25namZ2akRINkszdHhkWFhua2xObS9lak0yYk53KzM5L2YzSXlFaFliaThjZU5HM0gzMzNiampqanZnOFhqdzVKTlBZdDI2ZGZqcFQzODZQRjZJeitjN0hwTDNSMVZWL1RNQVhVb3BoUkE2QUNtbDFFUGJZN1hKd1E5S0J5Q0h5cEcyUS92cm9lM3dmVVAvRlVMSThQMUhIWE40TzhJeEY0OTNIUWtoRmdING9hSW9QelNiellkVVZYMFN3Tk05UFQxYm01dWJ4MzBZOVNoWUZVV0ppL1FBYUtTNm8rSDMrMnY5Zm45SHBMdi9rZWE4VjFSVWhQSlNvNVR5bUg0REVjdVl2Qk1SMFpSSUtlT0VFQkJDZkRyYXNjd3dBZUJqaXFMOElsb0JuSEhHR1RqampETkcxSTJYL09YbDVlSGhoeCtHcGczbVBhKzk5dHFJOXJWcjF4NVJCd0QvK1ovL09lYVl3V0FRTHBjTFFnZ1lqY2RGMnFBQU1JUi9EcU0vazBodGsra1RxUnorNVdnNmp6a1JJWVFCd0VJQUdVbEpTWWFwN0ZkU1V0SVdYbzdVejJLeHBMcmQ3b3E2dXJyd0w3UkdWVlVENGF1M1RIWjV5SEYwaHlYbHcyT09OK2ZkYXJXbTZicnVpdFJHVE42SmlHanEvQUFzVXNyZEdIK1ZpZU9PRUNJSFFPSUUzU1FBbDY3cnIvcDh2aXQzN3R6WlBnMEp6RkhwN2UzRjlkZGZqL3Z1dXc5K3Z4OEdnMkhNZWU4aG1xWWhNWEh3RlBmdjM0OEhIM3dRTjkxMDA3ajcvT1kzdjhHeVpjdHc5dGxuSDlIMjhNTVA0Lzc3NzhlWHZ2U2xveitSNmZNTnA5UDVHQWEvV0lsMTY5WXBCdzhlVkFZR0JwUmdNQ2pTMHRJVVRkT0V6K2RUZEYwWDhmSHhTaUFRVUhSZEYzRnhjWXFtYVVwY1hKd0lCb09LcG1tS3hXSVJtcVlwdXE0TFhkY1ZvOUdvU0NtSHQ4ZW9GN3F1SytIYlVrckZZREFJS2FVeVZCYWhzakw0QXhPNnJpdUtvdndld0pndkdwSlM5Z0I0V1ZHVXFtQXcrRWhWVmRXK3NmcU9wYk96ODVkdGJXM1hoY281T1RtYkkvV3pXQ3pML1g3L25xbU9QeHRNSnRNYW44L1hITzA0amxkTTNvbUlhRXFFRUg0QUZyZmJYYjVyMTY3RDBZNW5Lc3JLeXY2dUtNb1JXZWpROUlabUtlWHZEUWJENzdkdDJ6WnRxMjBjaTNmZmZSZWhLVHNIRGh5SXVINDdNTGdpREFEWWJEYjg2VTkvUW1KaUlpNjc3REkwTlRVaE56ZDN1Si9mNzhjblAvbko0WExvTHZ6V3JWdFJWRlFVY2V6TExyc01sMTEyR2ZidTNZdGJicmtGUC92Wno2YnI5STZGQkNDM2J0MDZZajN4dHJhcFRxMmVYYXFxdWlOVWQwZ3BYNVpTUGw1Wldma1NqdkVMY1hqaUhxa2NFaDhmZjZyYjdUN2F0VUFOQURTTHhiSklTaGs0eWpIR2xKNmUvaTJYeS9YU2RJOGJLNWk4RXhIUnZETTBGVUlYUXV6V2RmMTNCb1BoNFdnK25EcVdOOTU0QTUvNHhDY0FBSysvL25yRUZ5a0JRRTFORFI1OTlGSDg5cmUveFR2dnZJT2JiNzRaQVBEeXl5K1BTTjdOWnZNUjAyYmEydHF3Zi8vK2lBL0RobXR2YjhmdTNidVA1WFRvSTYwQS9xWHIrdjlXVmxhK2psRXZOVG9hSlNVbHpWUG9ia3BQVDcrNHZyNytjMk8wQ3dCR204MjJZQ2kyRWZHVmxKVHNNeGdNOFVLSU9KZkw5ZUpZQjhuTXpMd3BNelB6aUM4UHVxNFBsSldWTlVUYXA2bXA2Y3RKU1VsblZsVlZSZjQyU1V6ZWlXSlZhbXJxMTN0N2UvOTNLdnNVRnhjMzFOYlc1Z09BMld3dXRGcXRlWXFpTERDYnpRdU1SbU9PMld6TzhmdjliZnYyN2J0bVpxSW1tbkg3cFpRMVVzcTdkRjMvMytycTZvRm9CelFXdjkrUE45NTRBMWRjY1FVYUdocnc0SU1QNHA1NzdoblJSd2dCbjgrSDF0WldaR1ptb3JXMUZUMDlQU2dxS3NMMjdkdXhjK2RPSERod0FIdjI3TUZYdi9yVkVmdnF1bzVnTUloLy9ldGZjRGdjd3creVdxMVc3TnUzRDluWjJkaTJiZHR3LzNmZmZSZUZoWVV6ZitJeFRFcjVCd0N2VjFSVXZJdnBXOXRkNitycStsTkxTOHZsQU1hOUM1NlhsL2N3QUwvVmFqM0I2L1UyK3YzK3V0RWg2cm8rQU1EZ2NEajZoUkFtbDh2MUhFWWw3elUxTmZhNHVMZzRSVkVDYnJkNy8xakg2K2pvdUxXam8yUHNKWThpczlYWDE2L0hCR3ZBejJkTTNvbGlWRjVlM3IyaDVOMXV0eDhLQm9Nai9pSTBtODM1b3g4aUNwZVRrM05yU2tyS2x6Vk5PNndvaXUzUW9VTlB1ZDN1Nm9HQmdiZkR1aW1KaVltbnBLU2tuTi9hMm5vdEl2ekRFUjhmWDdwNDhlSTdFeElTMWtvcGZjM056WmYzOWZVOU5WM25TVFFWbFpXVjM0dDJESlBsZERxUmxwYUdoUXNYNHJ6enpzTlZWMTExeE5TV0UwODhFYWVmZmpxc1ZpdnV1T01PdlB6eXkxaTdkaTM2Ky92eGd4LzhBTGZmZmp0VVZjVVRUenlCelpzM1F3aUJVMDQ1WlRoeC85R1Bmb1EzM25nRG4vbk1aNGJIdk9paWkzREJCUmVNT0k2dTY4akl5TUNkZDk0NUsrY2VxeW9xS2lMT1B6OUdnWmFXbG05TnBtT29uOGZqZWFlaG9lRzhDRjIweXNyS0JBQ29xS2lJQTJEQzRETXVveDN3ZXFkNzhadGhiby9IOCs1TURVNUV4MEJWVlJtdGg4RG1BN3ZkZmlqU2RrajRHL1R5OC9OZkxDb3EydTV3T0h4RlJVWGJpNHFLdGdOSUJSQVBBR1ZsWlJGZldsTlNVdEplVWxLeWYram5HRGU2M1dLeHJMRGI3VDFEdnpaTnRGcXQyUmFMSmYvWXoyNW1sSmVYSjl2dGRvZkQ0VGd0MnJFY3oxUlZkYW1xS2dzS0NpWjY4RE5taFA2K21tMHVsMHRLS1dWM2QvZWsrZzhNRE1qMjluWXBwWlIxZFhVUisyaWFKalZORzdGUFgxL2ZNVVk2c3padTNDaFZWWlVPaDROdmlhSjVqM2ZlaVdKTWFIMWVnOEdRVkZKUzByRm56NTZ2QVVCeGNmR0lYNDhhRElhVTBIWkRROE5uaC9vMDdOaXhZODBFaDRnRDRBV0F4c2JHTDBncHphdFhyMzRuVXNmczdPei9PblRvMEhNZEhSMmJBY0RqOFJ3UER6Y2FTa3BLbGhpTnh1VkNpQlVBQ2dHVUFQaWtsTkpvTUJpNkFEQjVwK05DYU5XWXRMUzBTZlczMld5dzJXd0FnSUtDZ29oOVJxOVdFK3BQUkhNRGszZWlHQk5hbjlkdXR4OEtiZnQ4dnZxNnVycVBoZmNyTEN4MGhyWlRVbExPeWNySyttK3oyWnc3ZE5jZG5aMmRkOXRzdG5LajBaaXVLSXExdUxoNHR4REM3UGY3VytycjZ6OEJBRzYzMjJtMVdrOGVJeFJqVWxMU09RME5EV2ZOeUlsT1FsbFoyVXBGVVJ4U3lsVUFpb1VRYXdBVVlQQlh3WkYwYTVxMnJxcXFhdWZzUlVsRVJEUjVUTjZKWXBqRllsbmg4L2s2RFFaRDB1Zzc3d0N3YXRXcWQrcnI2OWNlT25Sb3k2RkRoN2FFMzNsUFRFejhoTWZqMlEzZ1lGSlMwbWRxYTJ0WFl3cExtRmtzbHVXS29sZ3RGa3Z1a2lWTEdzeG1jODdodzRkZjM3ZHYzeVVlajJmS2F4Y2ZEVjNYTXhWRmVXSXlMMGFSVWg3VWRmMnpWVlZWdGJNUUdoRVIwVkZoOGs0VVd5enA2ZWtYeHNmSGx4c01odVQ4L1B3WEdoc2JQMmN3R0RLcXE2c3pBQ0FqSStNN1hWMWQ5d01melhzdktpcmFMb1F3V2l5V1phRTc3dzBORFJmNC9mN3dSSFpLYXc4YkRJWWtBSWlQanorbHRyYjJSQUNXVmF0V1BabWRuZjFRYUpyT1RLdXVybjVIVmRVT0FKbmo5Wk5TSHRCMS9iU3FxcXI2MllpTGlJam9hREY1SjRvdElpVWw1U3VIRHgvZXFtbGFYMjF0N2FwUjdlYnM3T3pOb2VROVpNZU9IV3N5TWpJdXo4dkxlMkRIamgyZkFIQTRJeVBqVXBQSjlDV0R3YkJBQ0JHM2N1WEsvek1ZREVsU1N0bmIyL3RFWjJmbnI4Y0xKQmdNRGdCQVMwdkxKZ0M5QU5EUjBiRjV4WW9WV3pENGV2TmpYdGQ0RW9MQllQQ3JScVB4OVhINmRBY0NnWTl2Mzc2OWNSYmlJU0lpT2laTTNvbGlpN2V4c2ZFc0FGaThlUEdOb3h1dFZ1dkNRQ0FRYWNxS0pUVTE5UUsvMzc5bjFhcFYvK2pxNm5wRTEvV0F4K09wMWpTdEt5TWo0N0xkdTNlZkQ2QVBnMzl2VFBoM2g5L3ZiOUIxdmQ5c05pZjcvZjcyb1dvcHBmUmlkaEozT0J5T0JWTEtrOFpxbDFJZUZFS2N3c1NkaUlqbUNtWGlMa1EwMXcwTURMd0xBRGFiN1V5VHlaU2RsSlQwdWFINnR3QWdLeXRyVTE5ZjM5K2tsSHA5ZmYzblVsSlN6dkw1Zk01RGh3NDljL2p3NGJjeCtES1JQbUJ3SG4xaFllSFdTUncyME5YVjlWQnVidTRkQURKc05sdlc0c1dMYit6cDZYbDBSazd5SXdaVlZiK29xdXJUUW9oT1JWRitGYW1UbExJekdBeWU3SFE2STc3bGo0aUk2SGpFTys5RTgwQmpZK05aVnFzMVo5R2lSZGUxdHJaK1o4bVNKWC9vNnVxNnI3R3g4UndBSnB2TnBqWTBOTnk0WU1HQ3F3RjRtcHFhdmpScUNBV0FCWURQWnJNNWZEN2ZYbUJ3N2V0UUIxVlZQYUZ0cDlNcEFLQ3RyZTNhdkx5OHUreDJleE1BcmFlbjU3SFcxdGFyWitBVWxiS3lzdE9FRU9jTElTNEdrRHhVSDVSU3ZnemdQZ0FQQ0NFV0FZTnozS1dVSjlmVTFEVFBRQ3hFUkVRemhzazdVZXhKQVJBbnBmUU5sZE1YTEZqd3RZVUxGLzZvdGJYMUtwZkw5YUxINDNscjZkS2x6MWtzbHFMbTV1WnZEeTNucUkwMVlGOWYzek4ydTcxVFNoa0FvRGMyTm40ZCtDaEpINGV2cGFYbGlwYVdsaXVtNWN4R2NUZ2Nwd2toemdQd0xRd2w3RkpLS1lTb0FmQzR6K2U3cjdhMnRnY0FWRlgxQWZnWGdLNUFJSERpOXUzYlcyY2lKaUlpb3BuRTVKMG94aFFXRm00MW04MVozZDNkdjA5TVRQekU4dVhMbitudDdYMnlxYW5wZEkvSDB3b0FIbytuYmVmT25hZXZXclZxaTlWcXRYczhudmNBNE1DQkF4R25tT3pacytmQzJUeUg4WlNWbFoyaUtNcFhNSml3cHdERENmc3VLZVd6UW9oSG5FNW45ZWo5ZkQ3ZnF4YUxaYnZQNS90Q2JXMHRFM2NpSXBxVG1Md1R4Wmk2dXJxeThISlZWZFZDQUlFSVhYdENMMXNLR2IwS3pmRkNWZFZ5QU9kSktTOE5UWDBaMHFEcituT0tvandVS1dFUFYxdGI2d2RRaXNINSswUkVSSE1TazNlaTJCY3BjVC91T1J5T0lpSEVsd0JjQW1BRkFBZ2hJS1ZzRmtKczBUVHRUMVZWVlJWVEhKYUpPeDB0RHdDcjIrMkd6V2FMZGl6empzODNPQXRRQ09HYm9DdFJ6R1B5VGtUSGpmTHljcE9tYWVjcWl2S1RvU1VlQlFCSUtmZEpLWjhUUWp4Y1VWSHhUcFREcFBscEp3QzFwYVVGaFlXRjBZNWwzamw0OENBQVFOTzB0aWlIUWhSMVRONkpLT29LQ2dvU2JUYmJWYnF1WDZjb1NzcFFkYStVOHA4QS9seFJVZkYvMFl5UENNQWZBYWovOHovL2czdnZ2UmVLd3BXV1o4c3JyN3lDblR0M1FrclpYbFZWNVl4MlBFVFJ4dVNkaUtKbTZkS2xjYW1wcVZjQytMa1FJZ0VBcEpRZlNpbnZyNnlzZkJoQU1Lb0JFZzNwNmVuNVExcGEybFVmZlBCQjRXbW5uWWFFaEFRWWpmd25kQ1pKS2VIMWV0SFgxd2NwSlFCY0N2NmRRTVRrbllpaW83UzA5QXlEd2ZBbklVUU9BQXl0eDM0enA4WFE4YWk1dWRtYmtwS3lWZ2p4RzQvSHM4SGo4VXk4RTAyWEZpbmxob3FLaXRlaUhRalI4WURKT3hITnF2THljcE91NjNjQnVGd0lvVWdwMzlaMS9jZFZWVlh2UnpzMm92RlVWbFllQXZETnNyS3lId0pZSUtVMFJ6dW1XR1kwR3JWQUlOQmZYVjNkam5IZVEwRTAzekI1SjZKWlUxWldsaUtsZkVFSWNUS0F3d0J1cUtpb3VCZUFIdVhRaUNadEtJay9GTzA0aUdoK1l2Sk9STE5pelpvMXVZcWliQVd3SEVDTkVPS3oyN1p0YTQ5eVdFUkVSSE1LazNjaW1uRW5uWFJTVWlBUWVCV0RpZnVyUHAvdjdOcmEydjVveDBWRVJEVFhNSGtub2hubjkvdWZFa0tza0ZLKzN0dmJ1NzY1dWRrYjdaaUlpSWptSWk1VVMwUXpxcXlzN0J0Q2lFOUxLUTk0UEo3em1MZ1RFUkVkUFNidlJEU1RqSXFpM0E0QW1xWjl2YTZ1cmp2YUFSRVJFYzFsVE42SmFNYVVsWlY5RzBBdWdEZXFxNnRmalhZOFJFUkVjeDJUZHlLYU1VS0lid0dBcnVzL0F5Q2pHdzBSRWRIY3grU2RpR1pFZVhsNXNoRGlCQ21scjdPemt5OWdJaUlpbWdaTTNvbG9SdWk2ZmlZQUU0Qi83OSsvM3gzdGVJaUlpR0lCazNjaW1pbW5BWUNVa25QZGlZaUlwZ21UZHlLYUtUa0FvQ2hLVTdRRElTSWlpaFZNM29sb1JnZ2hrZ0ZBMDdUZWFNZENSRVFVSzVpOEU5Rk1NUS85TnhEVktDMzZHN0VBQUJWQlNVUkJWSWlJaUdLSU1kb0JFTkc0REE2SDQrdENpTXVsbEE0aFJFSzBBNW9xZzhId2hxcXEwUTVqc2dKU3lqWXA1VCtrbEhkVVZWWHRpM1pBUkVSRTRYam5uV0tCa3BpWWVHcHVidTZkR0Z6ZDVBang4ZkdsK2ZuNS95NHJLM1BiN2ZiZTVPVGtMNGMxRzdLenMrK3cyKzA5ZHJ1OU55Y25aek1BTVN1Umo4L2djRGorSW9SNEJNQW41bUxpUGdlWmhCRExGRVg1c2FJbzFRNkhvMmdheHB6dytneFp1WExscTZxcVNnQVJmOVlUdFJNUlVlempuWGVhODBwS1N2WUJrQ2FUYVhGcmErdEdqSnFtWWJGWVZ1VG41Mjg5Y09EQTVvYUdobk90Vm11U3J1dldVSHRtWnVZMXljbko2K3ZyNjhzMFRVc29MQ3pjNm5hNzYzdDZlaDZjN1hNSlYxWldkcDRRNHNMYzNGemNkTk5OV0xseUpaS1NrcUlaVXN3TEJBTG82T2pBRTA4OGdjY2VleXdOd0o4Qm5JQmplTUhVUk5kblNHcHE2b1Z4Y1hHRlk0MHpVVHNSRWMwUHZQTk9jMTVqWStNWEdob2F6aHVyUFRzNys3OE9IVHIwWEVkSHgyWUFoejBleno2Zno5Y1Fhcy9JeUxqeXdJRUR0M3M4bmhhLzM3K2p1N3Y3OXhrWkdSdG1KZmh4S0lyeVhRRFl1SEVqeXN2TG1ialBBcFBKaE56Y1hGeHp6VFZZdG13WkFLaWxwYVhGeHpMbVJOZm5rUGpzN094ZmRuWjJiajdLZGlJaW1pZVl2Tk9jNTNhN25lTTBHNU9Ta3M3cDd1Nys0eGp0bVdhek9hKy92Ly9kVU1YQXdNQ0hWcXUxZEhxalBDb25BTURxMWF1akhjZThsSk9UQXdCUUZHWEZzWXd6d2ZVSkFNakt5cnJSNVhLOTRuSzUzajJhZGlJaW1qK1l2Rk5NczFnc3l4VkZzVm9zbHR6aTR1SUdoOFBoemMvUGY4bHF0V1lEZ00xbVd3d0FQcCt2TTdTUHBtbGRCb01oQllBaFNtR0hKQUxnSGZjb3NkbHNBQUFoaEcwbWoyT3hXRlptWkdSYzF0TFNjdjNSdEJNUjBmekM1SjFpbXNGZ1NBS0ErUGo0VTJwcmEwK3NxS2hZcWloS1hIWjI5a09oTGtQLzFjTjIwekU0eC9tbzV6a1RUVlp1YnU1dk9qbzZiZ2ZRY1RUdFJFUTB2ekI1cDVnV0RBWUhBS0NscFdVVGdGNEFIUjBkSFpzVEV4TS9CVUFKdlVBb0xpNHVMYlNQd1dCSUR3YURYUmlaMEJOTnU1U1VsTFBOWnZQU3pzN091NDZtbllpSTVoK3VOa014emUvM04raTYzbTgybTVQOWZuLzdVTFdVVW5vQjZENmZyMW5UdEVNV2krVUVyOWZiREFCV3EvVkV0OXY5WHRTQ1BrNzQvWDZZVENZSWNUeXNtaG1iMHRMU0xqR2J6WGwydS8wZ0FBZ2hEQUJndDl2Yjl1elpjOEZFN1M2WDY4WG9SVTlFUk5IQTVKMWlYYUNycSt1aDNOemNPeG9iRzc5cHM5bk1peGN2dnJHbnArZlJvWGF0cDZmbjRheXNySi8yOWZXOVpUYWJVeGNzV0hCRmMzTnoxRmVibVE2NnJzUHI5UTdQMzU2S08rKzhFOG5KeWZpUC8vaVBHWWhzME0wMzM0eWYvL3puUjlSZmRkVlZ1T2VlZTJic3VNZUxwcWFtTDRXWHJWYnJ5YXRYcjM2bnFxb3FCMEQvNk9SOGRQdHN4a3BFUk1jSEp1ODA1dzI5dENhMDdRbHRPNTFPQVFCdGJXM1g1dVhsM1dXMzI1c3dtS3cvMXRyYWVuV29YMnRyNncxTGxpeTV2NnlzckVIVHRFTWRIUjJiWXVXTzVyUFBQb3RISDMwVWQ5MTFGeFl1WElqLzM5NjlCMVZWdlgwQS82NTlianBlY0NxalJzZEw0NnQ1UzlsZ3lRamVraVlaWlZRbUhSTnZvMlVwbGFsWWtKcWpwRXorbk9tZE5IVHdBcWlSbDh4cnZpSnZwdlNxWUlBZ1lLa2pwS0dZVnhRVnpqbDdyL2NQWk1meEhBMVRST0Q3bVdFNDYxbDc3N1hPY2NzOFo4MWFhd09BcjY4dm1qYjkreGsvcGFXbHlNakljRGt2UFQwZFc3WnNnYmUzTjVLVGt6MWVlK1BHamJCWUxNakx5OE9VS1ZQK3NTOWJ0bXpCQ3krODRCTDcrZWVmamRjclZxd3d2aWlrcDZlN25kK3ZYeiszbU1QaGdNUGg4UGpsSkRZMkZsMjZQSTVuTEQyYWY3by9pWWlJaU9vRVZWVmwxY1NHWEZWK1BvOUMxM1g1K2VlZnl4RWpSc2p5OG5KNSsvWnQ2ZS92NzNMTXZXMFVGaGJLNE9CZ09YTGtTTGw1ODJhWHVwS1NFamxod2dRNWI5NDhqKzMxN3QxYlhyeDQwU1cyWnMwYU9YYnNXS2xwbXR2eGZmdjJOVjc3K2ZtNXZYWTZuZktYWDM2UmQrN2M4ZGhlWkdTa1hMTm1qY2U2UnhVWkdTbFZWWlUrUGo2amEvdGVlTnFvcW5wRFZWWFpxVk9uWnJYZEZ5S2lob1lqNzBUMW1CQUNjK2JNUVhGeE1heFdLN1p1M2VvMkdpMkV3TTJiTjlHc1dUTVVGQlFnUER3Y00yYk1RTGR1M1RCcDBpU1VsSlJnNHNTSnlNM054Wnc1YzlDalJ3L01temZQclMxTjAyQzMyL0hubjM4YW8vd0ZCUVZZdTNZdDFxNWRDMFY1dVBYeFM1WXNRWEp5TXE1ZXZZcURCdzhDQUVhTWNIM1cwZG16WjVHYm00dWRPM2U2eE0xbU16WnQydlJRN1JFUkVkVUZUTjZKNnFtbFM1ZGk5Kzdkc05sczJMTm5EN1pzMllMbHk1ZGoyYkpsTHNjTkhqd1lJU0VoMEhVZDc3MzNIcVpNbVlMWFgzOGRBTEI2OVdwTW16WU4yN1p0UTNGeE1XYk1tSUhSb3owUFJKZVVsRUFJZ1kwYk4wSlZWUUFWVTJYdTNMbUQ4ZVBIUXdpQjFOUlVvMDBBdUhYckZnWVBIb3h2di8wV0FCQVRFNE1qUjQ1QVNvbVdMVnNpTGk0T1lXRmhzTmxzQUlCejU4N2g2TkdqQUlDZ29DRDgrdXV2UnZ0QlFVSFl0MjhmQUtCWHIxNlA1VE1rSWlKNjJqQjVKNnFuWnM2Y2laa3paOExmM3g4QTBMMTdkOFRIeDZOdDI3WXV4eTFjdU5DbHJHa2E4dlB6a1o2ZWp2Mzc5K1A2OWVzWU9IQWc4dlB6c1hMbFNtUmtaS0JMbHk1bzA2WU5Ybnp4UlhUdDJoVUFjT25TSmJScDB3WVhMbHpBeVpNbjBiRmpSMFJFUkNBaUlnSm56cHhCVEV5TTBjYWVQWHNBVk14alQwcEtRbVJrSkFBZ01EQVFIM3p3QWZyMzc0OEpFeVlBcUZoMGF6YnpUeFVSRVJIQTVKMm93ZWpVcVJNQ0F3TmhNcGxjRnF5V2xKVEFack1oSlNVRjBkSFIyTHQzTDFxM2JnMC9QejlNblRvVnZyNitSdko4OGVKRkhEMTZGTG01dVRoeTVBaUdEaDFxSk8rRmhZVm8zNzQ5UWtKQ0VCTVRnMVdyVmhsVFpaWXVYWXJ4NDhkNzdGZUxGaTBRR3h1TFhyMTZvVStmUGtaYzEzVVVGeGVqU1pNbUhzOHJLU25CeUpFakg4dG5RMFJFVkZjd2VTZHFRT2JPbllzZmZ2Z0JzYkd4QUNvUzVGR2pSdUcxMTE0REFJU0hoeU1pSXNKSThyT3lzZ0RBR0VtdmRQcjBhUnc4ZUJCV3E5V0laV1Jrb0h2Mzd1alhyeCsyYjkrT1pjdVc0Y01QUDhUcTFhdGhNcGxjRXZQcW1EMTdObEpUVSsrYjlIdDVlYm5NYXc4S0NucW82eE1SRWRWRlRONkpHcEJCZ3daaDllclZTRWxKd2FCQmc1Q1ltQWk3M1k2cFU2Y0NxQmdGQnlvUzQvWHIxeHZuQlFVRnVaU0hEQm5pY3QwN2QrNGdKU1VGOGZIeEFDcjJiNTh3WVFKT25UcUYwNmRQWTkyNmRmZnQwKzNidDZGcG1sdjhQLy81RHdEZ3hJa1RXTEprQ1NJaUlsenFPZkpPUkVRTkVaTjNvaHJXczJmUDhicXVaK1RrNU9UV1ZoL09uajJMNU9Sa1RKNDhHZEhSMFFnUEQ4ZUpFeWV3ZS9kdXJGeTUwbTJmOUJzM2JyaU1lTjlidm56NXNzdng2OWV2UjdkdTNkQ21UUnNBZ01WaVFZY09IYkIvLzM1MDdkb1ZaV1ZsYm4yNmN1VUt5c3JLOFA3NzczdmN2YWJTdVhQblVGQlE0QmJueURzUkVUVkVUTjZKYXBpaUtKOHFpdkt5cXFxbmRWMWZyK3Y2enB5Y25Dd0FOYjdIZlhGeE1Sd09CeVpQbm95UFAvNFlBTkM0Y1dPMGF0VUtDUWtKQ0EwTlJjdVdMZDNPYTk2OE9SSVNFb3h5VUZDUVM3bnF5SHRlWGg0U0V4T1JtSmlJOHZKeTdOaXhBNnRXcllLUGp3OTI3dHlKK1BoNGpCdzVFb01HRFVKd2NEQmVmdmxsVEo4K0hXM2J0c1h5NWN2aDYrc0xJUVNzVml2T25qMkxObTNhR0R2S09KMU9IRGh3QUowN2Q2NnBqNGlJaUtoT1lmSk85T1IwVUJSbHZxSW84MVZWUFN1bDNLQnAydmFjbkp5akFQU2FhUERxMWF0UVZSV2ZmUElKQ2dvS01HUEdEQnc3ZGd6anhvM0Q0c1dMRVJzYmkrRGdZQVFHQnFKMzc5N28yN2N2bWpWcmhwS1NFb1NGaFJuWHViZGNkZVQ5cDU5K3d0U3BVNkVvQ3Q1NDR3MTA2dFFKWDN6eEJmejgvQUFBa1pHUkdETm1ETDc3N2p0RVJVWGh5eSsvUkZ4Y0hDd1dpMHRmSjB5WWdERmp4c0RwZEJveEtTVTZkdXlJano3NkNFREZIUDNLdmQ2ZFRxZkx2dS8zbG9tSWlPb2pQcDZiYWsyUEhqMEdBRUIyZHZiUGQwT2k4c2ZYMTFlVWxaV0o4dkp5NFhRNkJRQTRuVTdoN2UwdEhBNkgwRFJOT0oxT29XbWE4UEx5RWdDZ2FaclFORTNvdW03OGJ0S2tpZEEwVFFDQXJ1dENTaWthTldva2RGMFhsV1ZkMXdVQTJHdzJsNWlVVWxpdFZpR2xkRG0vOHNkaXNYaXNxeHFYVWdvaHhGWWhSUHNIZkJRWHBKUkpRb2owOHZMeTNYbDVlYVZBeFJOV2dZcUZvSThxTlRVVmNYRnhDQTRPeHRDaFExMTJjRGwvL2p4MjdOaUJnb0lDUkVkSHcyS3hJQ1FrQkR0MjdManY5ZDU2NnkxczJMQUJWcXNWdXE0YnU4b1VGUldoVmF0Vzl6MnY2ckgvUmtaR0JueDlmZi94dU96c2JQVG8wZU5mdHdNQVVWRlIyTHQzTDZTVWIyZGxaU1U5MHNYK1dlVzlyMVM5OTh2S3loUmQxOFZ6enoxbjNQTXRXclFRVHFkVDJPMTJwZkplYjlLa2lYQTRISXF1NjZKeDQ4WkMxM1hoZERxVnludlpack1KVGRNVUFOQTBUYW04dCsvK1AxQXE3MWtwcGFpc3I0enB1cTZZeldhWGUxOEk4WDlDQ011dFc3ZWEvLzc3N3pkcitMTWhJcUlxbUx4VGJSS3FxdGJJaUhNZGR1VnVJdjhEZ1A4RkhrL3lUZyt2U3ZKZUNzQWhoS2hNc0hIM3QvRWxyVXFkVVgrMzd0NTZsN3FLY04zOU84emtuWWpveWVPMEdhcE5Fb0IyOTdjRUlLV1VBQ0NGRUZWanNrb005OFNOc3FkekFNQkQzS1dOS3NlNnRmRXYrM1J2dTEwQU5Lcm1aMklXUW5qcnV2N3NvNHhRMCtNamhHajZnTG9IbmZjd2RWSldER2w3dWlmMUtqRlVsdUg1WHBRQTlBZGM2MzR4M2NOMXFsNWJyM3I4M1hnK0UzY2lvaWVQeVR2VnFzek16SHAvRDZxcWVnTEF5dzg0NUlxVWNpK0FqVmxaV1hzQU9PNmU5eVM2NXlZdExjM1k5LzFwa1orZmo4NmRPejh3SWE0cHVxNVBLU3NyK3g0QVRDYVRWQlJGbWt3bWFUS1paRWxKaVRTWlROSnNOc3ZLZW92RklpOWV2Q2pOWnJNMG04M1Nack5KQUdqVXFKSE15TWd3RW1QOHZXQzV4aGN1RXhGUi9WSHZFeWVpcDFReGdQOEI4RjFtWnVZKzFOQ0NWVThjRGdjV0xseUlhZE9td2R2YjI2MSsrdlRwT0h6NHNGdDgxNjVkQ0F3TWhKZVhGd0RnMUtsVGFOMjZOV3cyR3laT25PaXlHODNqTm5ic1dCdytmTmpsb1ZCUGloRGk1bSsvL1hibGlUZE1SRVRrQVpOM29pZm5ISUE5VXNwdnM3S3lEcUtXUmx6TlpqTWFOMjZNeVpNblk4V0tGWmcxYTVaTHZjUGh3T2pSbzQyeXFxcUlpSWlBMCtuRTIyKy9qYmx6NTZKMzc5NllOV3NXMXE1ZEM2dlZpdHhjejF2WTIrMTIrUHY3bzJsVDE1a25wYVdsTHJIUzBsS2twNmZEWkRKViszMDg2dUpYSWlLaXVvakpPMUhOV3l1bFRNM0t5bklmenE0RlFnaEVSa1ppOGVMRnlNbkpRVktTNjBZcS92NytiakVBR0Rac0dGNTY2U1dZVENhY1BIa1NSVVZGR0Q1OHVGSGZyMTgvNC9XY09YT01oeVlwaW9JREJ3NFlkWnFtNGRWWFgzV0pWWGNIbVY2OWVnRUE0dVBqVVZoWWlQbno1MWZ2VFJNUkVkVVRUTjZKYWxobVp1YVh0ZDJIcW03ZHVtVWs4QUR3N3J2djR1Yk52OWNkM2p2eW5wU1VoTXVYTCtQNDhlTVlNR0FBQUNBbUpnWno1c3pCc0dIRFBDYmovOWF1WGJzUUV4TmpsSVVRU0UxTkJRQnMzTGdSdlhyMXdwWXRXN0J1M1RwODg4MDNqOXdlRVJGUlhjUGtuYWlCeWMvUHgvejU4ekZxMUNpMGE5Zk9KWEgzWlBUbzBmanNzODh3Zi81OFhMeDRFYUdob1RoMDZCREN3OE9yMVo2dTZ4ZzRjS0JiM0ZOc3lKQWh4dE5iejV3NVkzekJxT3ozb2tXTGNPalFJY1RGeGVHbGwxNnFWdnRFUkVSRVJEVk9WVldwcXFxc0NkbloyZktkZDk2Um1xWlYrNXpqeDQvTGdRTUh5Z3NYTHNpeXNqSWo3blE2Nzl2UDh2Snk2ZWZuNXhMemRMeXFxdExwZExyRXZ2NzZheGtYRjJmVWI5cTBTUVlFQk1oTGx5NVZ1OCtQSWpJeVVxcXFLbjE4ZkViLzg3OFdFUkhSazhHUmQ2SUc2SlZYWHNIS2xTdU5yUmREUTBNOUxoYlZOQTNmZi84OUFLQmJ0MjdZdG0wYmpodzVndWpvYUFBVkMxS3RWaXVzVml2OC9mMWRkb001Y09BQU5FMkR4V0o1NlA2VmxwWmk1ODZkV0w5K3ZSRWJNbVFJdG0vZmpqMTc5bURzMkxFUGZVMGlJcUw2Z01rN1VRT2s2enEyYnQyS0VTTkdRRkVVbkQ5LzN1UDJrQUVCQWNicjI3ZHZJeVVsQmNPSEQwZFFVQkRLeTh2UnIxOC9ZNjY3cjYrdjJ6WEt5OHRodDl1TnhhdFZlWXBWV3JGaUJmcjM3NCtXTFZzYU1aUEpoSVVMRjJMY3VIRm8zNzY5UzkrSWlJZ2FDaWJ2UkEzUXFWT25zSHo1Y29TR2hnSndYNlJhcWJ5ODNIaWRtNXVMcEtRa1k0ZVp3c0pDUFAvODh3OXM1OGFORytqVXFSTTJiTmhneENvWHVPN2J0OCtJVmQxdEppMHREY25KeWRpOGViUGI5ZHEzYjQ4RkN4YmcwMDgveGFKRmk5QzNiOTlxdm1NaUlxTDZnWnNrRXpWQTJkblo4UEh4ZWFnbmxtWm1ac0xQejg4by8vampqL2Q5RXV2czJiUHgxMTkvb2Fpb0NLMWF0YXAyRzMvODhRZWlvcUlRRlJWbFBBenFYZ01HRE1EczJiTXhlL1pzckZ1M3J0clhKaUlpcWc4NDhrN1VBR1ZrWk1ESHg4Y29XeXdXajN1N1Y1MmFrcGFXaGpGanhnQUFEaDgraksxYnQ3ck1TUmRDd0c2M3cyUXlJVE16RTgyYk44ZXhZOGZRdFd2WGF2ZnIrUEhqR0RkdUhQcjM3NCt5c2pKWUxCWVVGaGJDWXJIQWJQNzd6MVZJU0FpZWZmWloyR3kyaDNyZlJFUkVkUjJUZDZJR1J0ZDFwS2VuSXl3c3pHTzkzVzZIRUFMWHIxK0hwbWtBZ0d2WHJpRTNOeGVxcW1MVnFsVklTRWpBZ2dVTDBMWnRXK084Z0lBQXZQbm1tMUFVQlFFQkFUQ2J6ZGk5ZXplV0xWdm1zUjBwSlRSTnc3VnIxNkFvQ29RUXhqYVJBSkNZbUlpVksxZENVUlNFaFlXNVBVMjFUNTgrai9wUkVCRVIxVGxNM29rYW1FdVhMc0hiMnh1ZE8zZjJXSitXbG9aRml4WkJDSUVSSTBZQUFMeTh2SkNRa0lCbm5ua0dnWUdCR0R4NHNOdDBtSysrK3NxbG5KT1RnOWF0VzZOZHUzWXVjU0VFR2pkdURGM1hFUkFRQUtmVGlZQ0FBTGZrZk5La1NRZ0xDNFBOWnZPNEV3NFJFVkZEVlAwSnIwVDBSS21xS29HS0tTNTFWV2xwS1pvMmJYcmZlaWtsbkU3bnY5cE9zcVpGUlVWaDc5NjlrRksrblpXVjVUNm5pSWlJcUJad3dTb1IxWmdISmU1QXhTajgwNWk0RXhFUlBhMll2Qk05dlJ4QXhSeDBldktjVGljQVFFcnByT1d1RUJFUkdaaThFejJscEpSL0FFQlJVVkZ0ZDZWQnVuTGxDZ0JBQ1BGWExYZUZpSWpJd09TZDZPbjFIUUJzMkxBQlVzcmE3a3VEY3ZMa1NlVG41d1BBRGJ2ZFhuY1hIUkFSVWIzREJhdEVUNm11WGJ1K1lMVmFzNFVRejdkcTFRb2RPblJBOCtiTmE3dGI5WnJENFVCeGNURnljM01ycDgxOGtKbVo2WG12U3lJaW9sckE1SjNvS2Rhelo4Ly9VaFJsSFFEUGp6S2xHaUdsdktvb3lvS01qSXovcnUyK0VCRVJWY1hrbmFnT1VGVzFnNVN5cHhEaXdkdTMwS055U2luUDJlMzJ3M2w1ZVZ3cFR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EWGovd0VVb2VPUmZRWmx5Z0FBQUFCSlJVNUVya0pnZ2c9PSIsCgkiVGhlbWUiIDogIiIsCgkiVHlwZSIgOiAiZmxvdyIsCgkiVmVyc2lvbiIgOiAiIgp9Cg=="/>
    </extobj>
    <extobj name="ECB019B1-382A-4266-B25C-5B523AA43C14-2">
      <extobjdata type="ECB019B1-382A-4266-B25C-5B523AA43C14" data="ewoJIkZpbGVJZCIgOiAiMjE5NTE1OTM0NDg0IiwKCSJHcm91cElkIiA6ICI4MTg1OTk0MzUiLAoJIkltYWdlIiA6ICJpVkJPUncwS0dnb0FBQUFOU1VoRVVnQUFBazRBQUFQZ0NBWUFBQURFT1BQZkFBQUFDWEJJV1hNQUFBc1RBQUFMRXdFQW1wd1lBQUFnQUVsRVFWUjRuT3pkZVZ5VlpmNy84ZmNOSE9BQXNpYUtpZ3VhSzZnY0s3VnNzYWFaRnR2bjI4dzMyNnptTzgwME5pMmpaVE0xWmRQZTVLK214YmFwdENiTGFzYTBkY3JLYkI4NElKTG1rZ2prZ2lLSXdJRUQ1MXkvUCtDY2dVUzlGZVdBdko2UEJ3L09mZDNYZmQyZkcrSDJ6WFhmNTBZQ0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2RubE5TVEJ2dHNjM3JBT0NnaW9tSk9VcVNGZW82QUhSanNiR3hvL3YwNlhQUC9tNDNiTml3aitQajQzLzJvK2J3a1NOSEZqcWR6b2tIcVR5bHA2ZlBVUnRCTEQwOS9mR1ltSmcrUDJwT2NEcWRmZHNhWjlDZ1FhOGNySm9BaEliTDVUS1NvdHRhRnhVVk5TUTZPbnBBQjVjRWRIa1JvUzZncTBsT1RyN2NHTk1ZV0I0N2RteXR6K2ZiOGVOK2xtVkZyVml4b3Fja0pTVWwvVzlzYk95Si9mcjFPMExTWHlXcG9hRmhTMVZWMVZ2UjBkRWpCZzBhOUhSZ3U4ckt5dGMzYmRyMDV3T3RMeUVoNGZ5U2twTGJmdHhlVjFkWG1KU1U5THZhMnRwYkFtMHBLU25ucHFXbHpWNjdkdTBwOWZYMTYxcjI3OUdqeHlrSFdnT0FUaTFNa2o4dUx1NjR2bjM3UGxoYVd2cmJIVHQyTE16T3pxNXJiR3lzYkhPRHNMRG8vUHo4eEE2dUUraVVDRTc3SnlVNU9mbEtZMHhkWW1MaWhXdlhydjJwMysrdkxTZ29HQ0RKMTl3blFwSno5T2pSR3lRcEppYkcxYmR2My91Ky9mYmJnV2xwYVhkdDM3Nzl5VjI3ZG4zcWREb25EQjA2OUwyVksxZU9Ta3RMKzhQbXpac2Y5SHE5cXc2MHNQajQrRE9ycXFyZWFsNDBpWW1KNTlUWDE3dUhEQm55dFNSWmxoVW15VXBPVHI1Q2tnb0tDbnFYbDVlL0VCRVJrVFI0OE9CRlJVVkZsd3djT0hDZUpFVkVSUFNNaUloSUdUMTY5UGJHeHNZdGdYMTgrKzIzbVFkYUg0RFFpSXVMTzdhNnVucXBKUFh1M2Z1bXlNakk0Y1hGeGRQS3k4dGY4SHE5MzZlbHBkMjlZOGVPeFZMVGVhR3RNY2FNR2RObW9BS0F2Um93WU1EZmh3MGI5bkhMdHRHalIyOVBUMCtmazVTVTlFdEpTa3BLdXJoLy8vN1BqUjQ5ZXJzazllL2ZmMjVDUXNKUEpTa3lNbkpFejU0OXJ3bThUa3hNUE52cGRFN3MwYVBIc2IxNjlicTVQYlVOSFRwMFdWUlUxSkZaV1ZrbGt1S3lzckpLbkU1bnY3Rmp4MWIvdUc4YmJVbk5ueDA5ZS9hY1BuRGd3QmZHakJtenMyL2Z2bmVucGFYZEthbFhlMm9EY0dpbHBLUmNObmJzMk9vV0g3dWtwa3QxR1JrWmIwaFNhbXJxYjBhUEhyMHRKaVltdTNtelZqL1gyZG5aZFhzYW4rQUUvQmN6VHZaRnhjWEZIZWYxZWpkbFpXV1ZTdExHalJ1dmxLVHQyN2YvZGZEZ3daOVZWRlI4bkphV2RrdFJVZEhGaVltSlowbFNjWEh4MVJrWkdmOU1TMHU3UHpEUXRtM2JIdk42dmF1OFh1L3FNV1BHVk9ibjV5ZnMyclhyOC9ZVVYxVlY5VlpDUXNKWmtzSVRFeE4vNHZGNDFuZzhudEs5YkJJK2RPalFqNnVxcXQ3Y3NtWEx3NzE2OWJvNUtTbnAzRzNidGoxUlZGUjAyZWpSbzdmLzhNTVB0MFJHUm80YU1HREEzUkVSRWIwM2JkcDBoOGZqK2JvOWRRSTQrTXJMeTE4b0x5OS9RWklpSXlOSERoNDhlRUZnWFd4czdOSDkrL2VmR3g4ZmY5cnExYXRQOUhxOTMwcnFsWm1aK2RXMmJkdWUycnAxNjcyUy9KSVVPTGNCMkRPQ2szMzFoWVdGTGtrMW8wZVAzcjVpeFlvakFpczhIay9wamgwN25zdk16UHpjNC9GOFcxdGJtOXR5UTZmVE9hS3dzREJUVXVPb1VhUFd4Y2JHamgwNGNPQnJraFFlSGg0M2F0U280UDFGaFlXRngwb3EyOS9pZHV6WThhYlQ2UnhwV1ZaRWZYMzlwcTFidCs3clBpbmZtalZyTGhneVpNajhJNDQ0b3FLeXN2S2ZpWW1KNS9YczJmUDZuajE3WHUvMWVrdUhEeCtlRitpOGV2WHE0eVI1OTdjdUFCMnJaOCtlRjFkVVZDd01MRy9kdXZXZVBuMzYzSmVYbHpkVTB1WkE4OHFWS3pQVDA5Tm5KeVVsL2FLaW91SmxTU29vS09qWHYzLy9SNHFMaTY5dE9XYS9mdjBlN3JnakFEbzNndFArcWRuVGlrMmJOajNZcTFldm00dUxpNjlwYS8zdzRjTy9sS1RJeU1oK05UVTFlWVdGaFVNa0pXUm1acnFiWHlzek0vTjdTZlVIVWxqekROWmF5N0wrN3ZGNHZwRmtKRVdIaFlYRlpHVmxiV25aTnl3c0xQQlloTEoxNjlhZDF0eFgwZEhSdzlxNkFiVDUwdDRlangxQXA1R1FuSng4K2ZyMTY0OEtOSlNWbGIyUW5KeDhSV3BxNnRTeXNySUhXL1N0TGlrcHVhSDVkWVF4eGk5SlNVbEpsN1lJVG83VTFOUnJlL1RvY2JLYTNwMjN4OHQ1UUhkQmNOb1BtWm1aUlpJVUVSR1JsSm1aV2JSKy9mcGZCdGFscEtSYzRQUDVhcEtTa3Y2bnFxcnFuUjl2dTNyMTZ2R1NmQzFubDV4T1o3elA1d3NHa3JDd3NEaEp1OTJUWkpmVDZld1RIaDRlMzd0MzcxdTNiTmt5VzFKU2ZYMzloc0xDd3NFdCt3MFlNT0Nad091a3BLU3BEUTBOeGRYVjFjc2txZVVzVTR1NmVNNFUwQVgwNjlmdmpwMDdkeTZxcmEzZDFLTFo5LzMzMzE4eVlzU0lyK3JxNmxhMWVCT0pldmZ1UGRNWUUxNVZWZlZpWTJOank1bnVzT1RrNVA5SlMwdTdvN3E2K3B1aW9xTFRSV2dDSkJHYzlzdktsU3NIU2swM2hBZGVONHRMUzB1N1k5MjZkVDhkUEhqd205SFIwWU4rdEtsRHpmY1F0R3AwT0RJYkdocCtDQ3hibHVYUWY5K2R0OStjVHVmRXlzckt4U2twS2RQcTZ1cnlHeG9hYXVycjY0dCszRy9qeG8xWEJWNm5wS1JNS3k4dkR6NE9ZZlhxMVdOLzNMK3RHOHdCZEM2eHNiRS9TVXBLK2tWQlFjRnU3MzcxZXIyck5tN2NlRmxHUnNZckd6ZHUvTitLaW9yRmtoUWZIMy9hOXUzYlgzUTRIS1ByNnVwV0IvcVBIRG15d09QeEZHN2N1UEhuMWRYVks5WDBvTjV3dGVQOEJCd3VDRTRITGlvbUppWkZrdExUMDJmdjNMbHpTVzF0YlU1WldkbmZrcE9UZjkyaW54VVJFWkV5ZlBqd2I2U21TM1dCRlVsSlNSZlYxdForRlJqUDcvY0hMOU01bmM1MGo4ZFRzajhGSlNRa25MVno1ODQzeXNySy9qcHc0TURuS2lvcS91bnhlTDdjeXlhT3VMaTQ4ZXZXclpzYWFHREdDZWg2b3FLaWhnMGVQUGpsNHVMaXF5U1Z0OVduc3JMeW44WEZ4ZE1IRGh6NG1zUGgrR05aV2RrenNiR3h4NjVacytiQzlQVDAyVFUxTlo4RytxNWZ2LzY4K3ZyNk5ZSGxwS1NrczN2MDZIRmljWEh4MVIxd09BQU9OMlBHak5reGFOQ2dGNk9qb3dlTUhqMTZlL09UdnhPYVY4ZExTZ2c4amlBMk5qWnIxS2hSd2Qva0FwZnFFaElTZnBxZG5lMk5pb29hSWpYTkZvMFlNY0xkM0MxNjFLaFI2M3IxNmpYTGJrM1IwZEVEUjQ4ZXZVMVNqK2FtSTdLeXNqWTMvOG1GTnNYR3hwNHljdVRJNExPajB0UFRIMityWDNwNitxTjI2d0RROFZKU1VpN3QzYnYzek9iRkdFa1JjWEZ4bWRuWjJmVnFldUJsVUh4OC9PbHhjWEdUazVPVHJ4ZzZkT2lua25xT0dUT21NaW9xYXJBa05aOUhFbHB1azU2ZS9saXZYcjErM3dHSEFuUjZ6RGp0SjZmVDJTODhQRHlwcXFycXZicTZ1bzJTNVBGNHZnaXNsbFFyS1VYTmwrYVNrNU4vVTExZHZWeE5meThxM0xLc3lPVGs1Ri8wNzkvLzJlM2J0ejhhRXhOejlQRGh3M010eXdvckxpNmUzanhPM1lZTkcwNFlPSERnQnc2SEk3bTB0SFRHdnVycTA2ZlBuT1liUDNjMUw5OVlWMWUzdXJhMjlqOTcyaVlwS2VtczZ1cnFqeVZwNU1pUksxdCsvckdSSTBldTNMUnAwMjJWbFpWdjdQT0xCS0JEbFplWHp3dTg3dDI3OTR3K2ZmcmNib3p4YmR1MjdTSDk2RGFCd0QyWUdSa1owNnVxcXBha3BhVmRXMUZSOGMvNit2cjFnYkd5c3JKVytmMysydVpOd24wKzMvYVNrcElEL29zR0FMb3hwOVBadjArZlB2Y0dsZ016UzFMVFUzbXpzckpLUm8wYXRUNHRMZTFQa3RTM2I5OEhuVTduK1BUMDlEbVptWm5mcDZlblA5YS9mLzlIbXY4VzNMNkNhMXBzYk94UDdOUVZHeHVicFJhL1dVWkhSMmNFWnJQMm9sY2I5Mk1CNk5vaUpNVnAzK2NYaDVwbXlHT2FQd05BcDlEV3lZdVpQZ0FBQUFBQUFBQUFBQUFBQUFBQUFBQUFBQUFBQUFBQUFBQUFBQUFBQUFBQUFBQUFBQUFBQUFBQUFBQUFBQUFBY0FpNFhDN2pjcmxNcU9zQTBMVnhMZ0VPWEZpb0N3QUFBT2dxQ0U0QUFBQTJFWndBQUFCc0lqZ0JBQURZUkhBQ0FBQ3dpZUFFQUFCZ0U4RUpBQURBSm9JVEFBQ0FUUVFuQUFBQW13aE9BQUFBTmhHY0FBQUFiQ0k0QVFBQTJFUndBZ0FBc0luZ0JBQUFZQlBCQ1FBQXdDYUNFd0FBZ0UwRUp3QUFBSnNJVGdBQUFEWVJuQUFBQUd3aU9BRUFBTmhFY0FJQUFMQ0o0QVFBQUdBVHdRa0FBTUFtZ2hNQUFJQk5CQ2NBQUFDYnJGQVhnRDNMenM2K3dyS3NPMXMwOVduK3ZLbEYyK081dWJsM2RXQlpBTG9ZemlYQXdSTVI2Z0t3Wno2Zjc3T0lpSWcrYmF3S3RsbVc5VTRIbGdTZ0MrSmNBaHc4ekRoMWN0bloyU3N0eXhxMWg5WGY1K2JtRHU3UWdnQjBTWnhMZ0lPRGU1dzZPY3V5WHQ3VE9tUE1leDFaQzRDdWkzTUpjSEFRbkRvNVk4eVNQYTN6Ky8zLzZNaGFBSFJkbkV1QWc0TkxkWjJmNVhLNTFrbkthTmxvalBuQjdYYW5TektoS1F0QUY4TzVCRGdJbUhIcS9Jd3g1cVUyMnQ4Vkp6b0E5bkV1QVE0Q2dsTVg0UFA1M3ZweFcxaFkyS3VocUFWQTE4VzVCR2cvTHRWMURXSFoyZGtsbG1YMWtTUmp6RGEzMjUwbXlSZml1Z0IwTFp4TGdIWml4cWxyOEV0cStZNllmNHNUSFlEOXg3a0VhQ2VDVTlleE9QRENHTE13bElVQTZOSTRsd0R0UUhEcUl0eHU5K2ZHbUIyU3Fob2FHdDRPZFQwQXVpYk9KVUQ3OENkWHVvNEd5N0lXR0dONkZSWVdla05kRElBdWkzTUowQTdkNHVad2w4djFvYVNUUTEwSC9zc1k4N1hiN1I0ZjZqcUEvY0c1cFBQaFhJS08xbDB1MVIwV0p6cGpqSXc1UEI2M1lsbldNYUd1QVRnQW5FczZHYzRsNkdqZDZsSmRUazVPcUV1QXBISGp4b1c2QktCZE9KZDBEcHhMRUFyZFpjWUpBQUNnM1FoT0FBQUFOaEdjQUFBQWJDSTRBUUFBMkVSd0FnQUFzSW5nQkFBQVlCUEJDUUFBd0NhQ0V3QUFnRTBFSndBQUFKc0lUZ0FBQURZUm5BQUFBR3dpT0FFQUFOaEVjQUlBQUxDSjRBUUFBR0FUd1FrQUFNQW1naE1BQUlCTkJDY0FBQUNiQ0U0QUFBQTJFWndBQUFCc0lqZ0JBQURZUkhBQ0FBQ3dpZUFFQUFCZ0U4RUpBQURBSm9JVEFBQ0FUUVFuQUFBQW13aE9BQUFBTmhHY0FLQUwrL2JiYjJXTUNYVVpRTGRCY09vRVRqenh4TDJ1bnpoeDRtNXQvLzczdjRPdmpUSDYvUFBQVlZkWHArM2J0MnY5K3ZWdGpsTlZWYVdpb3FKV2JmLzV6My8wL2ZmZjczL1JBRHFGU3k2NVJBME5EVzJ1S3lrcDBlYk5tOXU5ajhiR1J0MTc3NzFhdm54NXU4Y0N1cnFJVUJkd09QSDVmRHJtbUdNVUZ4ZlhxcjIydGxZUkVSR0tqSXhzMVg3NTVaZHIyclJwd2VWWFhubEZwNTkrdWo3NjZDTU5HVEpFbzBhTjJ1TysvdktYditqVVUwK1ZKSDN6elRlNjlkWmJ0WGp4WW0zWXNFRVBQUENBRml4WW9MQ3cxcmw0eDQ0ZG1qZHZubTY3N2JaZzIyT1BQYWFycnJwS0dSa1pCM3pjQURvWHY5K3ZzTEF3NWVmbmE4NmNPWm8xYTVaKzhwT2ZhT0xFaWJ1ZG53SzhYcTgrK2VTVE50ZmRmZmZkS2lvcTB2TGx5L1hzczgrcVY2OWVoN0w4N3NSS1NVbTVOQ1VsNVVxbjB6a21MQ3dzdHJHeGNYdHRiZTEvMXE5ZmY2NmtSa2xoUFhyME9EWXhNZkdDa3BLU21aTGFUc2syT1ozT0NTTkdqUGlpcXFycW5YWHIxcDNSMXJyYzNGeW5wTHIyN09kd1JuQTZCRnFlZktxcnEzWDY2YWRyenB3NU91cW9vMXIxKysxdmY2dmpqanRPa2xSUlVhSG5uMzllUC8vNXo5V3JWeS9kY01NTm1qWnRtbjc1eTEvdWMzOHZ2L3l5cnI3NmFzWEV4T2pvbzQvV1VVY2RwYUtpb21BWTJycDFxeVRKNlhRcUl5TWp1RnhkWGEzMTY5ZnI2S09QUGlqSERTQTA4dlB6Z3ovSHp6Ly92SXFLaW5UNzdiZHJ5cFFwNnR1M3J4NTk5RkdkY01JSmtsclBWcmZVMXN5M3orZlQzWGZmcmRMU1VzMmRPMWVMRnkvV3IzNzFLejM4OE1NYU5HalFvVHVnN2lFaUl5UGoxYWlvcUVFLy9QRERMVlZWVlo5S2FvaU5qUjJSbEpRMFZjMVhoTEt5c242UVpCd09SMXBKU2Nrc3RUTTRCY1RGeFIyZmtwSnlhWGw1K2J5RE1WNTNRbkE2UkM2NjZDTFYxTlNvcnE1T3RiVzF1dlBPTzF1dFg3Um9rVTQrK1dTOTlkWmJrcVIzM25sSFo1eHhoc0xEd3pWaHdnUTk5OXh6bWo5L3Z2eCtmNnZ0QXJOTU5UVTFPdlhVVTNYWlpaZnAwMDgvMWRxMWEvWENDeTlJa2padjNxeGx5NVpKa3BZc1dhTHAwNmRMa3Rhdlg2L0Jnd2ZyelRmZmxDVEZ4Y1dwb2FHaDFaZ3hNVEZLVEV3TTlnSFFPU3hac2tUMzNudHZjTm15TEgzNjZhZVNtbWFyano3NmFMMzIybXVhUDMrK0huLzhjVWxOczh6WjJkbDY5dGxuOTN0L3BhV2x1dTIyMjVTWW1LaS8vZTF2aW95TTFBVVhYS0NvcUNoZGVlV1YrdDN2ZnFmenpqdFBsbVVkbkFQczVGd3UxMU4rdi8vZkhvL24zZSsrKzI1WGU4ZnIwNmZQYlZGUlVVTldyVm8xVVZKTm9MMm1waWF2cHFZbUw3QzhmdjM2TTQweGtTTkdqUGlpdmZ0c2FmUG16ZmYwN2R0M1RubDUrWHVTdGg3TXNYRVljTGxjeHVWeW1VT3RzYkV4dUo4VFRqaGhqLzBDNnlvckswMXBhYWs1NFlRVFRHRmhvZG15WllzeHhwamk0dUpXL1NkTW1ORG1HSDYvMzF4enpUWG1xS09PMm1kL3Y5OXZ4bzhmSDF6KzRJTVB6SVFKRTh5amp6NGFiRHZ1dU9OTVRVM052ZzZ6M1FML0hxSCt2Z0QyVjBlZFMvWmwvZnIxNXNJTEx6VEdOUDA4blg3NjZlYXV1KzR5WjU1NXBsbS9mcjB4eHBqeThuSno1cGxubW1lZmZkYjRmRDVqVE5PNTRiVFRUbXZ6STNCZXFxNnVObzgvL3JpWk5HbVNlZmJaWjQzZjc5OXQvd1VGQmVic3M4ODJVNmRPTmN1V0xldWdvOTVkUjU1TFhDNVhUZlArdkM2WDY1L1oyZG4vbTVXVmxYU0F3em5HakJsVG1aaVllSjZkems2bmMwTHpjVVlmNFA3YUdpdCs2TkNoeXpNeU1sNDdGUHM1bkRIamRBaGRlT0dGYmJiWDF0WktrcVpPblNxcGFhWm41c3laa3FRbm5uaEN0OXh5aTlMVDAzWFRUVGNwSVNGaGorUHYyclZMZ3dZTlVrNU9UcXQ5TlRRMDZNSUxMOVRJa1NOMSsrMjNCOXNhR2hxQzAvRXpac3pRYmJmZHBxVkxsMHFTeXNyS0ZCTVRvNWlZbVBZZE5JQkQ3dTIzM3c3T0ZFdlN0R25UOU1namoraWYvL3luampqaUNFbFNjbkt5WG4zMVZjMmRPMWZ2di8rK1RqdnRORWxOczlzUFBQQ0Fac3lZMFdyTUJ4NTRRSkswWWNNR2ZmWFZWM3JtbVdkMDBVVVhCV2V5VzZxdXJ0YlNwVXYxMm11dkJTLzlkeFpEaGd5SldyZHVYWDIvZnYyY3BhV2xYa20rVWFOR0pSY1dGdTRZUG54NHl1clZxeXNrK1RNek05TlhybHhaTW5iczJJRjVlWG5Ga3Z4WldWbkRDd29LVm1kbFpXVVZGQlFVU0FvZlBYcjBpQlVyVnF3MHhuZ3R5NHFSNUpCMHJtVlo1em9jamdhWHkvV2VNZVpma3I1MXU5MjJab1VpSXlPSGhJZUhKMVJXVm41K3lMNFErK2JmdUhIakZjT0hEODlQU0VpNFlPZk9uYStIc0pZdWhlQjBFUGw4UG9XSGh3ZVhYMzMxMVRiN0JjTExraVZMOU9tbm4rcTY2NjdUUC83eEQ4WEh4MHRxdWtmaHlTZWYxT09QUDY1WnMyYnRjWC94OGZHNjRZWWI5TnBycjdYYTE4U0pFM2ZiZDExZG5YcjI3S2wzMzMxWFo1OTl0bHd1bC9yMDZhUDU4K2ZMNS9QcDY2Ky9WbloyOWdFZk80Q09VVjFkcmNXTEYrdkZGMThNdGsyWk1rV0xGaTNTTysrOG8wc3V1U1RZSGhNVG94dHV1RUZTMC9rcGNGbHR5Wklsd2VEVTJOaW9CUXNXNkp0dnZwSFg2MVZtWnFhZWYvNzU0Qmcvdm1IYzcvZHIvUGp4U2toSTBKVlhYbm1vRG5PL3VGeXVONHd4ejd2ZDdqZDc5T2l4UTFKc3o1NDlYei9paUNQdXlzdkwreXd5TW5LMXBGU24wL25PNk5HanoxK3hZa1dwdytINFJGSkdXRmpZNjhPR0RUdnB1KysrcTNZNEhBc2xaVVZFUk15WE5IYllzR0V4NGVIaGY1RjBycVRZTm5idGtEVEZzcXdweGhqdnVISGo3c3JKeWJsTGttOXY5VG9janFqbWw4RitxYW1wZitqWHI5OERnZVdPdUVHN3ZyNSt6ZWJObTIvdDM3Ly9Zd1VGQlI4ZHluMGRUZ2hPQjVIWDYxVlVWRlJ3K2Z6enoyK3pYMkRHU1pJV0xsd29oOE9oNjYrL1hoZGRkSkZPT2VVVWhZZUg2NnFycnRLMmJkdVVtNXNybjgrbjU1OS9YcFdWbGJydXV1dGFqV1gzL29LS2lnb2xKVFhOS3RmVjFjbnBkRXFTaGcwYnBvOCsra2l2dnZxcXJyamlpdjA2WGdBZGIrN2N1VHJwcEpQVXMyZlBZRnQ0ZUxqdXZQTk9YWHJwcFJvMGFKQW1UWm9VWFBmQ0N5L0k3L2ZyakRQT1VISnljckRkNy9mcmd3OCswTnk1Y3pWcTFLamdmVXo3VWwxZHZjZDM1b1ZLYm01dThHVHJkcnRqbXorZjBhSXR0Zm56TVMzYU1wcTNIZGRpbkt6bWRXTWxxZmxlcG5PYlYxZEsrdThYdlVtanBDOGx2ZW4xZXVjWEZoWnVzVk52VFUxTmtTUi9YRnhjWm5WMTljZVNWRlpXOW1CWldkbURnWGUyMlJubllDZ3JLM3NvTVRIeGdnRURCdnkvc3JLeXh6dHF2MTBad2VrZzJybHpaM0RXNk05Ly9yTUdEeDZzQVFNR0JCOVRrSk9UbzdLeU1xMWN1VktTOU1VWFh5Z2hJVUZSVVZHNi8vNzdOV3ZXTE5YVTFHanUzTGx5T0J6cTJiTm44RzIvTVRFeEdqcDA2Rzc3TENrcGthUjlYcW9yS1NrSnZzdk80L0VvTnJicGw2ZXp6ejViMTE1N3JkTFQwNFB2dWdIUU9YMzExVmQ2Ly8zM3RYRGh3dDNXRFJvMFNMTm56OWJOTjkrc3UrKytPL2p6L1Bubm4rdU1NODdRMnJWck5YRGd3R0QvWC96aUY4ckl5TkFERHp5Z3dZTUh5K1B4QkI5ajBKWmR1M1lwSmlaR2JyZGJhV2xwaCtUNE9qUExzZ0wzL1RRYVl6NnpMR3VSTWVaRnQ5dTk3UUNHcTZ5c3JIeXJWNjllTXdMQktZVDhSVVZGMDBhTUdPR3VyNjl2K3lHQWFJWGdkQkNWbEpTb2I5KytrcVRJeUVoZGZQSEZldXV0dDRJaHhldjE2dkxMTDllZGQ5NHByOWVyKys2N1R3OC8vTENXTFZ1bWxKUVVQZlhVVS9MNWZEcjc3TE5iamJ0MDZkSmdNTnF4WTRkeWMzUGw4WGgwNXBsbktpVWxSWkwyZWFsdTJiSmxPdWFZWStUMys5WFEwQkQ4elRJcUtrcjE5ZlhxMjdjdlR4OEdPckdOR3pmcWxsdHUwYTIzM3JySGV4OG5UNTZzbVRObmF1Yk1tYnJtbW10MDdybm5hc1dLRmJydnZ2djB4Qk5QdExvYy8rQ0REMnJBZ0FIQjVVOCsrVVM1dWJtNjVaWmIyaHo3Z1FjZTBIdnZ2YWZZMkZqTm5EbFRmcjlmVjExMWxaNTU1cGs5aHEzRGlUSG1mY3V5UG01b2FIaXBvS0Nnb3IzamJkNjgrWGREaGd6NUxDTWo0NDB0VzdiY1dWdGJXeWdwTGo0K2Z2Y25IdStGMCtsTTkzZzhKZTJweGV2MXJ0NjZkZXZ0dlh2My9uTjd4dWt1Q0U0SDBSZGZmS0dzckN3MU5EVG9vWWNlMG05LysxdkZ4OGZMNTJ1NmpCMFpHYWxiYjcxVk0yYk0wSFBQUGFkcnI3MjIxWWxMVXF0N3BIN000L0hvdlBQT1UyWm1wbTY0NFFaTm5EaFJBd1lNYVBQSjRpMnRYcjFhSDMzMGtYNy8rOStycEtSRWlZbUprcHFlR2o1ejVrek5talZMQ3hjdTFMUnAwL1RIUC81Unc0WU5hK2RYQXNEQlZsQlFvRXN2dlZRbm5YU1M2dXJxNUhBNFZGUlVKSWZEb1lpSS81N0t6ejc3YktXa3BDZ3FLa3BMbHk3VnlKRWpaWXpSdSsrK3E1ZGVla21TRkJFUkVmeWxLeUF2TDIrM1p6TkZSMGRyN2RxMU92TElJelY3OW16Tm5qMDd1TzZERHo1UWRYVjF0d2hOa3VSMnUzOStNTWZ6ZUR6RkJRVUZSNlducC84cEl5UGpYdzZIbzQvZjcvZlUxZFd0MnJ4NTg1OGtlYVdtZDNJR3RuRzVYSjdBNjl6Y1hFdFNkRVpHeGtmYnQyOS9kdXZXcmZlMHA1NHRXN1k4bUpDUWNINXNiT3d4Kys3ZHZSR2NEcEthbWhvdFhyeFlUei85dE9iT25hdUJBd2ZxOU5OUGw5ZnIxZGF0V3hVZDNUVExPM0hpUlAzUC8veVBicnp4UnMyYnQzL1BIWE02bmZyd3d3OWJuU1FEV2w2cVMwOVBEeTdmZDk5OXV2YmFhL1diMy94R0gzNzRvZjd5bDcvb2w3LzhwWjU3N2puOS9lOS8xMjIzM2FaVFR6MVZwNTEybXU2OTkxNU5uVHBWRjF4d3dWNXZTZ2ZROGFaTW1SSjhQVy9lUEQzNTVKTUtDd3ZUeFJkZnZGdDRDVHhZZDhHQ0JUcisrT08xWU1FQ1RaNDhXZjM2OVF1T2RjRUZGd1RQUzM2L1g0bUppYnI2NnF0YmpSUDQ2d2FCWC80Q2pERktUVTNWVFRmZGROQ1BzNXZaV2xKU01yMmtwR1Q2bmpvMEI2UTlxZHV3WWNNSkF3Y08vTURoY0NTWGxwYk8yRXRmU1pMSDQvbHlEMlA2dnZ2dXUvRjJpa1kzMEJIUFhzbk56VFV6Wjg0MFBwL1AzSFhYWGFhbXBzYjg2VTkvTWk2WHk0d2ZQOTc4N1c5L0MvWnRiR3cwVHovOXRLbXZyemZHR0xOZ3dZSzlqdjNTU3kvdGRmMnZmLzNydmE3UHk4c3p4alE5eXltd3o5emNYTE5xMWFyZCt1Yms1QVNmSjNXbzhCd25kRldkNVRsT2pZMk5wcWFteGpRMk51NjFYME5EZzZtdXJqWWVqOGRVVjFkM1VIVWRoM05KVUZwc2JPeFBRbDFFZDlFdEh2a2ErTUhLeWNrNXBQdnhlcjI3dlN2Rk5OODMxRjJlcm12SHVIRk5iMkxaeDI5U1FLZlRVZWNTMk1PNUJLSEFwYnFEcUsyMzhoS1lBQUE0ZkhTUHUvb0FBQUFPQW9JVEFBQ0FUUVFuQUFBQW13aE9BQUFBTmhHY0FBQUFiQ0k0QVFBQTJFUndBZ0FBc0luZ0JBQUFZQlBCQ1FBQXdDYUNFd0FBZ0UwRUp3QUFBSnNJVGdBQUFEWVJuQUFBQUd3aU9BRUFBTmhFY0FJQUFMQ0o0QVFBQUdBVHdRa0FBTUFtZ2hNQUFJQk5CQ2NBQUFDYkNFNEFBQUEyRVp3QUFBQnNJamdCQUFEWVJIQUNBQUN3aWVBRUFBQmdFOEVKQUFEQXBvaFFGOUNSeG8wYkYrb1NBQndHT0pjQTNWZTNtSEV5eG53ZDZocXdtNVdoTGdEWVg1eExPaVhPSmVoUVZxZ0xnSDB1bDh0SVVtNXVMdjl1QUE1WWRuWjJ0V1Zac2ZYMTlUMEtDd3VyUTEwUDBKVjBpeGtuQUFDQWc0SGdCQUFBWUJQQkNRQUF3Q2FDRXdBQWdFMEVKd0FBQUpzSVRnQUFBRFlSbkFBQUFHd2lPQUVBQU5oRWNBSUFBTENKNEFRQUFHQVR3UWtBQU1BbWdoTUFBSUJOQkNjQUFBQ2JDRTRBQUFBMkVad0FBQUJzSWpnQkFBRFlSSEFDQUFDd2llQUVBQUJnRThFSkFBREFKb0lUQUFDQVRRUW5BQUFBbXdoT0FBQUFOaEdjQUFBQWJDSTRBUUFBMkVSd0FnQUFzSW5nQkFBQVlCUEJDUUFBd0NhQ0V3QUFnRTBFSndBQUFKc0lUZ0FBQURZUm5BQUFBR3dpT0FFQUFOaEVjQUlBQUxDSjRBUUFBR0FUd1FrQUFNQW1naE1BQUlCTkJDY0FBQUNiQ0U0QUFBQTJSWVM2QU95WnkrVzZSZEpkYmJTYndHdGp6Qk51dC91M0hWb1lBQURkRkROT25aalA1M3ZIUnJkWERua2hBQUJBRXNHcFU4dlB6M2RMS3Q1TGx5MXV0L3VUanFvSEFJRHVqdURVeVJsalh0ckx1dmM3c2hZQUFMbzdnbE1uWjFuV20zdFp2YUREQ2dFQUFBU256aTQzTi9jclkwelpqOXVOTVJWdXQvdmRVTlFFQUVCM1JYRHEvSXhsV1MrMzBmNitKTk5HT3dBQU9FUUlUbDJBMysvL1Z4dk5DenU4RUFBQXVqbUNVeGVRbDVmM21hUmRnV1ZqVEkzWDYxMGN3cElBQU9pV0NFNWRRNE5hM3dqK1FXRmhvVGRVeFFBQTBGMFJuTG9JdjkrL0tQRGFHTlBXcFRzQUFIQ0lFYmF6Mno4QUFDQUFTVVJCVkp5NmlPM2J0eTgxeG5nbE5majlmdTV2QWdBZ0JBaE9YVVJwYWFuSHNxdzNqREVmcjFpeG9pYlU5UUFBMEIxMWl6L3k2M0s1UHBSMGNxanJPRmhhL3BIZnJzb1k4N1hiN1I0ZjZqb0FBTmdmM1dYRzZiQUpUWWNMeTdLT0NYVU5BQURzcjI0eDR4U1FrNU1UNmhJZ2FkeTRjYUV1QVFDQUE5SmRacHdBQUFEYWplQUVBQUJnRThFSkFBREFKb0lUQUFDQVRRUW5BQUFBbXdoT0FBQUFOaEdjQUFBQWJDSTRBUUFBMkVSd0FnQUFzSW5nQkFBQVlCUEJDUUFBd0NhQ0V3QUFnRTBFSndBQUFKc0lUZ0FBQURZUm5BQUFBR3dpT0FFQUFOaEVjQUlBQUxDSjRBUUFBR0FUd1FrQUFNQW1naE1BQUlCTkJDY0FBQUNiQ0U0QUFBQTJFWndBQUFCc0lqZ0JBQURZUkhBQ0FBQ3dpZUFFQUFCZ0U4R3BpNnF2cjFkZFhkMXU3UjZQUi9YMTlTR29DQUNBd3gvQnFSTllzbVRKYm0yclZxM1NqaDA3OXJqTjlPblQ1WGE3VzdYNS9YNWRldW1sK3U2Nzd3NTZqUUFBUUlvSWRRR1E3cjMzWGsyWk1xVlZXM2w1dWU2Ly8zNDk5ZFJUY2pnY3JkYTkrKzY3eXNuSlVXVmxwZWJNbVNOSlNrbEowYVJKazdSaHd3Yjk1UzkvQ2ZZOStlU1RkZlhWVngvNmd3QUFvQnNnT0hVaW4zNzZxV2JObWhWY05zWm84dVRKd2VYbHk1ZHI5ZXJWZXVTUlI3Umt5Ukk5OXRoanV1Q0NDNVNkbmEyQ2dnSmRjODAxV3Jod29lYlBuNjlMTHJsRWd3WU5Dc1ZoQUFCdzJDSTRoVkJnbHFtdXJrNVRwa3pSSFhmY29lWExsKzkxbXpmZWVFTzMzWGFiMHRMU2RPV1ZWK3FiYjc1UmRuYTI0dUxpZE9lZGQyclhybDA2NTV4ejlNa25ueENjQUFBNHlLeFFGOUFSWEM2WGthU2NuSnhRbDlLbVNaTW1CUVBUaHg5K3FKU1VGSTBkTzFhUzFORFFvSWNmZmxqWFhIT05uRTZuSk9uR0cyL1VwazJiZ3R1Ly9QTExrcHBtcUU0ODhVUXRXN2FzZzQ5Zy80d2JOMDZTbEp1YjJ5MisvNERPSmpzN3U5cXlyTmo2K3ZvZWhZV0YxYUd1QitoS3VEbThrL25oaHgvMHdRY2ZCSmUvKys0N3ZmZmVlOEhRSkVrYk5telFpeSsrcUpkZmZsbTF0Ylg2N3J2dmRNNDU1K2pjYzgrVngrUFJPZWVjRS96WTJ3M21BQUJnLzNDcExrU01NU290TGRYMzMzOHZyOWVyMy96bU54b3laSWhPUGZWVTNYdnZ2Y0YrK2ZuNU91YVlZM2JiL3JMTExwTWtsWldWYWRpd1lWcTBhSkdxcTZ0MTBVVVhhZEdpUlpLa3M4OCtXNUdSa1IxelFBQUFkQU1FcHhEeGVyMjY1cHByZE9TUlJ5bzhQRnkvL2Uxdk5YTGtTUGw4UG0zWXNFRWVqMGRPcDFPNXViazY2YVNUZHR0KzNyeDVDZ3NMMHpubm5CTnNxNm1wVVhSMGRIQzV0clpXTVRFeEhYRTRBQUIwQzF5cUM1R29xQ2k5K2VhYit1dGYvNnJ3OEhCbFpXVXBQRHhja1pHUkdqUm9rRmF2WGkyLzM2L2MzRndkZSt5eHJiWnRiR3lVWmUxK2U5QzZkZXVVbXByYXFsOVlHUC9FQUFBY0xNdzRkVUxEaGczVG1qVnJGQmtacWI1OSt5b2xKU1c0emhpam5UdDM2cEpMTHBIVWRLa3U0TjEzMzFWbVpxYWtwaG10SHovL0NRQUF0QS9CcVJPNjZhYWJGQjBkclNlZmZGTEhIMzk4cTNYcjE2OVhTa3FLWG56eFJVa0tYcXI3OHNzdjlmNzc3K3UxMTE2VEpLMWV2Vm85ZS9iczJNSUJBRGpNRVp4Q3FLcXFTbjYvWHhFUlRmOE1reVpOYXJYZTYvVXFQRHhjOCtmUGx5UmRjY1VWMnJwMXE3S3pzMldNa2QvdlYwTkRnOTUvLzMzTm5qMWJ2L2pGTDFSWVdLaUxMcnBJeGhqTm5EbXp3NDhKQUlEREdjRXBoQzY1NUJKdDI3WXRPR3UwcjRkZlN0S2NPWE4wNnFtbjZxR0hIdElubjN5aUUwNDRRZm41K1pvMGFaSisvL3ZmS3p3OFhLZWRkdHFoTGgwQWdHNnBXenlBc0xNL0FITi8rSHcraFllSDc3T3RNK01CbUVCbzhRQk00TUR4bHFzdXBxMkExSlZDRXdBQVhSbkJDUUFBd0NhQ0V3QUFnRTBFSndBQUFKc0lUZ0FBQURZUm5BQUFBR3dpT0FFQUFOaEVjQUlBQUxDSjRBUUFBR0FUd1FrQUFNQW1naE1BQUlCTkJDY0FBQUNiQ0U0QUFBQTJFWndBQUFCc0lqZ0JBQURZUkhBQ0FBQ3dpZUFFQUFCZ0U4RUpBQURBSm9JVEFBQ0FUUVFuQUFBQW13aE9BQUFBTmhHY0FBQUFiQ0k0QVFBQTJFUndBZ0FBc0luZ0JBQUFZQlBCQ1FBQXdLYUlVQmZRa2NhTkd4ZnFFZ0FBUUJmV0xXYWNqREZmaDdvRzdHWmxxQXNBQUdCL2RZc1pKN2ZiUFQ3VU5Sd01McGZMU0ZKdWJxNFY2bG9BQU9pT3VzV01Fd0FBd01GQWNBSUFBTENKNEFRQUFHQVR3UWtBQU1BbWdoTUFBSUJOQkNjQUFBQ2JDRTRBQUFBMkVad0FBQUJzSWpnQkFBRFlSSEFDQUFDd2llQUVBQUJnRThFSkFBREFKb0lUQUFDQVRRUW5BQUFBbXdoT0FBQUFOaEdjQUFBQWJDSTRBUUFBMkVSd0FnQUFzSW5nQkFBQVlCUEJDUUFBd0NhQ0V3QUFnRTBFSndBQUFKc0lUZ0FBQURZUm5BQUFBR3dpT0FFQUFOaEVjQUlBQUxDSjRBUUFBR0FUd1FrQUFNQW1naE1BQUlCTkJDY0FBQUNiQ0U0QUFBQTJFWndBQUFCc0lqZ0JBQURZUkhBQ0FBQ3dpZUFFQUFCZ0U4RUpBQURBSm9JVEFBQ0FUUVFuQUFBQW13aE9BQUFBTmhHY0FBQUFiQ0k0QVFBQTJFUndBZ0FBc0luZ0JBQUFZQlBCQ1FBQXdDYUNFd0FBZ0UwUm9TNEEreTg3TzN0cnFHdkFZU1ZTVXJXa3BhRXVCQjBtSnRRRkFGMFZ3YWxyV1MxcHVHVlpxYUV1QkllZFJFbVhocm9JZEt5YW1wckdVTmNBZERWV3FBdkFmb2tZUFhwMGNxaUx3T0VsSWlKaXF5UVpZeTRMZFMzb09INi9QeWMvUDc4dzFIVUFBTkNsdUZ3dTQzSzVUS2pyQUlDdWdKdkRBUUFBYkNJNEFRQUEyRVJ3QWdBQXNJbmdCQUFBWUJQQkNRQUF3Q2FDRXdBQWdFMEVKd0FBQUpzSVRnQUFBRFlSbkFBQUFHd2lPQUVBQU5oRWNBSUFBTENKNEFRQUFHQVR3UWtBQU1BbWdoTUFBSUJOQkNjQUFBQ2JDRTRBQUFBMkVad0FBQUJzSWpnQkFBRFlSSEFDQUFDd2llQUVBQUJnRThFSkFBREFKb0lUQUFDQVRRUW5BQUFBbXdoT0FBQUFOaEdjQUFBQWJDSTRBUUFBMkVSd0FnQUFzSW5nQkFBQVlCUEJDUUFBd0NhQ0V3QUFnRTFXcUFzQTBMR3lzN1AvWmxuV0pTMmFFcG8vN3d3MCtQMytUL1B5OHM3cTJNb0FvUE5qeGdub2Z2TFVGSllDSHdIQk5zdXkzS0VvREFBNk8yYWNnTzdIa1oyZFhXZFpWcHUvT0JsanpMWnQyMkpMUzBzOUhWMFlBSFIyekRnQjNVL0QzbWFVTE12YVRHZ0NnTFlSbklCdXlCZ3pieStyWCttd1FnQ2dpK0ZTSGRBTjlldlh6NW1hbWxxajNjOEJwcVNrSkg3YnRtM1ZvYWdMQURvN1pweUFicWkwdE5SaldkYTNQMjV2dXIySjBBUUFlMEp3QXJxcGhvYUdmN1RSdkxqREN3R0FMb1RnQkhSVFlXRmhqMHN5Z1dWampIdyszeTBoTEFrQU9qMkNFOUJONWVYbFZScGoxZ2VXTGNzcVg3RmlSVmtvYXdLQXpvN2dCSFJ2THdkZUdHUGVEMlVoQU5BVkVKeUFicXl5c3ZJeFk1cXUxalUwTk53VTRuSUFvTk1qT0FIZDJJWU5HN1pLMmlDcGN1WEtsU1docmdjQU9qdWU0d1FjSUpmTDlhR2trME5kUjNzRlpwd3NxK3VmRG93eFg3dmQ3dkdocmdQQTRZc1pKK0RBZGZuUUZIQTRoQ1pKc2l6cm1GRFhBT0R3RmhIcUFvQ3VMaWNuSjlRbFFOSzRjZU5DWFFLQWJvQVpKd0FBQUpzSVRnQUFBRFlSbkFBQUFHd2lPQUVBQU5oRWNBSUFBTENKNEFRQUFHQVR3UWtBQU1BbWdoTUFBSUJOQkNjQUFBQ2JDRTRBQUFBMkVad0FBQUJzSWpnQkFBRFlSSEFDQUFDd2llQUVBQUJnRThFSkFBREFKb0lUQUFDQVRRUW5BQUFBbXdoT0FBQUFOaEdjQUFBQWJDSTRBUUFBMkVSd0FnQUFzSW5nQkFBQVlCUEJDUUFBd0NhQ0V3QUFnRTBFSndBQUFKc0lUZ0FBQURZUm5IRFF4TVRFSENYSkNuVWRYWkhQNXd0MUNRQUFHd2hPT0dpR0R4LytqYVNvVU5mUkZVeWFOQ240dXJLeVVsT21URkZqWStNZSs1OTQ0b2w3SFcvaXhJbXRsci85OXR2MkZTako3L2NyUHo5ZjI3WnQyMnUvQlFzV1NKS01NZHEwYVpNazZadHZ2dEVQUC93UTdMTm16Um8xTkRRRWw0OCsrdWpkeHZGNnZSbzNibHk3NndhQVE0bmdoRU9ONzdFV0huNzQ0VmFCUXBMZWZmZGRUWnc0VVJFUkVidjFmL25sbDFzdHYvTEtLNnFxcXRLaVJZdFVXRmpZNWo2cXFxbzBlL1pzM1hubm5mSjRQRHJtbUdNMFpjcVVOajkrSExoYWV1U1JSM1RWVlZkcC92ejVlejJtcDU1NlNwSzBiZHMyL2ZyWHY5YUdEUnRVVmxZV2JDOHRMZFdWVjE2cC9QejgzYmE5L2ZiYjllV1hYKzdXWGw5ZnIrblRwOHZyOWU1MTM0Y1JLeVVsNWJLaFE0Y3VHek5tek03czdPekdyS3lzTFlNSEQxNGlLVUtTb3FLaWpzekl5SGh0ekpneE83S3pzK3VHREJueVlYUjBkTWFCN3REcGRFNXd1VnhteUpBaGIrOXBuYVRvQXo4azRQREVmMm80cU9MaTRvNE52TzdkdS9kTi9mdjNmemFVOVhRMnk1Y3ZWM1QwZi84dk1zYm8xVmRmMVFjZmZLQlRUejExdDQrUFB2cElhOWFza1NSVlZGVG8rZWVmVjJ4c3JIcjE2cVViYnJnaE9OdlRVbng4dk9iTm15ZEpXcmx5cGNMRHc3Vmt5WkkyUC9ia21XZWUwUWNmZktCWFhubEZPVGs1ZXVhWlovWjViS21wcWJybW1tdjAyV2VmNmVTVFQ5YWdRWVBrOVhwMTAwMDNhY3FVS1RycXFLTjIyMmJpeEltYVBYdTJhbXRyVzdVdldyUkk0ZUhoaW95TTNPZCtEd01SR1JrWnI2ZW1wbDYzWmN1V2UvTHo4L3U2M2U3WTc3Ly8vclQ2K3ZwVmFqNVBKeVFrbkxOcjE2NlA4dlB6Qjd2ZDdnR1M2Z2NNR1BCaWUzY2VGeGQzZkVwS3lxWHRIUWZvTG5iL0ZSZlloNVNVbE12UzA5TWZhOUZrOHZMeWVraFNhbXJxNzZxcnE1ZW1wcWIrSmpVMTlRL3IxcTM3YVlqS2JKZnM3T3g3akRHTDgvTHl2cEowVUc1QWFtaG9VR2xwcVg3MXExK3BycTVPNTU5L3ZvNC8vbmoxNjlkUGMrYk0wVTAzM2FRRkN4Ym8rT09QMTBjZmZhUlRUejFWa3lkUDFsdHZ2U1ZKZXVlZGQzVEdHV2NvUER4Y0V5Wk0wSFBQUGFmNTgrZkw3L2UzMms5NWVibGlZMk4xNjYyM1NtcTZmMnJLbENtMmF2UjRQTHJ2dnZ1MFlzVUtQZjMwMDBwTFM5UGpqeit1NmRPbmErUEdqYnI1NXBzVkd4c3JTWm8zYjU1ZWZ2bGw3ZHExUzZlZmZyckt5c3JVcjE4L1NkTENoUXNsU2ErLy9ycHFhbXBVVlZXbHp6NzdURkZSVWZKNnZmTDcvVHJubkhPMGFORWkvZXRmLzlJVFR6eWg2ZE9uUzJxYWJabzNiNTRlZmZUUjluL1JPNERMNWJyZUdGTWVGaGIyZGs1T3p2YjkzYjVQbno2M1JVVkZEVm0xYXRWRVNUV0I5cHFhbXJ5YW1wcTh3SEpaV2RrY3RmaGUzTHg1ODBQRGhnMTdYMUs0MnZFOXVubno1bnY2OXUwN3A3eTgvRDFKV3c5MEhBQ0FEWkdSa1NOSGpCaXhRcEpjTHBmSnlzb3E2ZCsvLzl6TXpNeWl5TWpJa2FHdTcwQmxaMmY3WFM2WGNibGNaZG5aMlErUEdUTm04cWhSbzFwTmZ6U3ZOM2JsNU9TWWE2NjV4aGhqekhISEhXZThYcTg1Nzd6enpJb1ZLOHo3Nzc5dmJyLzlkck5qeHc1ejFsbG5HV09NbVRCaGdxbXNyRFNscGFYbWhCTk9NSVdGaFdiTGxpM0dHR09LaTR0YmpUMWh3b1RnNjNuejVwa3BVNmFZenovL2ZMZDFQOVp5M1pkZmZtbk9PZWNjYytPTk41cXFxcXBXL2VycjY4M3MyYlBOejM3Mk03TjQ4V0xUMk5nWVhEZDU4dVJXbi9lazVmcWpqam9xK0hyanhvMW16Wm8xcHI2KzNyaGNMdVAxZXMzeTVjdjNPbFpiQXY4ZUlmaGUrVmZ6dmh0Y0x0ZTdZOGFNbVRacTFLamVOamQzakJrenBqSXhNZkc4L2QxdlVsTFMxS3lzckMzN3UxMUFpOHR4OFVPSERsMmVrWkh4V2h2cnVGUUgvQWd6VG1pWG5qMTdYbHhSVWJFd3NMeDE2OVo3K3ZUcGMxOWVYdDVRU1pzN3FBeExrdW5YcjUrenRMVFVJeWs4S3lzcnZxQ2dvR0xFaUJGcHExYXQyaXdwYk96WXNmM3o4dktLc3JLeWhoY1VGS3lXWkkwWk0yWnNmbjYrMitWeWphdXFxbHE1YnQwNjc1Z3hZMDZTWkpySDdXbFoxclhoNGVIWGhvZUhWMlZuWjc5cVdkYWlIVHQyZkxDL1JmN3d3dyt0YmdwdmJHelUvLzNmL3lrckswdHZ2UEdHeG84ZnI3VnIxMnJvMEtIeWVyMktpb3JTMUtsVEpVazFOVFdhT1hPbUpPbUpKNTdRTGJmY292VDBkTjEwMDAxS1NFaG90WjlMTHJsRWd3WU4wa3N2dmFUeDQ4ZmJtbkY2NElFSDlORkhIK240NDQvWDBxVkxkZjc1NTdmWmIrclVxWHIyMldmbGRydURNMXBTMDMxVmp6NzZxRTQvL2ZRMkw2OTV2VjY5OE1JTHJkcU1NYnJ3d2d1MWVYUHJiNVBKa3ljSFh5OWZ2bnl2ZGUrRkpja01IRGd3dXFpb3FHN1VxRkdSTlRVMVlVVkZSWFhaMmRrOTNXNzN0dEdqUjhjNkhJNkluSnljblZsWldSa0ZCUVhmWjJWbEpWbVc1Vml4WWtWWmRuYjJHTGZiblorWm1kbkxHQk5WV0ZoWVBHYk1tRW41K2ZuTE16TXoweU1pSXFMejh2TFdXcGJWcTNtZkVaSitGaDRlL3JPd3NEQi9kbmIyTXN1eTN2VDVmTi9rNStlM2VTQ1JrWkZEd3NQREV5b3JLei9meitOejlPclY2L3J5OHZJbkQvUUwxSUovNDhhTlZ3d2ZQancvSVNIaGdwMDdkNzUrRU1ZRURsc0VKN1JIUW5KeTh1WHIxNjhQM3J4U1ZsYjJRbkp5OGhXcHFhbFR5OHJLSGp6VUJZd2RPL1lreTdMKzZIYTdUMDFOVGQxV1dsb2FsNVdWTlRJaUl1THZrbzUyT3AzL2tkUjMzTGh4UGZ4Ky82dVNqbkU0SEs5TEdpWEpDZzhQZjBMU0JHUE1yS2lvcU45SjJob1dGalpyRDd1THR5enJLa2xYSlNVbDdkamZXczg2Nnl6NS9YN1YxOWVyc2JGUnQ5OSt1ODQ0NHd4VlZGVG9peSsrMEl3Wk0vVENDeTlvN05peHFxNnVWbXhzckpZc1dhSlBQLzFVMTExM25mN3hqMzhvUGo1ZWt2VDg4OC9yeVNlZjFPT1BQNjVaczNZdmQ5S2tTY0dRNXZQNTlNWWJid1FEemJScDAvVGNjODlKa2g1ODhFRlZWbGJxOHNzdjErOS8vM3RGUmthMk9WNUxsMTU2cWJ4ZXJ6WnUzS2pGaXhkcjU4NmR1dXFxcTNUcnJiZXF0clpXNzd6emp2eCt2Mzc1eTEvcTFWZGZsZFQwcnNEMDlIVHQyTEZEaFlXRk1zYm9WNy82VmZDU250UVVyaVpPbk5pZXNDUkpHanQyN084dHkwcDN1OTEvU0VwS0tpOHFLb3FOakl5OE1pb3FxbDlSVWRFZkpSVkk2aDBXRnZhL2ZyKy9qNlRaRG9malBVbEhSa1JFbkdWWlZtOUo5MXVXOVp3a2w4UGhtR3lNNlNYcDRiQ3dzTHNrblJnWkdYbTBNU1pWMGxwanpDRExhdjBVRHN1eXdpU2RKT21rOFBCd3VWeXVwNnVxcXY2d2J0MjZxcGI5SEE1SDRGMm93VXR0cWFtcGYralhyOThEZ2VYYzNGeW5wTHFXMi9YdjMvOXhZNHh2MDZaTmQ3ZnJpOVdzdnI1K3plYk5tMi90MzcvL1l3VUZCUjhkakRHQnd4WEJDUWVzWDc5K2QremN1WE5SYlczdHBoYk52dSsvLy82U0VTTkdmRlZYVjdlcXFxcnFyVU5aUTE1ZTNzZVNQcGFrM056Y09Fa3FLQ2dva0hSMGMxdGZTY3JKeWRrcDZaam10bEhObS90emMzTW5TSkxiN2Y1NVlFeTMyLzNUN096czNlNFpNY1pVUzFvcTZmV3RXN2UrMXJ0Mzc1b2Y5OW1iOWV2WDY1bG5udEZYWDMwbFk0eCs5ck9mYWVMRWlicjExbHMxZGVwVVJVZEg2NzMzM3RNamp6eWlYYnQyQmU4bFdyaHdvUndPaDY2Ly9ucGRkTkZGT3VXVVV4UWVIcTZycnJwSzI3WnRVMjV1cm53K241NS8vbmxWVmxicXV1dXUwNVl0Vy9UY2M4OXAxcXhaU2sxTlZXTmpZekE0clYyN1ZwSlVXRmlvTDc3NFFzWVl6Wmd4UTVKMDhza243L000bGk1ZHF1am9hTDM1NXB1cXI2OVhRa0pDTUNBRlZGUlVLREV4c1ZXYngrUFJ4UmRmTEpmTEpjdXk5TWdqait6UGw4KzJ2THk4aHdPdjNXNTNiUFBuSjFxMDlXN3VGN3pqUFRjMzk4am1kZk5hdExtYTJ4YTAyUGJFNW5WdnROamxsNUxPYVZtRE1jWnZXVmFlcE1WK3YvK2x2THk4dFczVldsTlRVeVRKSHhjWGwxbGRYZjJ4SkpXVmxUMVlWbGIyb05QcG5EQml4SWd2ZnJ4TjM3NTkvOXFqUjQ4VENnc0xqNWRVdjQ4dmgyMWxaV1VQSlNZbVhqQmd3SUQvVjFaVzl2akJHaGM0M0JDY2NFQmlZMk4va3BTVTlJdUNnb0xNSDYvemVyMnJObTdjZUZsR1JzWXJHemR1L04rS2lvckZvYWl4blN4Sk1zWlVXSmIxYjJQTXdvcUtpaVZGUlVYQjMveDc5N1o3RzB1VHhzWkd1Vnd1elpvMVMyZWNjWVltVDU2c2h4NTZTRFUxTlpvNmRhcmVlT01OOWUvZlgvMzc5MWRCUVlIaTR1TDB4UmRmS0NFaFFWRlJVYnIvL3ZzMWE5WXMxZFRVYU83Y3VYSTRIT3JaczZkNjlXcTZVaFFURTZPaFE0ZEtrajc5OU5QZ3UvRWs2Znp6ejVkbFdUcjIyS1kzUGQ1enp6MzYvUFBQTlhYcTFGYVg1WGJ1M0ttdnYvNWE0ZUhodTlYdjgvbDB6REhIQkpjRE4zTy8vZlp1NzJaWFFVR0Jjbk56VzdVNW5jNWczL2ZlZTA4eE1URnRQZzZoWlZ0aVlxTGVlZWVkZlh4bE93MmZwRzhrTFpiMFVtNXU3a1liMjFSV1ZsYSsxYXRYcnhtQjRMUTNmZnYydlRzaEllR013c0xDa3lTVnRhdmEzZm1MaW9xbWpSZ3h3bDFmWDcvK0lJOE5IRFlJVHRodlVWRlJ3d1lQSHZ4eWNYSHhWWkxLMitwVFdWbjV6K0xpNHVrREJ3NTh6ZUZ3L0xFakx0c2RaUFA5ZnY4cmVYbDU3MHZhODVNcDk4T3dZY00wYk5pdzRQS3VYYnRVWFYydCsrKy9YNnRYcjliY3VYUDE3TE5OVDIrb3FLaFFURXlNN3J2dlBqMzg4TU5hdG15WlVsSlM5TlJUVDhubjgrbnNzODl1TmZiU3BVdDE0WVVYQnBlWExWdW1VMDQ1SmJqOHhodHZLQ1ltUmxKVGFNbkt5dEtNR1RQazgvbDAzMzMzdGJwZnFUMHV2YlRwWGUyZmZmWlo4TEppb1AzRER6L1V5SkVqbFphV0Ztei80b3YvVHFnRUx0VzFiT3NLTE10eSsvMytyeXpMZXNIdGRtL2E5eGF0YmQ2OCtYZERoZ3o1TENNajQ0MHRXN2JjV1Z0Yld5Z3BMajQrdmxXcTdOT256KzBKQ1FubmZQdnR0eWVwalhlL09aM09kSS9IVTNMQUJ5TEo2L1d1M3JwMTYrMjllL2YrYzN2R0FRNW5CQ2ZzdDdpNHVQRmxaV1VQVkZaV0xwSVVJOGtiRnhjMzNCampsUlI4WXVHT0hUdWVhMnhzM09MMysrdjJPRmduNVhhN0x6dlUrNGlQajllZi8veG41ZWJtYXViTW1ab3hZNGJTMHRMazkvdjEyV2VmcVgvLy9qci8vUE0xWU1DQVZ0dTFOUnZVMG80ZE8vVDExMThINzFVeXh1aWJiNzdSbDE5K3FWNjllc25oY09pRUUwNVFSRVNFUHZ2c014VVhGeCswWTVvMmJab2VldWdoSFhua2tmcjQ0NC9sOFhqa2REcDF4UlZYYU9yVXFicnh4aHRiQmFmRFFXNXU3aDN0MmQ3ajhSUVhGQlFjbFo2ZS9xZU1qSXgvT1J5T1BuNi8zMU5YVjdkcTgrYk5mMUx6ejFRZ3pMaGNybGJ2cEd1K0Iwb1pHUmtmYmQrKy9kbXRXN2ZlMDU1NnRtelo4bUJDUXNMNXNiR3h4K3k3TjlEOUVKeXczOHJMeTRQM2dmVHUzWHRHbno1OWJqZkcrTFp0Mi9hUXBGWVBGYXFxcXVveTExbENZY3VXTGJyNTVwdDF4eDEzeU9sMEJpK2xaV1JrYU02Y09lcmJ0Kzkrai9ubGwxOXErUERoNnRPbmoycHJhN1ZyMXk3OTYxLy8wZ1VYWEtCamp6MVcxZFhWT3ZQTU0yV01VVlJVMUc2elRhZWRkcHF0L2Z6d3d3OXlPcDBLRHc5WFEwT0RQdm5rRS8zOTczOVhlbnE2cnIvK2VoVVhGK3Vzczg2U3crRlFRME9Eamp6eVNBMGJOa3dWRlJYZDVjR1crMk5yU1VuSjlKS1NrdWw3NnBDYm03dlh2d081WWNPR0V3WU9IUGlCdytGSUxpMHRuYkd2SFhvOG5pLzNNS2J2dSsrK0cyK2paZ0RBQVlpUUZLZHVHTUwzOXpsT0xiMzY2cXZCMTdXMXRhM1crWHkrM2ZvdldMQmdyK085OU5KTHJaWjM3ZG9WZkwxanh3N2JkVjE5OWRWdDdqOVFWK0E1Vk1ZWTgvYmJiNXR4NDhhWk8rKzgweFFYRjV0Smt5YVpwNTkrZW8vYkcyUE02YWVmYmlaTW1HRHV1ZWVlTnNmZjEzSHVUYWllNDlUSnBNWEd4djRrMUVVQWh6UCtrajF3Z0FML1NlZms1SVM2bEU0aGNGa3VWQUovSUhoZk16TUEwQjc4clRvQUIwVW9ReE1BZEJTQ0V3QUFnRTBFSndBQUFKc0lUZ0FBQURZUm5BQUFBR3dpT0FFQUFOaEVjQUlBQUxDSjRBUUFBR0FUd1FrQUFNQW1naE1BQUlCTkJDY0FBQUNiQ0U0QUFBQTJFWndBQUFCc0lqZ0JBQURZUkhBQ0FBQ3dpZUFFQUFCZ0U4RUpBQURBSm9JVEFBQ0FUUVFuQUFBQW13aE9BQUFBTmhHY0FBQUFiQ0k0QVFBQTJFUndBZ0FBc0luZ0JBQUFZQlBCQ1FBQXdDYUNFd0FBZ0UwUm9TNEE2T3JHalJzWDZoSUFBQjJFR1NmZ0FCbGp2ZzUxRGRqTnlsQVhBQUFBRG1NdWw4dTRYQzRUNmpvQW9DdGd4Z2tBQU1BbWdoTUFBSUJOQkNjQUFBQ2JDRTRBQUFBMkVad0FBQUJzSWpnQkFBRFlSSEFDQUFDd2llQUVBQUJnRThFSkFBREFKb0lUQUFDQVRRUW5BQUFBbXdoT0FBQUFOaEdjQUFBQWJDSTRBUUFBMkVSd0FnQUFzSW5nQkFBQVlCUEJDUUFBd0NhQ0V3QUFnRTBFSndBQUFKc0lUZ0FBQURZUm5BQUFBR3dpT0FFQUFOaEVjQUlBQUxDSjRBUUFBR0FUd1FrQUFNQW1naE1BQUlCTlZxZ0xBTkN4Um8wYWxSd1ZGWlhjb21sdDgrY2pBdzJOalkxVksxYXNLT3ZZeWdDZzgyUEdDZWhtSWlNamY2YW1zQlQ0Q0FpMlJVUkVUQTFGYlFEUTJSR2NnRzZtcHFibTM1SjhlMXB2alBGN1BKNEZIVmdTQUhRWkJDZWdtMW16WnMxMlNSL3VhYjFsV2Qrc1dyVnFjd2VXQkFCZEJzRUo2SWFNTWEvdVpkM2JIVmtMQUhRbEJDZWdHL0w1Zk8vdGFaMWxXZi9veUZvQW9Dc2hPQUhkMElvVkswcU5NViswc2FvZ056ZDNYWWNYQkFCZEJNRUo2S2FNTWErMDBiekhtU2dBQU1FSjZMYkN3c0xlYXFONWZvY1hBZ0JkQ0EvQUJMb3hsOHRWSUNtemVYRjlibTd1a0ZEV0F3Q2RIVE5PUURmMi85dTc5L0NveW50djQ5K1Z3eVFobVlTRGtIQktFS0tBYUpKWnFRaGVLcURvUnFYMVZLbmR0VmJiMm1KYnRMV0N1KzF1MWJxcnR2VlFSYTFhdTd1cldDdlZhbHNVQlZRc1ZscDhNd09Sb0NDRW80U0VoQ1NUNDB5U2VkNC9TTklBQVI4Z1pISzRQOWZGeGN3emE5YjZCU1BjckZrekdHT2U2M0I3YVRSbkFZRGVnSEFDK2pISGNkby9lc0FZdzRkZUFnQUFISUhqdXU0T244KzNSN3gwRHdDZktpN2FBd0NJS2hPSlJKNkppWWtaSWNsRWV4Z0E2T240R3lad2pGelhmVlBTK2RHZTQzZ1pzNytYSEtmMy8zWmdqRmtUQ0FUT2l2WWNBUG91cm5FQ2psMnZqNmEreG5HY3lkR2VBVURmeGt0MXdIRXFLQ2lJOWdpUWxKK2ZIKzBSQVBRRG5IRUNBQUN3UkRnQkFBQllJcHdBQUFBc0VVNEFBQUNXQ0NjQUFBQkxoQk1BQUlBbHdna0FBTUFTNFFRQUFHQ0pjQUlBQUxCRU9BRUFBRmdpbkFBQUFDd1JUZ0FBQUpZSUp3QUFBRXVFRXdBQWdDWENDUUFBd0JMaEJBQUFZSWx3QWdBQXNFUTRBUUFBV0NLY0FBQUFMQkZPQUFBQWxnZ25BQUFBUzRRVEFBQ0FKY0lKQUFEQUV1RUVBQUJnaVhBQ0FBQ3dSRGdCQUFCWUlweUFmcVNscFVVVkZSV1NwS2FtcGloUEF3QzlEK0VFOUNNN2QrN1VkZGRkcDNBNHJDOS8rY3Q2NVpWWGpub2Y2OWV2UHdHVEFVRHZRRGdCL1VoaVlxSWlrWWc4SG84ZWYveHh2Zi8rKzZxdHJkWENoUXQxNVpWWDZzd3p6OVNWVjE1NXdHMUp1dkRDQzl2M2NmUE5OMGRyL0g0aEtTbHBkRlpXMXJNNU9UbGxydXUyNU9ibVZvMFlNZUt1RHB2RWVMM2VjMGFQSHYyUXBQampQZDY0Y2VOZUdUZHUzS3NITFh0OVBsODRJeVBqSngwWGh3NGRPaThuSjZkTWt0UFZjeVFsSlUxeFhkZGtaMmUvZHJqSEpDVWU3M0dBNHhVWDdRRUFkTDFJSktJWk0yWWNzbTZNVVgxOXZhWk5tOWErZHVtbGwrcUZGMTdRdkhuemRQNzU1K3ZQZi82ekpCMXdHOTBtZnR5NGNlOVVWbGErWEZoWW1DT3B3dVB4WkNjbUpwN2N0c0VaWjV6eHNaV1hEUUFBSUFCSlJFRlVpU1FUSHg4L2ZPZk9uVCtRZEZ5dnVWWlhWeThkTldyVS9kb2ZQMDJTTkhEZ3dKbU80OFNtcHFiTzNMTm56MC9idHZWNnZUT0N3ZUFLU2VhTU04N1kzWlZ6dEVsSlNUbDN5SkFoMTFWVVZEelRGZnNEdWhyaEJQUkJ4aGpWMXRhcW9LRGdnUFdHaGdaZGNNRUZldWVkZHpwOW51TTQzVEZlbitEeitlNlY5SG9nRVBpSHBPYXUyR2R5Y3ZJa2o4ZHo4aWVmZlBJTFNhV1NGQTZIUHd5SHd4KzJiYk5seTVaTGpUR2VpUk1ucnU2S1k5YlYxUzJOaVlsNXd1djFUcW1wcVZrbFNhbXBxYk5xYTJ2ZlRVNU9uaW9wV1ZLZEpDY2xKV1hhSjU5OGN1dUptS05OU1VuSnZTTkhqbnlvb3FMaURiWCtHZ0E5Q1MvVkFmMUlZbUtpbXBxYUZJbEVKRWtyVjY1VWFXbXA1c3lab3l1dnZGSjFkWFdhTTJlTzVzeVpvNXFhR3MyWk0wZi8rNy8vRytXcGV5YkhjZVk3anJQU2RkMDlydXMrbXB1YmUxRjJkbmJDOGV5enJxNXVleVFTcWMvTXpMeFBVa3BuMjlUWDEvdVA1eGdIYTJobzJOSFkyTGpCNi9YT2JGdExUVTM5ajdLeXNnY2lrVWhqYW1ycU5Fa2FNR0JBWGx4YzNPQ0tpb3BsSjJLT05xV2xwWTgyTmpaK09IYnMyTWRPeFA2QjQwVTRBWDNZdEduVER2alIxTlNrdExRMFZWWldLaFFLNmE2NzdsSlZWWlVXTDE2czIyKy9YWk1uVDliaXhZdTFlUEZpZWIxZUxWNjhXRi85NmxmMS9lOS9QOXBmeXJIcStIdGNyQ1Ixakp1cFU2Y21TZEtrU1pQYUkrV3NzODVLbGFTOHZMeUIybjh0ajA0OTlkU1RKR25DaEFsRDlPOHo5YWIxNXlHU3ZoMGJHL3VHMStzdGQxMzNmL1B5OHE3T3o4OC82UmptclN3dUxwNHpjT0RBeitiazVCU25wNmYvVUljSnFLNVVYVjI5dEMyY1BCN1B4UGo0K0l5cXFxb1Z0YlcxYjZXbHBjMlVwSlNVbEJrTkRRM3JKWldjNEhFaTI3ZHYvNnJYNjcwMExTM3RxaE44TE9Db0VVNUFIOVRTMHFLRWhBUzk4ODQ3ZXVlZGQvVDIyMitydnI1ZUhvOUg2ZW5wMnJObmovNzJ0NzlwNHNTSkdqOSt2TUxoc0g3OTYxL3JLMS81U3FmN3UraWlpeVJKZS9mdVZXeHNiSGQrS1VmTjUvTk5jMTMzTFVseVhUZmMrbk9PeitkYkxVbXBxYWxWa2pSMjdOaTB4c2JHanlVcElTRmhkOXZ6dytId2RrbHlITWVmblozdGxhU1VsSlFpU1VwS1NubzlOemQzdkNRWll3NzVoWEFjSjBYU0RURXhNWXNqa2NqVy9QejhyNnMxdm13Rmc4RlhDd3NMczh2THkzK2RrWkV4Ly9UVFQ5K1FuSnljZTdTL0RrZWpxcXJxOVFFREJreVc1QjAwYU5DczJ0cmFWWkxxYTJwcWxxV2twTXlVcE5UVTFCbkJZUENORXpsSG0xQW90S21rcE9USG1abVpqMGthM0IzSEJHd1JUa0FmVkZkWEo2L1gyMzYvc2JGUlNVbEprcVNzckN4OThNRUhldkxKSi9YdGIzOWJrclI0OFdKZGRkVlZ5cy9QYjM5T2RuYTJGaTFhSkVtNi8vNzdkZFpaWittS0s2N1F4UmRmM0kxZnlkRUxCQUx2K1AzKzh5WEo3L2ZIdGY1Y0dBZ0VKcmZlVHBLazR1TGk2a0FnTUtwMUxiWEQ4d2UxL2p4MjgrYk53ZGJIMDF2WHpseTNibDJSSkRtTzA5bDFUZldTbGtpNm9hYW1abVJCUWNIVCt2ZVpxYU5SdFh2MzdqdldyVnMzTGhRS2Jjekt5bnIrR1BaaHJhNnVicFV4SnVUMWVxZDV2ZDVaMWRYVmIwaFNkWFgxRzBsSlNXY2tKU1dOVEU1T1BxKzJ0bmJaaVp5am83S3lzZ2REb2REV3JLeXNYM1hYTVFFYlhCd085RUY3OSs3VjBLRkQyKzhIZzhIMmtNckp5ZEhDaFF0MThjVVhhOUtrU1dwcWF0SzExMTU3eUQ2ZWV1b3BuWG5tbWJyMjJtdTFZTUVDTFZpd29Odm03eVhhL3VKWmJZeFpib3g1dWJ5OC9PVmR1M1kxZE9FeDlwV1VsTng3NnFtbnJtZzlYcVFMOTkxUktCZ012alZvMEtCTGs1T1R6eXNwS2JsTmtrS2gwSlpRS0ZROFpNaVErWTdqeEZkWFYvLzlCQjIvTTVGdDI3YmRNSEhpeEVBb0ZOclNqY2NGam9od0F2cWdMVnUyYU96WXNRcUh3L0o0UENvc0xOVHc0Y01sN2I5QVBCd09hOTY4ZVpLa2UrKzlWeGRkZEpIKzUzLys1NUQ5UkNJUnpaNDkrNEMxeHg1N1RGbFpXU2YraStqaGpESFBSU0tSVitMaTRwYjQvZjR1ZVN0K2NuSnlqdGZydmJ5eXN2TDVVQ2kwVmRKSnc0WU51N0dtcHVaTldVWlRVbExTNklhR2hwMUhlK3phMnRxbHc0Y1AvMWtrRXRsWFYxZjNRZHQ2TUJoOFk4aVFJVGUwdm56WGFMdS9ZNTJqbzNBNC9GRnBhZW1kR1JrWmR4elBmb0N1UkRnQmZkQ2FOV3VVbTV1ci8vN3YvOWFxVmF1VW1KaW91KysrVzl1M2I5ZGpqejJtU1pNbTZlOS8vN3MrKzluUGFzK2VQVXBMUzlPU0pVc08yYytaWjU3WjZUcWtRQ0RRK1FWaHh5RVNpVlNtcEtSTVMwOVAvMjVNVEV4cWMzTnphWFYxOVpMaTR1THZ0RzNUK2tHUWJiZmJ6Mjc1L1g1SFV1TFlzV1BmTGk4di8yMXBhZW05UjNQc1lEQzRkTlNvVVk5WFZsYitwZU42VFUzTkcwT0hEcjBwR0F3ZThETGRpWnJqWUh2MjdMay9MUzN0eXVUazVNbkhzeCtncS9DaExjQXhhdnVENCtEUFNvcTJZRENveXk2N1RDKzk5SklHRHg2czV1Wm14Y1hGcWFTa1JEZmVlS1BtenAyclNaTW1hZDY4ZWJybm5uczBmLzU4eGNYRmRmb1pUaVVsSmUxbnFqcWFPM2Z1SVdlaW9xM3QrcXpXUDdqN3JRRURCb3dZTTJiTWltQXcrT3F1WGJ2bTkvYzVnSzdHR1NlZ2p5a3VMdGFGRjE2b3dZUDN2eGtwTG03Ly8rWmxaV1c2NXBwcjJvTm4vdno1dXYzMjIzWE9PZWZveHovK2NkVG1SZGVxcjYvZnZXSERoZ3VTazVNbk1RZlE5ZnIxMzh5QTQ5RlR6emhKK3orT29LZC9iRUJYNDR3VGdPN0F4eEVBZlZCL2l5WUE2QzZFRXdBQWdDWENDUUFBd0JMaEJBQUFZSWx3QWdBQXNFUTRBUUFBV0NLY0FBQUFMQkZPQUFBQWxnZ25BQUFBUzRRVEFBQ0FKY0lKQUFEQUV1RUVBQUJnaVhBQ0FBQ3dSRGdCQUFCWUlwd0FBQUFzRVU0QUFBQ1dDQ2NBQUFCTGhCTUFBSUFsd2drQUFNQVM0UVFBQUdDSmNBSUFBTEJFT0FFQUFGZ2luQUFBQUN3UlRnQUFBSllJSndBQUFFdUVFd0FBZ0tXNGFBOEE5SGI1K2ZuUkhnRUEwRTA0NHdRY0kyUE1tbWpQZ0VPc2ovWUFBQUNnRDNOZDE3aXVhNkk5QndEMEJweHhBZ0FBc0VRNEFRQUFXQ0tjQUFBQUxCRk9BQUFBbGdnbkFBQUFTNFFUQUFDQUpjSUpBQURBRXVFRUFBQmdpWEFDQUFDd1JEZ0JBQUJZSXB3QUFBQXNFVTRBQUFDV0NDY0FBQUJMaEJNQUFJQWx3Z2tBQU1BUzRRUUFBR0NKY0FJQUFMQkVPQUVBQUZnaW5BQUFBQ3dSVGdBQUFKWUlKd0FBQUV1RUV3QUFnQ1hDQ1FBQXdCTGhCQUFBWUlsd0FnQUFzRVE0QVFBQVdDS2NBQUFBTEJGT0FBQUFsZ2duQUFBQVM0UVRBQUNBSmNJSkFBREFFdUVFQUFCZ2lYQUNBQUN3UkRnQkFBQllJcHdBQUFBc0VVNEFBQUNXQ0NjQUFBQkxoQk1BQUlBbEo5b0RBT2hlUHAvdk9rbHoyKzQ3ampOVmtvd3hxOXZXakRFdnIxMjc5cGRSR0E4QWVyUzRhQThBb0h1MXRMUnNqSXVMbTNyd2VsdEFTVkpNVE15ZDNUb1VBUFFTbkhFQytwOFluOCszMDNHY0VZZDV2Tnp2OTJkSWF1bk9vUUNnTitBYUo2RC9pVGlPcy9od0R4cGpWb2hvQW9CT0VVNUFQMlNNZWVVSWo3M1FuYk1BUUc5Q09BSDlVQ0FRK0ljeFpsOG5EMVUzTlRXOTF1MERBVUF2UVRnQi9WT3o0emgvUEhqUkdMT2lxS2dvSEkyQkFLQTNJSnlBZmlvU2lYVDJjdDJMM1Q0SUFQUWloQlBRVDFWVlZhMHl4dFIyV0tvdkxTMzlhOVFHQW9CZWdIQUMrcWx0MjdZMVNucXB3OUxidTNmdnJvL1dQQURRR3hCT1FEL21PRTU3T0Jsai9oek5XUUNnTitDVHc0Rit6SEdjTjQweERjYVltUHI2K2o5RmV4NEE2T2s0NHdUMFl3VUZCZldTL2licDNZMGJOOVpFZXg0QTZPazQ0d1QwYzhhWVB6bU9reDd0T1FDZ04rRGZxZ09Pa2V1NmIwbzZQOXB6SEM5ampDVEpjWHIvYndmR21EV0JRT0NzYU04Qm9PL2lqQk53N0hwOU5FbDlJNWphT0k0ek9kb3pBT2piQ0NmZ09CVVVGRVI3QkVqS3o4K1A5Z2dBK2dFdURnY0FBTEJFT0FFQUFGZ2luQUFBQUN3UlRnQUFBSllJSndBQUFFdUVFd0FBZ0NYQ0NRQUF3QkxoQkFBQVlJbHdBZ0FBc0VRNEFRQUFXQ0tjQUFBQUxCRk9BQUFBbGdnbkFBQUFTNFFUQUFDQUpjSUpBQURBRXVFRUFBQmdpWEFDQUFDd1JEZ0JBQUJZSXB3QUFBQXNFVTRBQUFDV0NDY0FBQUJMaEJNQUFJQWx3Z2tBQU1BUzRRUUFBR0NKY0FJQUFMQkVPQUVBQUZnaW5BQzBpMFFpS2kwdFBlSTJXN1pzNmFacEFLRG5JWnlBUG1yMjdObEgvWnlTa2hMZGZ2dnRSOXptbW11dU9kYVJBS0RYaTR2MkFBQk9qSktTRWtuUzVzMmJkZjMxMXg5MnUyZWZmVmFQUFBLSTl1elpJMG42K09PUGRjMDExOGh4SEVsU1JrYUdIbnJvSVZWWFZ5c3RMZTJFejQzamw1U1VOSHJZc0dIM3BLV2wvVWRjWE55UWxwYVdtcjE3OXo2OGUvZnVPeVFwSVNIaGxKRWpSOTdyOVhyUGo0bUpHVkJUVS9PUFhidDIzZGpZMkZoOGpNZWJNbkhpeE5YQllIRHA1czJiTCtuc01iL2ZueVNwc1F1K1BDQ3FPT01FOUhIWjJkbDY5OTEzOWU2NzcyckVpQkg2M2U5KzEzNS93SUFCOG5nOGtxVG5uMzllenovL3ZDNisrR0w5OFk5L2JML2ZadGFzV2RINkVuQjA0c2VORy9kT2MzTnpXV0ZoWVk3ZjcwLzg4TU1QcDliVzF2NnJiWU8wdExUTGFtcHEzbDYzYnQyNFFDQ1FKU21VbFpXMTZIZ1BuSktTY3U2UUlVT3VPOTc5QUQwWlo1eUFQaVlTaVdqdjNyMlNwTGZlZWt1bHBhVWFQbnk0cGsrZnJxYW1KaVVsSmJWdjI5VFVwSVNFQktXbnArdmFhNitWSkczY3VGRmJ0MjV0MzJiUm91UCs4N1JmY0YzM2w1Rkk1TjFJSkxLaXNMQ3dMbHB6SkNjblQvSjRQQ2QvOHNrbnY1QlVLa25oY1BqRGNEajhZZHMyWldWbEQwbHFhYnRmVWxMeTRQang0NWRKaXUyNGZyUktTa3J1SFRseTVFTVZGUlZ2dEIwYjZHc0lKNkNQZWZEQkIvV1BmL3hEa3JSeTVVcWxwNmRyN05peGtxVEd4c1lEd2lrVUNpa2hJVUgvOVYvLzFiNTJ6am5uRUV2SDVrc3hNVEczeGNURTFQdDh2cjg2anZPbllEQzRZdlBtemNIdUhLS3VybTU3SkJLcHo4ek12Ry9IamgzekpOVjJzdGtCY2VUeGVOS2JtcHJLRGw0L1dxV2xwWSttcGFWZE1uYnMyTWVLaTRzL2Z6ejdBbm9xd2dub1kyNjc3VGJkZHR0dHlzL1AxMDkvK3RNREhxdXRyVlZ5Y25MNy9YQTRySVNFQkVscVArTVVDb1hhYjB1Y2NiSmxqSW0wWGhjMndIR2NheVJkNC9WNlE2N3J2bWFNV1J3T2g1Y1ZGUlh0NjRaUktvdUxpK2VNR1RQbTl3TUhEcnkwdExUMFY2V2xwWStvODRDU3BQajA5UFR2VlZSVVBOa0Z4NDVzMzc3OXF4TW1URmlYbHBaMlZYVjE5VXRkc0UrZ1IrRWFKNkNmQ0lmRGFtNXVWbUppWXZ0OXgzSGFyM0ZhdEdpUkZpMWFwSVNFaFBiYnZUR2E4dkx5YnZINWZBOUlrcy9uYTJ4ZCs1YlA1N3UzZGEyaWRlMUcxM1h2bENUWGRYZElVbTV1N2cxNWVYay9iTjF1USt2YXRYbDVlYmUxYnZkKzY5b1hmRDdmemExcmJ4MXVGc2R4RWlSZDRUak84eDZQWjYvUDUvdnY2ZE9ubi9DL3NBYUR3VmNMQ3d1enk4dkxmNTJSa1RILzlOTlAzNUNjbkp6YjJiYVptWm1QRzJOYWR1L2VmVTlYSERzVUNtMHFLU241Y1dabTVtT1NCbmZGUG9HZWhETk9RQjlYVTFPanRXdlhLajA5WFNOSGpteGZyNit2YjQrb2ptZVlEajdqZFBYVlYrdXl5eTdydm9HUDA5cTFheDl1dTUyV2xwYlN1dmJVcEVtVFlpVEpHRE5Pa3NyTHl4Y2xKeWZIU1ZKTFM4dFVTYXFycTNzcExpNHVYcElpa2NqbGt0VFEwUEM2MSt1TmI5M3VHNUxVM056OGpzZmpTV2pkMzExSEdLZkpHUE1QeDNIK1lveFp1M2J0MnBWZCs5VWVVZFh1M2J2djJMMTc5OE9ubkhMS0MxbFpXYzl2MkxEaHRJNGJqQnc1OGdHdjEzdGVVVkhSdVpKQ1hYWGdzckt5QndjT0hIaFZWbGJXcjhyS3loN3ZxdjBDUFFIaEJQUkJ4aGhKMHF1dnZxcUhIMzVZVjE1NXBUNzg4RVBsNStlM2IxTmJXOXQrdmRPaVJZczBaODRjU2RMSko1K3NjRGdzU1lxTmplMVYwWFN3bFN0WE5yZmViQzRxS3BJa3JWMjd0a3FTZHUzYTFkQzIzYnAxNno2UnBJN1hJNjFidDI2VEpHM2F0S204dzFwQWtvcUtpdmEwclFVQ2dYY2t5WEdjdGpQNGpjYVlWWkplRG9mREwzVFR5M05Ic3Era3BPVGVVMDg5ZFlYMnY4b1FrYVNSSTBmZWs1YVdka2xSVWRGMFNXVmRmTXpJdG0zYmJwZzRjV0lnRkFyeGlhbm9Vd2dub0EvYXVIR2pKT2szdi9tTjdybm5IbVZuWit1cXE2N1N3b1VMMjdlcHJxNCs0SHFublR0M2F2WHExUWZzWityVXFkMHpjTi93ZWlRU1dWMWJXL3RDZDE4UTNsRnljbktPMSt1OXZMS3k4dmxRS0xSVjBrbkRoZzI3c2FhbTVrMjFSdE9JRVNQdVRFdEx1MnpEaGczVDFjbTczNUtTa2tZM05EVHNQSjQ1d3VId1I2V2xwWGRtWkdUY2NUejdBWG9hd2dub2d6SXlNblQ5OWRmckc5LzRob3d4dXVXV1d6UjkrblJsWm1ZcUdBd3FPVGxaLy9yWHY1U2VubTY5ejlXclZ5c1VDaWttaGtzak8rUDMrNzhhN1Jra0tSS0pWS2FrcEV4TFQwLy9ia3hNVEdwemMzTnBkWFgxa3VMaTR1KzBiZE1XTTY3cjd1bjQzTllQcWRUWXNXUGZMaTh2LzIxcGFlbTl4elBMbmoxNzdrOUxTN3N5T1RsNTh2SHNCK2hKQ0NlZ0R4bzRjS0Rtelp1bmNEaXNyMzN0YTBwTlRkWHR0OSt1d3NKQ2ZmT2IzNVFrRFJnd1FMLzR4Uy9hbjlQVTFOVCtjbDJibHBiOTcwNDN4dWh6bi91Y3FxcXFsSnZiNlRYRzZDRWFHaHAyYnQ2OCtZSWpiZVAzKzUwalBiNTE2OWJ6eG93WnN5SStQbjd3cmwyNzVsc2M4NStIMldmTHhvMGJ6L3EwNXdPOXlSSC81d0Z3ZUs3ckdra3FLQ2lJOWloSEZBZ0VsSk9UbzlqWVdFbjczMDNYMU5Ta3hNVEU5clcyOWJaMzJIVW1IQTZycGFYbGdNK0I2a25hcnQvNnRDaUF0ZUhKeWNtVDZ1cnFWa1I3RUtBbjRZd1QwTWY1Zkw0RDduczhuazRENlVqUlpQTTQrcHlTdXJxNmttZ1BBZlEwWEt3QUFBQmdpWEFDQUFDd1JEZ0JBQUJZSXB3QUFBQXNFVTRBQUFDV0NDY0FBQUJMaEJNQUFJQWx3Z2tBQU1BUzRRUUFBR0NKY0FJQUFMQkVPQUVBQUZnaW5BQUFBQ3dSVGdBQUFKWUlKd0FBQUV1RUV3QUFnQ1hDQ1FBQXdCTGhCQUFBWUlsd0FnQUFzRVE0QVFBQVdDS2NBQUFBTEJGT0FBQUFsZ2duQUFBQVM0UVRBQUNBSmNJSkFBREFFdUVFQUFCZ2lYQUNBQUN3RkJmdEFZRGVMajgvUDlvakFBQzZDV2VjZ0dOa2pGa1Q3Umx3aVBYUkhnQUFBUFJocnVzYTEzVk50T2NBZ042QU0wNEFBQUNXQ0NjQUFBQkxoQk1BQUlBbHdna0FBTUFTNFFRQUFHQ0pjQUlBQUxCRU9BRUFBRmdpbkFBQUFDd1JUZ0FBQUpZSUp3QUFBRXVFRXdBQWdDWENDUUFBd0JMaEJBQUFZSWx3QWdBQXNFUTRBUUFBV0NLY0FBQUFMQkZPQUFBQWxnZ25BQUFBUzRRVEFBQ0FKY0lKQUFEQUV1RUVBQUJnaVhBQ0FBQ3dSRGdCQUFCWUlwd0FBQUFzRVU0QUFBQ1dDQ2NBQUFCTGhCTUFBSUFsd2drQUFNQVM0UVFBQUdDSmNBSUFBTERrUkhzQUFOM0w1L05kNHpqT2YzWlkrbXpyejMvcnNMYk03L2MvMm8xakFVQ3ZFQmZ0QVFCMEwyUE1Ec2R4UHR2SlErMXJrVWpraVc0Y0NRQjZEYzQ0QWYyUDQvUDVTaHpIU2Uvc1FXUE12a0FnTUtTN2h3S0Ezb0JybklEK3gwaDY3Z2lQdjk1ZGd3QkFiME00QWYyUTR6aXZIT0hoRjdwdEVBRG9aWGlwRHVpZlludytYN25qT0lNT1dxL3grLzBESlVXaU1SUUE5SFNjY1FMNnA0aWtadzllTk1hOEpxSUpBQTZMY0FMNktXUE15NTBzLzZuYkJ3R0FYb1NYNm9EK0s5WjEzUXBKYVpKa2pLa05CQUtESlRWRmR5d0E2TGs0NHdUMFh5MDY4TjExYjRob0FvQWpJcHlBZnF6ankzV1JTSVNYNlFEZ1V4Qk9RRDhXRG9mL0xxbkdHRk5YVjFkM3BJOG9BQUNJY0FMNnRhS2lvckF4WnJHa056ZHYzaHlLOWp3QTBOUHhiOVVCL1p6ak9IK0tSQ0w4RXlzQVlJRjMxUUhIeUhYZE55V2RIKzA1dW9JeFJvN1QrMzg3TU1hc0NRUUNaMFY3RGdCOUZ5L1ZBY2V1VDBTVHBENFJUWkxrT003a2FNOEFvRy9qcFRyZ09CVVVGRVI3QkVqS3o4K1A5Z2dBK2dIT09BRUFBRmdpbkFBQUFDd1JUZ0FBQUpZSUp3QUFBRXVFRXdBQWdDWENDUUFBd0JMaEJBQUFZSWx3QWdBQXNFUTRBUUFBV0NLY0FBQUFMQkZPQUFBQWxnZ25BQUFBUzRRVEFBQ0FKY0lKQUFEQUV1RUVBQUJnaVhBQ0FBQ3dSRGdCQUFCWUlwd0FBQUFzRVU0QUFBQ1dDQ2NBQUFCTGhCTUFBSUFsd2drQUFNQVM0UVFBQUdDSmNBSUFBTEJFT0FFQUFGZ2luQUFBQUN3UlR1aFdBd1lNK0l3a0o5cHpvSFByMXEwN1pDMFVDaWtZREVaaEdnRG9lUWduZEtzSkV5YThMeWtoMm5QMEIxdTNidFhTcFVzUFdWKzZkS2syYnR6WTZYUG16cDE3eU5wdmZ2TWIzWFhYWFYwK0h3RDBSb1FUZWdLK0QwK0F3WU1INjZtbm50S21UWnZhMTVZdlg2NEhIM3hRYVdscDF2djUwcGUrcEk4Ly9samw1ZVVuWWt4MG9YSGp4cjB5YnR5NFZ3OWE5dnA4dm5CR1JzWlBPaTRPSFRwMFhrNU9UcGtrSnlFaDRaU3hZOGUrbUp1YnU4L244elZtWjJlL21aaVlPTGI3SmdkNmo3aG9ENEQrSnlVbDVlemEydHEzSkNrakkrTjJqOGN6WWNlT0hUZEVlNjYrWlBiczJlMjNiNzMxVnBXVWxHajQ4T0dTcElTRUJIMzk2MStYSkkwYU5VcFBQUEZFcC9zNC8venoyMiszdExSb3pwdzU3Yy92N0V3V29xKzZ1bnJwcUZHajdwY1VMNmxKa2dZT0hEalRjWnpZMU5UVW1YdjI3UGxwMjdaZXIzZEdNQmhjSWNta3BhVmRWbE5UODNaeGNmR05ranpaMmRtL3k4cktXclJ4NDhhem8vT1ZBRDBYNFlRVFlzaVFJVjhaUFhyMFl4Mld6TnExYTcyU05HellzTy9VMXRhK05XellzSnVHRFJ0MjIrYk5teStLMHBpZHlzdkxHeGdURTNPbk1lYmxRQ0N3U2xJazJqTWRyU1ZMbHJUZmJtbHAwYm5ubm52QTJzSGFRaXNjRG12MjdObTY2NjY3VkYxZHJZS0Nna08yblRwMWF0Y1AzQXY1Zkw2ckpBMlQ5Rm9nRU5nZTdYa2txYTZ1Ym1sTVRNd1RYcTkzU2sxTnpTcEpTazFOblZWYlcvdHVjbkx5VkVuSmt1b2tPU2twS2RNKytlU1RXeVdwckt6c0lVa3RiZnNwS1NsNWNQejQ4Y3NreFhaY0IwQTQ0UVNwcUtqNGZVVkZ4ZThseWVQeG5EWnUzTGcvdGoyV25KeDhabVptNWhPcHFhbXpQdnJvbzJuaGNIaEQ5Q1k5VkhOemM0TEg0N25GY1p4YmZENWZyYVFYSkwxVVUxUHoxdWJObTBQUm5zOUd4ek5Pb1ZCSXhwZ0QxaVJwL1BqeGV1Q0JCeVQ5TzdTbVRwMTZ4TURDQVU1ekhPZW5rb3pQNTN2ZkdQT0htSmlZVi8xKy8rWm9EZFRRMExDanNiRnhnOWZybmRraG5QNWoxNjVkTjJkbFpTMUtUVTJkRmd3R1h4c3dZRUJlWEZ6YzRJcUtpbVd0VHowZ2pqd2VUM3BUVTFQWndlc0FDQ2QwZzZGRGgxNWJXVm41cDdiN3BhV2w5NDRZTWVMbmE5ZXVQVlZTU1JSSCsxU080NlJJK3Bxa3IzbTkzaWFmei9laXBEL1gxTlFzKzVTblJsWEgrSG5paVNkVVVWR2hILzNvUjFiUC9mampqelZ3NE1BVE5WcGY1RGlPTTlseG5NbVNmdVc2N3JwSUpQSmNURXpNRXIvZi8yRjNEMU5kWGIzVTYvWE9sSFNIeCtPWkdCOGZuMUZWVmJWaXlKQWhiNldscGMwTUJvT3ZwYVNrekdob2FGaXZ6di8vaTA5UFQvOWVSVVhGazkwOE90QXJFRTQ0MGRJR0R4NTgvWll0V3o3VHRsQldWdmI3d1lNSGYzWFlzR0ZmS2lzcnUvOVlkcHFmbjU5bWpLbjArLzB4UHA5dlgweE16TWtGQlFYVnJ1czIrLzMrT05kMTN6VEdQQndJQlA3cXVtNlQzKytQOS9sOEQwaXFDZ1FDZC90OHZuQWdFUEQ0Zkw0dlMvcGNJQkM0MnVmemhRS0JRRUo4Zkh4R1o4ZDBIQ2RlMGhjbGZURTFOVlhHR0RsT3ovdGtoWTVubG9MQm9Cb2FHcFNlbnE3WnMyZXJyS3hNc2JHeEdqSmtTUHMyenozM25KWXZYeTYvMzY5d09LeWYvL3pubWo5L3ZxUURyM1BxTGZMeThtNkppWW5KOHZ2OXQ3cXUyK0wzKzJOOVB0L054cGd4YTlldXZiWHRlOFRuODkwc0tTc1FDSHkvdy9mSXZOYTEyenA4ajNSY2F3d0VBb211NjM1SDBrOE9NMEp1VEV4TXJxUmZ1Szc3UmlnVStrWlJVZEdPN3ZyNnE2cXFYaDgyYk5ndGtyeURCZzJhVlZ0YnUwcFNmVTFOemJJaFE0Yk1sYVRVMU5RWndXRHdqYzZlbjVtWitiZ3hwbVgzN3QzM2ROZk1BSUJXbzBhTitsVm1adWF2Mis2N3Jtc2tKWG84bm9tNXVibkIxTlRVUzd2NGtNNUJQMHYvZnRlZTAyRTl0c05hckNUbDUrZkhTOUxwcDUrZTdycXU2ZVJIayt1NmI3aXUrNTNKa3ljUGFWdnZxZDUvLzMxendRVVhtSmRlZXFsOTdlMjMzemJubkhPTytjdGYvdEsrVmw1ZWJyNzJ0YStaLy91Ly96TlRwa3d4eGhoVFZsWm1aczZjMmVsKzU4MmJkMklIUDBadC96Mk80bnVrNCsxUCt4Nko2Zmc5SWluR2RkMDdPL3MrOGZsOG0xelhmU2d2TCs5TWkxbE9oSVM4dkx4YXI5YzdPenM3KzQxaHc0YmRKa2tKQ1FualhOYzFTVWxKSTNOemM2dlQwdElPdWJadzVNaVJEMHlhTkdtajlsKzdCYUFUbkhIQ0NaT2NuRHh6MEtCQlgvamdndzlPUC9peGNEajg0ZmJ0Mjc4eWR1ellGN1p2My83Rnlzckt2M1hSWWMxQlAwdi92cmk3NDFwTGg3VVdTU29vS0dqcVpIOE54cGpsa2w2cXJLeGN2RzNidHNhMkIxelg3WnFKdTFoUlVaR2VmZlpaRlJZV0tqczdXMWRlZVdYN1k5T25UOWZaWjUrdFo1NTVSbi8rODUvMXVjOTlUaGRlZUtHZWZ2cHBTV3AvaDExeGNiRkdqUnJWNmY0ZmVlU1JFLzlGbkZpbWs5dWY5ajFpcEFPK1J5TEdtSmJXTTQ3R0dMUEJjWnhYSlQwWENBUUtUOHpZMWtMQllQQ3RRWU1HWFpxY25IeGVTVW5KYlpJVUNvVzJoRUtoNGlGRGhzeDNIQ2UrdXJyNjd4MmZOSExreUh2UzB0SXVLU29xbWk2cExCcURBNzBCNFlRVElpRWhZZnk0Y2VPZTM3Rmp4OWNsVlhTMlRWVlYxY3M3ZHV5WU4yYk1tQmZqNCtOL2RLd3YyM1UxWTB5VHBCZGFXbHBlV0xkdTNWL1ZpeTZRcmErdjE4TVBQNnd6empoREN4WXMwR1dYWFhiSU5tKzk5WmIrK2M5L2F1blNwVnE2ZEtsbXpKaHh5RGIvNy8vOXZ4NGJoajJGNHpoYkk1SEl6eUtSeUxPRmhZV2RmNkpvbE5UVzFpNGRQbno0enlLUnlMNjZ1cm9QMnRhRHdlQWJRNFlNdWFIMTVidjJ2d1NNR0RIaXpyUzB0TXMyYk5nd1hWSnBGRVlHZWczQ0NTZEVTa3JLV1dWbFpiK3NxcXI2aTZRQmtzSXBLU2tUakRGaFNlRzI3ZmJ0Mi9lNzV1Ym1QWkZJcFBHd08rdG1SVVZGK3lSZEUrMDVqc1dBQVFQMDFGTlBTWklLQ2dwMHlpbW5kTHBkYkd5c1pzK2VmY0RIRURRMk5pb21Ka2FoVUVpdnZ2cXFIbjMwMFc2YnV6ZnkrLzJMb2ozRDRRU0R3YVdqUm8xNnZMS3k4aThkMTJ0cWF0NFlPblRvVGNGZzhJQTNOMlJrWk53aFNhN3I3dW00N3ZmN2s5UWhzQUFRVGpoQktpb3FubW03blpHUk1YL0VpQkYzR21OYTl1N2QrNkFPK2x5a1lERElweWwyc1YyN2R1bSsrKzdUTGJmY1lyWDk1WmRmcnZMeWNsMXl5U1g2KzkvL3J2ejhmSTBkeXdkSDkxYU5qWTNiL0g3L0llOWNxS3FxK2t0bjY1MnRBUUNpSjA1U2l2cFlxUGZraThOdnVPRUc4OTU3NzNYNjJHYys4NWxQZlg1OWZYMVhqM1RDSGNYRjRRQnd6UHJVSDJUb3Nab2wxVVo3aVA3a3Q3Lzk3V0UvS3VIOTk5Ly8xT2NuSlNWMTlVZ0EwQ2Z3ajZzQ2ZWQlAvSHdwQU9nTENDY0FBQUJMaEJNQUFJQWx3Z2tBQU1BUzRRUUFBR0NKY0FJQUFMQkVPQUVBQUZnaW5BQUFBQ3dSVGdBQUFKWUlKd0FBQUV1RUV3QUFnQ1c2T0ROM0FBQVFmVWxFUVZUQ0NRQUF3QkxoQkFBQVlJbHdBZ0FBc0VRNEFRQUFXQ0tjQUFBQUxCRk9BQUFBbGdnbkFBQUFTNFFUQUFDQUpjSUpBQURBRXVFRUFBQmdpWEFDQUFDd1JEZ0JBQUJZSXB3QUFBQXNFVTRBQUFDV0NDY0FBQUJMY2RFZUFPanQ4dlB6b3owQ0FLQ2JjTVlKT0ViR21EWFJuZ0dIV0IvdEFRQUFRQi9tdXE1eFhkZEVldzRBNkEwNDR3UUFBR0NKY0FJQUFMQkVPQUVBQUZnaW5BQUFBQ3dSVGdBQUFKWUlKd0FBQUV1RUV3QUFnQ1hDQ1FBQXdCTGhCQUFBWUlsd0FnQUFzRVE0QVFBQVdDS2NBQUFBTEJGT0FBQUFsZ2duQUFBQVM0UVRBQUNBSmNJSkFBREFFdUVFQUFCZ2lYQUNBQUN3UkRnQkFBQllJcHdBQUFBc0VVNEFBQUNXQ0NjQUFBQkxoQk1BQUlBbHdna0FBTUFTNFFRQUFHQ0pjQUlBQUxCRU9BRUFBRmdpbkFBQUFDd1JUZ0FBQUpZSUp3QUFBRXVFRXdBQWdDVW4yZ01BNkY1NWVYblhPNDd6WU50OXgzRUdTWkl4cHJMRDJ2MSt2LytlYU13SEFEMVpYTFFIQU5DOVltTmpWeGxqQmgyODNoWlFyYmYvMXIxVEFVRHZ3Qmtub0IveStYd0J4M0h5T252TUdMTXBFQWlNNys2WkFLQTM0Qm9ub0I4eXhqeDN1TWNjeDNtdE8yY0JnTjZFY0FMNm9lYm01bGNQOTlpUm9nb0EranZDQ2VpSDFxOWYvNkdralowOHREMFFDQlIwOXp3QTBGc1FUa0EvZFpnelM2OUxNdDA5Q3dEMEZvUVQwRThaWXc1NTU1d3g1Zy9SbUFVQWVndmVWUWYwWDQ3UDV5dDJIR2VNSkJsamRnY0NnZEdTSWxHZENnQjZNTTQ0QWYyWGtmVEhEdmRYaUdnQ2dDTWluSUIrekhHY3YzUzQvWHcwWndFQUFPanBZbjArM3g2ZnoxY2gvaVVCQVBoVS9FWUo5Rzh0TVRFeHowVWlrZUdTbXFNOURBRDBkRndjRGh3ajEzWGZsSFIrdE9jNFhzYnMvL1FCeCtuOXZ4MFlZOVlFQW9Hem9qMEhnTDZMYTV5QVk5ZnJvNmxOWDRnbVNYSWNaM0swWndEUXQvRlNIWENjQ2dyNG9PMmVJRDgvUDlvakFPZ0hPT01FQUFCZ2lYQUNBQUN3UkRnQkFBQllJcHdBQUFBc0VVNEFBQUNXQ0NjQUFBQkxoQk1BQUlBbHdna0FBTUFTNFFRQUFHQ0pjQUlBQUxCRU9BRUFBRmdpbkFBQUFDd1JUZ0FBQUpZSUp3QUFBRXVFRXdBQWdDWENDUUFBd0JMaEJBQUFZSWx3QWdBQXNFUTRBUUFBV0NLY0FBQUFMQkZPQUFBQWxnZ25BQUFBUzRRVEFBQ0FKY0lKQUFEQUV1RUVBQUJnaVhBQ0FBQ3dSRGdCUFVCTFM0c3FLaW9rU1UxTlRWR2VCZ0J3T0lRVDBBUHMzTGxUMTExM25jTGhzTDc4NVMvcmxWZGVPZTU5dnZiYWE0ZXMxZGZYNjkxMzMxVWtFam1xZlczWnNrVjMzSEdIakRHZFB0N1kyS2hubm5sRzlmWDFSejNucmwyN3RHVEprcU4rSGdCRVExeTBCd0FnSlNZbUtoS0p5T1B4NlBISEg5Y0REenlnbVRObktpVWxSWktVbjUrdlljT0dIZmI1WldWbEtpZ29PR0J0NGNLRnV1U1NTdzVZKytVdmY2a1ZLMWJvN3J2djF2VHAwOXZYTjJ6WW9BVUxGa2lTR2hvYU5HdldMTTJmUDErU0ZJbEVkTjk5OTJuWHJsMWF0V3FWemp2dnZFT09IeDhmcjUwN2QyckJnZ1Y2NUpGSEZCTmovM2V5K1BoNFBmcm9veG8vZnJ4T09lVVU2K2YxWjBsSlNhT0hEUnQyVDFwYTJuL0V4Y1VOYVdscHFkbTdkKy9EdTNmdnZrT1NSbzhlL2VDZ1FZT3VqWTJOSGRUUTBGQzRmZnYyYnpjME5Qd3oybk1EZlFIaEJIU2pTQ1NpR1RObUhMSnVqRkY5ZmIybVRadld2bmJwcFpmcWhSZGVVRVpHaGlScHlaSWxpbzJOUGVTNUxTMHRtang1OHFjZSs4VVhYOVNtVFp2MHU5LzlUcmZlZXFzbVRKalF2dS9UVGp0TnYvemxMelY0OEdDOTk5NTdLaTh2YjMvZWswOCtxYVNrSlAzbU43L1J6VGZmckRQT09FT0RCZzA2WU4reHNiSDZ3UTkrb0xsejUrcFBmL3FUdnZDRkx4eDJqdno4ZktXbHBSMnkvczF2ZnZPUXRkZGZmMTBlaitkVHY3WitKbjdjdUhIdlZGWld2bHhZV0pnanFjTGo4V1FuSmlhZTNMWkJNQmg4YitmT25YZExNbGxaV2ZkbloyZi8rWU1QUGhncHFmTlRoZ0FBbkdpdTZ4clhkYzNSYUc1dTd2UTU5ZlgxWnVyVXFZZDludXU2cHJtNTJXcWZWMTk5dGJuODhzdk5tV2VlYWE2KyttcXpiTmt5ODlKTEw1bUxMNzdZN05tenh4aGp6UExseTgwVlYxeGhkdTNhMWY2OG4vemtKK2I5OTk4M3YvM3RiODNpeFl1Tk1jWTg4OHd6NW9vcnJqRFYxZFhHR0dPV0xsMXFycnZ1T2hNTUJqdWQ1ZVdYWHpiVHBrMXIzLzdUdnBiR3hrWnp6VFhYbU0yYk54OTJlMXR0L3oyNjgzdkE1L045MWVmemZTMC9QMzk0ZHgwek9UazVyL1hyVExmWlBpVWxaWWJQNXd0TE9yUzZBUncxempnQlBVQmlZcUthbXBvVWlVUVVFeE9qbFN0WGF1TEVpVXBQLy9lZmpiTm56N2JhMStMRmk3VnMyVEk5OU5CRGV1R0ZGM1RmZmZkcDVjcVZldUtKSjlyM04zUG1UTFcwdE9qNjY2L1hyMzcxSzAyYU5Fbmw1ZVVhTkdpUXFxcXFOSFRvVU4xOTk5MEtCQUo2OHNrbmxacWFLa21hTld1V3lzdkxkZDExMStuWHYvNTEreG1yTnF0WHIxWjhmTHdXTFZxa2IzM3JXMGVjODhJTEwxUnpjN05xYW1vMGQrN2NReDVQU0VqbzhkYytPWTZUTCtsYmtVZ2s0dlA1VmptTzgzdzRISDV0L2ZyMU8wL1VNZXZxNnJaSElwSDZ6TXpNKzNiczJERlBVdTNoeGt0S1NocWRucDUreTk2OWV4K1gxSEtpWmdMNkU4SUppSUtPTDhsSjB2TGx5NVdXbHFiS3lrcWxwS1RvcnJ2dU9pQjBwS043cVc3WnNtVUtoVUo2NXBsbk5IWHFWSjE3N3JtZGhzeWpqejZxazAvZS93cFBSVVdGQmc4ZXJNcktTZzBlUEZnbm5YU1Nici85ZHQxd3d3MkhQRy9CZ2dVYU9uVG9BV3ZCWUZEdnZ2dXVGaTVjcU85Ly8vdTY3cnJyMnEvUjZzeUxMNzZvejMvKzgzcnh4UmMxWnN3WTdkeTVVNk5Iano3czlzY29WdnVESVZhU0k2azVKeWNudWJDd3NHN1NwRW1ldXJxNm1HM2J0alZPbWpScGNGRlIwYjVSbzBZbHBhV2x4UllWRmRYNmZMNFJnVUJnOS9qeDQ3MUpTVW14YTlldXJUcmpqRFBHZnZEQkI4VjVlWGtESGNlSmJ6dUk0emd4a3FaSm11YnhlSXpydXY4eXh2d2hFb204dTI3ZHVrQVhmMDJWeGNYRmM4YU1HZlA3Z1FNSFhscGFXdnFyMHRMU1I5UWhvSktUazJlT0h6OSt1U1FGZzhFbHUzYnQrcTh1bmdIb3R3Z25vQnUxdExRb0lTRkI3N3p6anFUOTF6eWRkZFpaOG5nOFNrOVAxNTQ5ZS9UaGh4OXE0c1NKR2o5K2ZQdnpWcTllM1drMFNmdXZMMXE5ZW5YNy9hMWJ0OG9ZbzRTRUJCVVZGU2tuSjBkWldWbGF1blNwVnF4WW9WR2pSbW5DaEFuNjZLT1BOSERnd1BacmlDb3FLblR0dGRlcXFxcEthOWFzMFJ0dnZLRndPS3dsUzVabytmTGx5c3pNMVBqeDQ3VnAweVlsSlNVZE1zL2l4WXVWbjU4djEzVjE5dGxuNjlsbm45Vk5OOTNVNmN5TzQrakJCeC9VSlpkY29qRmp4a2lTTHIvOGNxMVpzK2F3WDZldHZMeThXMkppWXJMOGZ2K3RydXMyK1AxK2ordTZOMG5LOVB2OUMrTGk0a29rcFhvOG5xOTZQSjdNYmR1Mi9UQWhJV0dqcEtFbm5YVFN0WTdqakpiMEUwbi9ralI2d0lBQlYwc2FLZW51K1BqNFpaS3lIY2Y1bkRGbXBPTTRuWDU1a3FZNGpqTWxOalpXcnVzdWJtNXVubGRZV0ZoMlhGOVlCOEZnOE5YQ3dzTHNFU05HZkM4akkyUCswS0ZENTI3ZHV2V3pkWFYxNnlTcHJxNXVoZC92ai9WNFBCTk9Qdm5rMzQwWk0rYTMyN1p0KzFKWEhSOEFnS04yTE5jNDdkdTN6MXgwMFVYdDkrdnE2c3k1NTU1cmpESG1Cei80Z1huKytlZk56Smt6emZyMTZ3KzRkbWZXckZudFA2Wk1tV0tNTVdiS2xDa0hyTGZOTW0vZVBMTjY5V296YTlZc1UxMWRiU29xS3N6Wlo1OXRhbXRyelIvLytFZnp5Q09QR0dPTXVmbm1tODJhTldzNm5mUGlpeTgyeGhqeitjOS8zbnp3d1FkbTBhSkZadUhDaGNZWVkzNzBveCtaMWF0WEg3QjlSVVdGT2UrODg4emF0V3VOTWNaczM3N2RuSHZ1dVFkY1EyWE0vbXU1UHZPWno3Ui9YZWVkZDU2Wk1XT0dtVEZqaG5GZHQvMzJqQmt6elBMbHk0L3ExellhMXppNXJ2dFkyM0U3L0lpNHJ2dUJ6K2U3THljbjUvUnVHR1B3S2FlY3N2eTAwMDdiME5tRHFhbXBsN1JlNDhUSHp3QmRnRE5PUURmYXUzZnZBUzl4QllOQmViMWVTVkpPVG80V0xseW9peSsrV0pNbVRWSlRVNVBpNCtQbDhYaTBkT25TOXVkTW5UcTEvZmJCNitGd1dMR3hzWm95Wllva3RWK2JsSnVicS9mZWUwOCtuMC8zM0hPUHd1R3dObTNhSk5kMTIrY3FLQ2pRK3ZYck5XREFnUFo5enB3NVU4dVdMZE5sbDEybU8rKzhVM1BuenRXNmRldDA1NTEzdG05ampOSGRkOSt0Yzg0NVI3bTV1Wktrek14TVhYSEZGZTB2T2JaOVBFRlZWVlg3TytvTy92aUUvUHg4TFYrKy9MalBPRVdETVNiaU9NNDZZOHpmSXBISWMrdldyZHZVallmZlYxSlNjdStwcDU2NlF2dmo2T0FQNlRMR21LWk8xZ0VjQThJSjZFWmJ0bXpSMkxGakZRNkg1ZkY0VkZoWXFPSEQ5NzhoS3pFeFVlRndXUFBtelpNazNYdnZ2YnJvb291T2F2OGVqMGMvLy9uUEQxbWZObTJhM252dlBjMllNVVBOemMxNjc3MzNOSG55NVBaSUtTd3MxUHIxNjVXZm42K2NuSnoyaTdJdnV1Z2l6WnMzVDkvOTduYzFhTkFnclZ5NVVxN3JLaTd1Mzc5MVBQcm9vL3I0NDQvMWh6Lzg0WUJqM25UVFRmclAvL3hQM1gvLy9lMmZFVlZjWEt6Um8wZnI2cXV2VmxWVjFTRnp6cG8xNjREN3k1Y3ZQNnF2djdzWll6NlNkSWN4NXBsQUlMQ3RPNDZabkp5YzQvVjZMNitzckh3K0ZBcHRsWFRTc0dIRGJxeXBxWGxUVXNUajhaeVduSnljVjFsWitYSlNVdExRNGNPSC8zamZ2bjJMdTJNMkFBQU82MWhlcXJ2enpqdk5peSsrYU9iUG4yK21USmxpcGsrZmJsYXRXbVcyYmR0bVpzNmNhYjd5bGErWXYvNzFyOFlZWTI2NjZTYXpZY01HTTJYS0ZCTUtoZHAvZEh5cHJxT0Q3OCthTmF2OWRtVmw1UUZ2K2YvaEQzOW9WcTFhMWVtTVc3ZHVOVi84NGhmYjczLzg4Y2Z0dDIrNTVSYnozbnZ2R1dQMmZ3ekNMMzd4Q3pOOSt2VERmcHpBNXMyYnpYbm5uV2QrL09NZm05cmFXblBQUGZlWUJ4NTRvTk50ai9TUkN6YWk4VkpkTkNRbEpZM096czUrTXpjM2Q1L1A1MnMrNDR3elBzbk16SHhTMGhCSlNreE16Sm93WVlMZjUvT0ZjM056OTdVK2xoemRxWUcrZ3pOT1FEY0pCb05hdVhLbDVzMmJwNnV1dWtyTnpjMktpNHRUU1VtSmJyenhSdDF5eXkyYU5HbVM1czJicDZ5c0xHM1pza1VubjN5eW1wcWFkTTAxMTNTNnp6bHo1clRmUHR5L2NYZmhoUmNlc2xaVlZhVi8vZXRmY2h4SFR6Lzl0TEt5c3JSbzBTSTkrK3l6Q29mRCt1NTN2NnViYjc1WnhjWEZCenl2dExSVW16WnRVa3hNakM2NDRBS3RYTGxTVHovOXRNYU5HOWZwc2NlTkc2ZkhIMzljMy92ZTkvVG9vNC9xdGRkZTArT1BQMjc3UzRaT05EUTA3Tnk4ZWZNRmgzdThzYkZ4KzBjZmZlUjI1MHdBQUh5cW96M2pGQWdFek05KzlyTkQxdGV1WFd1ZWZmYlo5dnNyVjY0MHMyYk5Nai85NlUrTk1jWmNjY1VWQjJ6ZmR2OXc2MjA2bm5HeUZZbEVyTGV0cnE0MlZWVlZWdHRXVmxhYVR6NzV4Q3hZc09DdzIzREdDVUJ2ME9sN2FRRjh1clkvcEErK3lQbElXbHBhZXVYRnoxM0ZHS1BEdklYL3VPWG41MHVTL0g0L3Y2OEJPR0Y0ZXlyUWpmcHpORWs2WWRFRUFOMkZjQUlBQUxCRU9BRUFBRmdpbkFBQUFDd1JUZ0FBQUpZSUp3QUFBRXVFRXdBQWdDWENDUUFBd0JMaEJBQUFZSWx3QWdBQXNFUTRBUUFBV0NLY0FBQUFMQkZPQUFBQWxnZ25BQUFBUzRRVEFBQ0FKY0lKQUFEQUV1RUVBQUJnaVhBQ0FBQ3dSRGdCQUFCWUlwd0FBQUFzRVU0QUFBQ1dDQ2NBQUFCTGhCTUFBSUFsd2drQUFNQVM0UVFBQUdDSmNBSUFBTEFVRiswQmdONHVQejgvMmlNQUFMb0paNXlBWTJTTVdSUHRHWENJOWRFZUFBQUFBQUFBQUFBQUFBQUFBQUFBQUFBQUFBQUFBQUFBQUFBQUFBQUFBQUFBQUFBQUFBQUFBQUFBQUFBQUFBQUFBQUFBQUFBQUFBQUFBQUFBQUFBQUFBQUFBQUFBQUFBQUFBQUFBQUFBQUFBQUFBQUFBQUFBQUFBQUFBQUFBQUFBQUFBQUFBQUFBQUFBQUFBQTlDai9INW9UNytPN2hWTEZBQUFBQUVsRlRrU3VRbUND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23662</Words>
  <Characters>26550</Characters>
  <Lines>195</Lines>
  <Paragraphs>55</Paragraphs>
  <TotalTime>3</TotalTime>
  <ScaleCrop>false</ScaleCrop>
  <LinksUpToDate>false</LinksUpToDate>
  <CharactersWithSpaces>26703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Administrator</cp:lastModifiedBy>
  <cp:lastPrinted>2021-10-22T08:09:00Z</cp:lastPrinted>
  <dcterms:modified xsi:type="dcterms:W3CDTF">2023-07-04T02:47:15Z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5FD323123B724EAEAEAAF5EC21846BB1_13</vt:lpwstr>
  </property>
  <property fmtid="{D5CDD505-2E9C-101B-9397-08002B2CF9AE}" pid="4" name="commondata">
    <vt:lpwstr>eyJoZGlkIjoiZTNiMmJjMGUyMDNhMGI0MjllZTc4OTE3ODRjOTBjMWQifQ==</vt:lpwstr>
  </property>
</Properties>
</file>