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审计局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政务公开第二次专项测评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反馈问题整改报告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收到第二次专项测评检测结果后，我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根据202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年信息公开考评指标体系，对照问题清单进行全面整改，现将整改落实情况报告如下：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未公开2023年部门文件；未公开本部门制发文件的解读信息；权责清单调整情况公开不完整；主动回应信息较少等。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针对上述问题，我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采取如下措施：将已经发现的问题及时整改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完毕</w:t>
      </w:r>
      <w:r>
        <w:rPr>
          <w:rFonts w:hint="eastAsia" w:ascii="仿宋" w:hAnsi="仿宋" w:eastAsia="仿宋" w:cs="仿宋"/>
          <w:sz w:val="32"/>
          <w:szCs w:val="32"/>
        </w:rPr>
        <w:t>。同时加强自查，对照202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年最新指标要求，对标对表，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发现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立即</w:t>
      </w:r>
      <w:r>
        <w:rPr>
          <w:rFonts w:hint="eastAsia" w:ascii="仿宋" w:hAnsi="仿宋" w:eastAsia="仿宋" w:cs="仿宋"/>
          <w:sz w:val="32"/>
          <w:szCs w:val="32"/>
        </w:rPr>
        <w:t>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压实工作责任，健全工作机制。根据全县政务公开工作发展目标和工作重点，不断完善政务公开工作方案以及工作管理办法，做到主要领导亲自抓、分管领导具体抓、专门股室抓落实，并具体落实到人，形成“一级抓一级、层层抓落实”的良好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二是加强培训，提高专业水准。我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将继续对政务公开工作人员进行培训，提高信息采集和发布的专业化水平，做到应该更新的内容及时发布，不应公布的隐私提前排查去除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121F4"/>
    <w:rsid w:val="503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2023-08-02T01:57:13Z</dcterms:created>
  <dc:creator>lenovo</dc:creator>
  <cp:lastModifiedBy>lenovo</cp:lastModifiedBy>
  <dcterms:modified xsi:type="dcterms:W3CDTF">2023-08-02T02:10:18Z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AE864C3CE5704765BFE054762C6CF44A</vt:lpwstr>
  </property>
</Properties>
</file>