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240" w:lineRule="auto"/>
        <w:ind w:left="0" w:right="0" w:firstLine="0"/>
        <w:jc w:val="center"/>
      </w:pPr>
      <w:bookmarkStart w:id="82" w:name="_GoBack"/>
      <w:r>
        <w:rPr>
          <w:b w:val="0"/>
          <w:bCs w:val="0"/>
          <w:sz w:val="44"/>
          <w:szCs w:val="44"/>
          <w:shd w:val="clear" w:fill="FFFFFF"/>
        </w:rPr>
        <w:t>关于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《</w:t>
      </w:r>
      <w:r>
        <w:rPr>
          <w:rFonts w:hint="eastAsia" w:ascii="宋体" w:hAnsi="宋体" w:eastAsia="宋体" w:cs="宋体"/>
          <w:sz w:val="36"/>
          <w:szCs w:val="36"/>
          <w:lang w:bidi="ar"/>
        </w:rPr>
        <w:t>网络预约出租车行业发展规划（2023年-2030年）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》</w:t>
      </w:r>
      <w:r>
        <w:rPr>
          <w:b w:val="0"/>
          <w:bCs w:val="0"/>
          <w:sz w:val="44"/>
          <w:szCs w:val="44"/>
          <w:shd w:val="clear" w:fill="FFFFFF"/>
        </w:rPr>
        <w:t>（草案征求意见稿）起草背景和主要内容的说明</w:t>
      </w:r>
      <w:r>
        <w:rPr>
          <w:shd w:val="clear" w:fill="FFFFFF"/>
        </w:rPr>
        <w:t xml:space="preserve"> </w:t>
      </w:r>
    </w:p>
    <w:bookmarkEnd w:id="82"/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40" w:lineRule="auto"/>
        <w:ind w:right="0" w:rightChars="0" w:firstLine="320" w:firstLineChars="100"/>
        <w:jc w:val="both"/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sz w:val="32"/>
          <w:szCs w:val="32"/>
        </w:rPr>
        <w:t>起草背景</w:t>
      </w:r>
      <w:r>
        <w:t xml:space="preserve"> </w:t>
      </w:r>
    </w:p>
    <w:p>
      <w:pPr>
        <w:adjustRightInd w:val="0"/>
        <w:spacing w:line="360" w:lineRule="auto"/>
        <w:ind w:firstLine="640" w:firstLineChars="200"/>
      </w:pP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为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加快建设交通强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县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，推进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我县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综合运输服务高质量发展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，根据《网络预约出租汽车经营服务管理暂行办法》《宿州市网络预约出租汽车经营服务管理实施细则（暂行）》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《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关于印发2023年全市道路运输重点工作及责任分解的通知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》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等文件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要求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，制定本规划</w:t>
      </w:r>
      <w:bookmarkStart w:id="0" w:name="_Hlk37393440"/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。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40" w:lineRule="auto"/>
        <w:ind w:left="0" w:right="0" w:firstLine="420"/>
        <w:jc w:val="both"/>
      </w:pPr>
      <w:r>
        <w:rPr>
          <w:sz w:val="32"/>
          <w:szCs w:val="32"/>
        </w:rPr>
        <w:t>二、主要内容</w:t>
      </w:r>
      <w: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40" w:lineRule="auto"/>
        <w:ind w:left="0" w:right="0" w:firstLine="420"/>
        <w:jc w:val="both"/>
      </w:pPr>
      <w:r>
        <w:rPr>
          <w:sz w:val="32"/>
          <w:szCs w:val="32"/>
        </w:rPr>
        <w:t>主要内容包括：</w:t>
      </w:r>
      <w:r>
        <w:t xml:space="preserve"> </w:t>
      </w:r>
    </w:p>
    <w:p>
      <w:pPr>
        <w:pStyle w:val="2"/>
        <w:keepNext w:val="0"/>
        <w:keepLines w:val="0"/>
        <w:adjustRightInd w:val="0"/>
        <w:spacing w:before="156" w:beforeLines="50" w:after="156" w:afterLines="50"/>
        <w:ind w:firstLine="643" w:firstLineChars="200"/>
        <w:rPr>
          <w:rFonts w:ascii="Times New Roman" w:hAnsi="Times New Roman" w:eastAsia="黑体" w:cs="Cambria"/>
          <w:b w:val="0"/>
          <w:kern w:val="0"/>
          <w:sz w:val="32"/>
          <w:szCs w:val="32"/>
        </w:rPr>
      </w:pPr>
      <w:bookmarkStart w:id="1" w:name="_Toc87965040"/>
      <w:r>
        <w:rPr>
          <w:rFonts w:hint="eastAsia" w:ascii="楷体_GB2312" w:hAnsi="Times New Roman" w:eastAsia="楷体_GB2312" w:cs="楷体_GB2312"/>
          <w:sz w:val="32"/>
          <w:szCs w:val="32"/>
        </w:rPr>
        <w:t>（</w:t>
      </w:r>
      <w:r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Times New Roman" w:eastAsia="楷体_GB2312" w:cs="楷体_GB2312"/>
          <w:sz w:val="32"/>
          <w:szCs w:val="32"/>
        </w:rPr>
        <w:t>）</w:t>
      </w:r>
      <w:r>
        <w:rPr>
          <w:rFonts w:hint="eastAsia" w:ascii="黑体" w:hAnsi="宋体" w:eastAsia="黑体" w:cs="黑体"/>
          <w:b w:val="0"/>
          <w:kern w:val="0"/>
          <w:sz w:val="32"/>
          <w:szCs w:val="32"/>
        </w:rPr>
        <w:t>主要任务</w:t>
      </w:r>
      <w:bookmarkEnd w:id="1"/>
    </w:p>
    <w:p>
      <w:pPr>
        <w:pStyle w:val="3"/>
        <w:keepNext w:val="0"/>
        <w:keepLines w:val="0"/>
        <w:adjustRightInd w:val="0"/>
        <w:spacing w:before="0" w:after="0"/>
        <w:ind w:firstLine="643"/>
        <w:rPr>
          <w:rFonts w:hint="eastAsia" w:ascii="楷体_GB2312" w:hAnsi="Times New Roman" w:eastAsia="楷体_GB2312" w:cs="楷体_GB2312"/>
          <w:sz w:val="32"/>
          <w:szCs w:val="32"/>
        </w:rPr>
      </w:pPr>
      <w:bookmarkStart w:id="2" w:name="_Toc8040"/>
      <w:bookmarkEnd w:id="2"/>
      <w:bookmarkStart w:id="3" w:name="_Toc56779093"/>
      <w:bookmarkEnd w:id="3"/>
      <w:bookmarkStart w:id="4" w:name="_Toc38802964"/>
      <w:bookmarkEnd w:id="4"/>
      <w:bookmarkStart w:id="5" w:name="_Toc73482507"/>
      <w:bookmarkEnd w:id="5"/>
      <w:bookmarkStart w:id="6" w:name="_Toc73482506"/>
      <w:bookmarkEnd w:id="6"/>
      <w:bookmarkStart w:id="7" w:name="_Toc73482510"/>
      <w:bookmarkEnd w:id="7"/>
      <w:bookmarkStart w:id="8" w:name="_Toc73482509"/>
      <w:bookmarkEnd w:id="8"/>
      <w:bookmarkStart w:id="9" w:name="_Toc73482508"/>
      <w:bookmarkEnd w:id="9"/>
      <w:bookmarkStart w:id="10" w:name="_Toc54371724"/>
      <w:bookmarkStart w:id="11" w:name="_Toc87965042"/>
      <w:r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Times New Roman" w:eastAsia="楷体_GB2312" w:cs="楷体_GB2312"/>
          <w:sz w:val="32"/>
          <w:szCs w:val="32"/>
        </w:rPr>
        <w:t>构建</w:t>
      </w:r>
      <w:r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  <w:t>平稳有序的发展格局</w:t>
      </w:r>
    </w:p>
    <w:p>
      <w:pPr>
        <w:pStyle w:val="3"/>
        <w:keepNext w:val="0"/>
        <w:keepLines w:val="0"/>
        <w:adjustRightInd w:val="0"/>
        <w:spacing w:before="0" w:after="0"/>
        <w:ind w:firstLine="643"/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坚持优先发展城市公共交通、适度发展出租汽车，按照高品质服务、差异化经营的原则，有序发展网约车。</w:t>
      </w:r>
      <w:bookmarkEnd w:id="10"/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计划2023年至2025年，根据我县客运行业发展现状和市场规模，放开3家网约车公司许可名额，每家网约车公司营运车辆由15台放开至20台。2026年至2030年，根据前期行业发展规模和社会发展需求，适当调整许可企业和营运车辆规划。</w:t>
      </w:r>
    </w:p>
    <w:bookmarkEnd w:id="11"/>
    <w:p>
      <w:pPr>
        <w:pStyle w:val="3"/>
        <w:keepNext w:val="0"/>
        <w:keepLines w:val="0"/>
        <w:adjustRightInd w:val="0"/>
        <w:spacing w:before="0" w:after="0"/>
        <w:ind w:firstLine="643"/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</w:pPr>
      <w:bookmarkStart w:id="12" w:name="_Toc56779096"/>
      <w:bookmarkEnd w:id="12"/>
      <w:bookmarkStart w:id="13" w:name="_Toc56779095"/>
      <w:bookmarkEnd w:id="13"/>
      <w:r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  <w:t>2.打造高效便捷的行业服务体系</w:t>
      </w:r>
    </w:p>
    <w:p>
      <w:pPr>
        <w:adjustRightInd w:val="0"/>
        <w:ind w:firstLine="640"/>
        <w:rPr>
          <w:rFonts w:ascii="Times New Roman" w:hAnsi="Times New Roman" w:eastAsia="仿宋_GB2312" w:cs="Cambria"/>
          <w:sz w:val="32"/>
          <w:szCs w:val="32"/>
          <w:lang w:bidi="ar"/>
        </w:rPr>
      </w:pPr>
      <w:bookmarkStart w:id="14" w:name="_Toc56779098"/>
      <w:bookmarkEnd w:id="14"/>
      <w:bookmarkStart w:id="15" w:name="_Toc66187014"/>
      <w:bookmarkEnd w:id="15"/>
      <w:bookmarkStart w:id="16" w:name="_Toc73482518"/>
      <w:bookmarkEnd w:id="16"/>
      <w:bookmarkStart w:id="17" w:name="_Toc73482516"/>
      <w:bookmarkEnd w:id="17"/>
      <w:bookmarkStart w:id="18" w:name="_Toc56779097"/>
      <w:bookmarkEnd w:id="18"/>
      <w:bookmarkStart w:id="19" w:name="_Toc53873112"/>
      <w:bookmarkEnd w:id="19"/>
      <w:bookmarkStart w:id="20" w:name="_Toc73482517"/>
      <w:bookmarkEnd w:id="20"/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加快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推进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网约车行业融合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升级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鼓励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网约车公司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创新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服务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模式</w:t>
      </w:r>
      <w:r>
        <w:rPr>
          <w:rFonts w:hint="eastAsia" w:ascii="Times New Roman" w:hAnsi="Times New Roman" w:eastAsia="仿宋_GB2312" w:cs="Cambria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优化线上线下服务水平，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提高市场竞争能力和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服务质量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利用网约车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行业服务质量评价与监督机制，加强诚信体系建设，促进市场良性竞争。面向社会公众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公示行业基础信息和信用评价报告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，规范平台经营行为。</w:t>
      </w:r>
      <w:bookmarkStart w:id="21" w:name="_Toc73482529"/>
      <w:bookmarkEnd w:id="21"/>
      <w:bookmarkStart w:id="22" w:name="_Toc38802969"/>
      <w:bookmarkEnd w:id="22"/>
      <w:bookmarkStart w:id="23" w:name="_Toc2590"/>
      <w:bookmarkEnd w:id="23"/>
      <w:bookmarkStart w:id="24" w:name="_Toc56779111"/>
      <w:bookmarkEnd w:id="24"/>
      <w:bookmarkStart w:id="25" w:name="_Toc73482527"/>
      <w:bookmarkEnd w:id="25"/>
      <w:bookmarkStart w:id="26" w:name="_Toc73482523"/>
      <w:bookmarkEnd w:id="26"/>
      <w:bookmarkStart w:id="27" w:name="_Toc73482519"/>
      <w:bookmarkEnd w:id="27"/>
      <w:bookmarkStart w:id="28" w:name="_Toc56779105"/>
      <w:bookmarkEnd w:id="28"/>
      <w:bookmarkStart w:id="29" w:name="_Toc73482520"/>
      <w:bookmarkEnd w:id="29"/>
      <w:bookmarkStart w:id="30" w:name="_Toc73482524"/>
      <w:bookmarkEnd w:id="30"/>
      <w:bookmarkStart w:id="31" w:name="_Toc73482525"/>
      <w:bookmarkEnd w:id="31"/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强化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网约车行业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安全和运营服务动态监管，保障可持续稳定运营。</w:t>
      </w:r>
    </w:p>
    <w:p>
      <w:pPr>
        <w:pStyle w:val="3"/>
        <w:keepNext w:val="0"/>
        <w:keepLines w:val="0"/>
        <w:adjustRightInd w:val="0"/>
        <w:spacing w:before="0" w:after="0"/>
        <w:ind w:firstLine="643"/>
        <w:rPr>
          <w:rFonts w:hint="eastAsia" w:ascii="Times New Roman" w:hAnsi="Times New Roman" w:eastAsia="楷体_GB2312" w:cs="Cambria"/>
          <w:sz w:val="32"/>
          <w:szCs w:val="32"/>
        </w:rPr>
      </w:pPr>
      <w:r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楷体_GB2312" w:cs="Cambria"/>
          <w:sz w:val="32"/>
          <w:szCs w:val="32"/>
        </w:rPr>
        <w:t>完善绿色出行服务体系</w:t>
      </w:r>
    </w:p>
    <w:p>
      <w:pPr>
        <w:adjustRightInd w:val="0"/>
        <w:ind w:firstLine="640"/>
        <w:rPr>
          <w:rFonts w:ascii="Times New Roman" w:hAnsi="Times New Roman" w:eastAsia="仿宋_GB2312" w:cs="Cambria"/>
          <w:sz w:val="32"/>
          <w:szCs w:val="32"/>
          <w:lang w:bidi="ar"/>
        </w:rPr>
      </w:pPr>
      <w:bookmarkStart w:id="32" w:name="_Toc73482534"/>
      <w:bookmarkEnd w:id="32"/>
      <w:bookmarkStart w:id="33" w:name="_Toc73482535"/>
      <w:bookmarkEnd w:id="33"/>
      <w:bookmarkStart w:id="34" w:name="_Toc73482536"/>
      <w:bookmarkEnd w:id="34"/>
      <w:bookmarkStart w:id="35" w:name="_Toc73482533"/>
      <w:bookmarkEnd w:id="35"/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严格执行国家和地方污染物控制标准</w:t>
      </w:r>
      <w:r>
        <w:rPr>
          <w:rFonts w:hint="eastAsia" w:ascii="Times New Roman" w:hAnsi="Times New Roman" w:eastAsia="仿宋_GB2312" w:cs="Cambria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加强网约车准入、使用、退出全过程监管，按照相关法律法规规定的车辆准入机制，积极推动新能源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和清洁能源车辆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在网约车行业</w:t>
      </w:r>
      <w:r>
        <w:rPr>
          <w:rFonts w:hint="eastAsia" w:ascii="Times New Roman" w:hAnsi="Times New Roman" w:eastAsia="仿宋_GB2312" w:cs="Cambria"/>
          <w:sz w:val="32"/>
          <w:szCs w:val="32"/>
          <w:lang w:eastAsia="zh-CN" w:bidi="ar"/>
        </w:rPr>
        <w:t>的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应用。</w:t>
      </w:r>
      <w:bookmarkStart w:id="36" w:name="_Toc56779118"/>
      <w:bookmarkEnd w:id="36"/>
    </w:p>
    <w:p>
      <w:pPr>
        <w:pStyle w:val="3"/>
        <w:keepNext w:val="0"/>
        <w:keepLines w:val="0"/>
        <w:adjustRightInd w:val="0"/>
        <w:spacing w:before="0" w:after="0"/>
        <w:ind w:firstLine="560"/>
        <w:rPr>
          <w:rFonts w:hint="eastAsia" w:ascii="Times New Roman" w:hAnsi="Times New Roman" w:eastAsia="楷体_GB2312" w:cs="Cambria"/>
          <w:sz w:val="32"/>
          <w:szCs w:val="32"/>
        </w:rPr>
      </w:pPr>
      <w:bookmarkStart w:id="37" w:name="_Toc73482538"/>
      <w:bookmarkEnd w:id="37"/>
      <w:bookmarkStart w:id="38" w:name="_Toc56779122"/>
      <w:bookmarkEnd w:id="38"/>
      <w:bookmarkStart w:id="39" w:name="_Toc73482539"/>
      <w:bookmarkEnd w:id="39"/>
      <w:bookmarkStart w:id="40" w:name="_Toc73482540"/>
      <w:bookmarkEnd w:id="40"/>
      <w:bookmarkStart w:id="41" w:name="_Toc73482541"/>
      <w:r>
        <w:rPr>
          <w:rFonts w:hint="eastAsia" w:ascii="Times New Roman" w:hAnsi="Times New Roman" w:eastAsia="楷体_GB2312" w:cs="Cambria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楷体_GB2312" w:cs="Cambria"/>
          <w:sz w:val="32"/>
          <w:szCs w:val="32"/>
        </w:rPr>
        <w:t>提升数字监管服务水平。</w:t>
      </w:r>
      <w:bookmarkEnd w:id="41"/>
    </w:p>
    <w:p>
      <w:pPr>
        <w:adjustRightInd w:val="0"/>
        <w:ind w:firstLine="640" w:firstLineChars="200"/>
        <w:rPr>
          <w:rFonts w:hint="eastAsia" w:ascii="Times New Roman" w:hAnsi="Times New Roman" w:eastAsia="仿宋_GB2312" w:cs="Cambria"/>
          <w:sz w:val="32"/>
          <w:szCs w:val="32"/>
          <w:lang w:bidi="ar"/>
        </w:rPr>
      </w:pP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以全国道路运政管理信息系统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和行业监管平台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为基础，强化营运车辆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数据信息查询利用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大力推进道路运输车辆动态监管工作，严格落实道路运输企业监控主体责任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。进一步畅通投诉举报渠道，调整优化投诉举报处置流程。</w:t>
      </w:r>
    </w:p>
    <w:p>
      <w:pPr>
        <w:pStyle w:val="3"/>
        <w:keepNext w:val="0"/>
        <w:keepLines w:val="0"/>
        <w:adjustRightInd w:val="0"/>
        <w:spacing w:before="0" w:after="0"/>
        <w:ind w:firstLine="560"/>
        <w:rPr>
          <w:rFonts w:hint="eastAsia" w:ascii="Times New Roman" w:hAnsi="Times New Roman" w:eastAsia="楷体_GB2312"/>
          <w:b w:val="0"/>
          <w:kern w:val="0"/>
          <w:sz w:val="32"/>
          <w:szCs w:val="32"/>
          <w:lang w:bidi="ar"/>
        </w:rPr>
      </w:pPr>
      <w:bookmarkStart w:id="42" w:name="_Toc73482543"/>
      <w:bookmarkEnd w:id="42"/>
      <w:bookmarkStart w:id="43" w:name="_Toc56779124"/>
      <w:r>
        <w:rPr>
          <w:rFonts w:hint="eastAsia" w:ascii="Times New Roman" w:hAnsi="Times New Roman" w:eastAsia="楷体_GB2312" w:cs="Cambria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楷体_GB2312" w:cs="Cambria"/>
          <w:sz w:val="32"/>
          <w:szCs w:val="32"/>
        </w:rPr>
        <w:t>健全安全生产责任体系。</w:t>
      </w:r>
      <w:bookmarkEnd w:id="43"/>
    </w:p>
    <w:p>
      <w:pPr>
        <w:adjustRightInd w:val="0"/>
        <w:ind w:firstLine="640" w:firstLineChars="200"/>
        <w:rPr>
          <w:rFonts w:hint="eastAsia" w:ascii="Times New Roman" w:hAnsi="Times New Roman" w:eastAsia="仿宋_GB2312" w:cs="Cambria"/>
          <w:sz w:val="32"/>
          <w:szCs w:val="32"/>
          <w:lang w:bidi="ar"/>
        </w:rPr>
      </w:pP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深入开展各项专项整治工作，全面落实企业安全生产主体责任，完善企业安全生产管理制度，持续推进企业安全生产标准化建设</w:t>
      </w:r>
      <w:bookmarkStart w:id="44" w:name="_Toc56779125"/>
      <w:bookmarkEnd w:id="44"/>
      <w:r>
        <w:rPr>
          <w:rFonts w:hint="eastAsia" w:ascii="Times New Roman" w:hAnsi="Times New Roman" w:eastAsia="仿宋_GB2312" w:cs="Cambria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加强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道路运输企业主要负责人和安全生产管理人员安全考核，</w:t>
      </w:r>
      <w:bookmarkStart w:id="45" w:name="_Toc73482552"/>
      <w:bookmarkEnd w:id="45"/>
      <w:bookmarkStart w:id="46" w:name="_Toc56779131"/>
      <w:bookmarkEnd w:id="46"/>
      <w:bookmarkStart w:id="47" w:name="_Toc56779132"/>
      <w:bookmarkEnd w:id="47"/>
      <w:bookmarkStart w:id="48" w:name="_Toc73482548"/>
      <w:bookmarkEnd w:id="48"/>
      <w:bookmarkStart w:id="49" w:name="_Toc31586"/>
      <w:bookmarkEnd w:id="49"/>
      <w:bookmarkStart w:id="50" w:name="_Toc38802975"/>
      <w:bookmarkEnd w:id="50"/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坚持发展和规范并重，更好统筹发展和安全，建立以安全为导向的市场退出机制，及时清退存在重大安全隐患的企业和严重违法违规的驾驶员。</w:t>
      </w:r>
      <w:bookmarkStart w:id="51" w:name="_Toc56779134"/>
      <w:bookmarkEnd w:id="51"/>
      <w:bookmarkStart w:id="52" w:name="_Toc56779133"/>
      <w:bookmarkEnd w:id="52"/>
      <w:bookmarkStart w:id="53" w:name="_Toc73482554"/>
    </w:p>
    <w:p>
      <w:pPr>
        <w:numPr>
          <w:numId w:val="0"/>
        </w:numPr>
        <w:adjustRightInd w:val="0"/>
        <w:ind w:firstLine="643" w:firstLineChars="200"/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加强</w:t>
      </w:r>
      <w:bookmarkEnd w:id="53"/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信用体系建设。</w:t>
      </w:r>
    </w:p>
    <w:p>
      <w:pPr>
        <w:pStyle w:val="3"/>
        <w:keepNext w:val="0"/>
        <w:keepLines w:val="0"/>
        <w:numPr>
          <w:ilvl w:val="0"/>
          <w:numId w:val="0"/>
        </w:numPr>
        <w:adjustRightInd w:val="0"/>
        <w:spacing w:before="0" w:after="0"/>
        <w:ind w:firstLine="640" w:firstLineChars="200"/>
        <w:rPr>
          <w:rFonts w:hint="eastAsia" w:ascii="Times New Roman" w:hAnsi="Times New Roman" w:eastAsia="仿宋_GB2312" w:cs="Cambria"/>
          <w:b w:val="0"/>
          <w:kern w:val="2"/>
          <w:sz w:val="32"/>
          <w:szCs w:val="32"/>
          <w:lang w:val="en-US" w:eastAsia="zh-CN" w:bidi="ar"/>
        </w:rPr>
      </w:pPr>
      <w:bookmarkStart w:id="54" w:name="_Toc87965050"/>
      <w:r>
        <w:rPr>
          <w:rFonts w:hint="eastAsia" w:ascii="Times New Roman" w:hAnsi="Times New Roman" w:eastAsia="仿宋_GB2312" w:cs="Cambria"/>
          <w:b w:val="0"/>
          <w:kern w:val="2"/>
          <w:sz w:val="32"/>
          <w:szCs w:val="32"/>
          <w:lang w:val="en-US" w:eastAsia="zh-CN" w:bidi="ar"/>
        </w:rPr>
        <w:t>认真梳理现行的行业质量信誉考核的内容，完善相关考核指标，严格实施质量信誉考核工作。完善诚信奖惩机制，明晰不同考核等级的约束条件，建立诚信激励机制，落实失信惩戒措施。加强诚信守法教育宣传，普及信用文化和知识，宣传行业诚信守信先进典型，营造诚实守信良好氛围。</w:t>
      </w:r>
    </w:p>
    <w:bookmarkEnd w:id="54"/>
    <w:p>
      <w:pPr>
        <w:pStyle w:val="3"/>
        <w:keepNext w:val="0"/>
        <w:keepLines w:val="0"/>
        <w:numPr>
          <w:numId w:val="0"/>
        </w:numPr>
        <w:adjustRightInd w:val="0"/>
        <w:spacing w:before="0" w:after="0"/>
        <w:ind w:leftChars="200" w:firstLine="321" w:firstLineChars="100"/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lang w:val="en-US" w:eastAsia="zh-CN" w:bidi="ar"/>
        </w:rPr>
      </w:pPr>
      <w:bookmarkStart w:id="55" w:name="_Toc56779136"/>
      <w:bookmarkEnd w:id="55"/>
      <w:bookmarkStart w:id="56" w:name="_Toc73482556"/>
      <w:bookmarkEnd w:id="56"/>
      <w:bookmarkStart w:id="57" w:name="_Toc56779138"/>
      <w:bookmarkEnd w:id="57"/>
      <w:bookmarkStart w:id="58" w:name="_Toc73482557"/>
      <w:bookmarkEnd w:id="58"/>
      <w:bookmarkStart w:id="59" w:name="_Toc73482558"/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lang w:val="en-US" w:eastAsia="zh-CN" w:bidi="ar"/>
        </w:rPr>
        <w:t>7.维护从业人员合法权益</w:t>
      </w:r>
      <w:bookmarkEnd w:id="59"/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lang w:val="en-US" w:eastAsia="zh-CN" w:bidi="ar"/>
        </w:rPr>
        <w:t>。</w:t>
      </w:r>
    </w:p>
    <w:p>
      <w:pPr>
        <w:pStyle w:val="3"/>
        <w:keepNext w:val="0"/>
        <w:keepLines w:val="0"/>
        <w:numPr>
          <w:ilvl w:val="0"/>
          <w:numId w:val="0"/>
        </w:numPr>
        <w:adjustRightInd w:val="0"/>
        <w:spacing w:before="0" w:after="0"/>
        <w:ind w:firstLine="640" w:firstLineChars="200"/>
        <w:rPr>
          <w:rFonts w:hint="eastAsia" w:ascii="Times New Roman" w:hAnsi="Times New Roman" w:eastAsia="仿宋_GB2312" w:cs="Cambria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Cambria"/>
          <w:b w:val="0"/>
          <w:kern w:val="2"/>
          <w:sz w:val="32"/>
          <w:szCs w:val="32"/>
          <w:lang w:val="en-US" w:eastAsia="zh-CN" w:bidi="ar"/>
        </w:rPr>
        <w:t>推进从业人员职业保障体系建设，积极协调人社、工会等部门，加强对从业人员的劳动保护，落实从业人员体检、防暑降温等福利措施，督促企业建立完善劳动保障规章制度。引导平台经营者降低过高的不合理收费和抽成，提高各项收费标准、规则和抽成比例的透明度。鼓励企业和从业人员积极参与各类公益、评选活动，不断提升从业人员职业归属感和荣誉感。</w:t>
      </w:r>
    </w:p>
    <w:p>
      <w:pPr>
        <w:pStyle w:val="2"/>
        <w:keepNext w:val="0"/>
        <w:keepLines w:val="0"/>
        <w:adjustRightInd w:val="0"/>
        <w:spacing w:before="156" w:beforeLines="50" w:after="156" w:afterLines="50"/>
        <w:ind w:firstLine="643" w:firstLineChars="200"/>
        <w:rPr>
          <w:rFonts w:ascii="Times New Roman" w:hAnsi="Times New Roman" w:eastAsia="黑体" w:cs="Cambria"/>
          <w:b w:val="0"/>
          <w:kern w:val="0"/>
          <w:sz w:val="32"/>
          <w:szCs w:val="32"/>
        </w:rPr>
      </w:pPr>
      <w:bookmarkStart w:id="60" w:name="_Toc38802976"/>
      <w:bookmarkEnd w:id="60"/>
      <w:bookmarkStart w:id="61" w:name="_Toc28204"/>
      <w:bookmarkEnd w:id="61"/>
      <w:bookmarkStart w:id="62" w:name="_Toc87965051"/>
      <w:bookmarkStart w:id="63" w:name="_Toc56779139"/>
      <w:r>
        <w:rPr>
          <w:rFonts w:hint="eastAsia" w:ascii="楷体_GB2312" w:hAnsi="Times New Roman" w:eastAsia="楷体_GB2312" w:cs="楷体_GB2312"/>
          <w:sz w:val="32"/>
          <w:szCs w:val="32"/>
        </w:rPr>
        <w:t>（</w:t>
      </w:r>
      <w:r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Times New Roman" w:eastAsia="楷体_GB2312" w:cs="楷体_GB2312"/>
          <w:sz w:val="32"/>
          <w:szCs w:val="32"/>
        </w:rPr>
        <w:t>）</w:t>
      </w:r>
      <w:r>
        <w:rPr>
          <w:rFonts w:hint="eastAsia" w:ascii="黑体" w:hAnsi="宋体" w:eastAsia="黑体" w:cs="黑体"/>
          <w:b w:val="0"/>
          <w:kern w:val="0"/>
          <w:sz w:val="32"/>
          <w:szCs w:val="32"/>
        </w:rPr>
        <w:t>保障措施</w:t>
      </w:r>
      <w:bookmarkEnd w:id="62"/>
      <w:bookmarkEnd w:id="63"/>
    </w:p>
    <w:p>
      <w:pPr>
        <w:pStyle w:val="3"/>
        <w:keepNext w:val="0"/>
        <w:keepLines w:val="0"/>
        <w:adjustRightInd w:val="0"/>
        <w:spacing w:before="0" w:after="0"/>
        <w:ind w:firstLine="643"/>
        <w:rPr>
          <w:rFonts w:hint="eastAsia" w:ascii="Times New Roman" w:hAnsi="Times New Roman" w:eastAsia="楷体_GB2312" w:cs="Cambria"/>
          <w:sz w:val="32"/>
          <w:szCs w:val="32"/>
        </w:rPr>
      </w:pPr>
      <w:bookmarkStart w:id="64" w:name="_Toc31559"/>
      <w:bookmarkEnd w:id="64"/>
      <w:bookmarkStart w:id="65" w:name="_Toc38802977"/>
      <w:bookmarkEnd w:id="65"/>
      <w:bookmarkStart w:id="66" w:name="_Hlk37387475"/>
      <w:bookmarkStart w:id="67" w:name="_Toc87965052"/>
      <w:r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Times New Roman" w:eastAsia="楷体_GB2312" w:cs="楷体_GB2312"/>
          <w:sz w:val="32"/>
          <w:szCs w:val="32"/>
        </w:rPr>
        <w:t>加强规划组织实施</w:t>
      </w:r>
      <w:bookmarkEnd w:id="66"/>
      <w:r>
        <w:rPr>
          <w:rFonts w:hint="eastAsia" w:ascii="Times New Roman" w:hAnsi="Times New Roman" w:eastAsia="楷体_GB2312" w:cs="Cambria"/>
          <w:sz w:val="32"/>
          <w:szCs w:val="32"/>
        </w:rPr>
        <w:t>。</w:t>
      </w:r>
      <w:bookmarkEnd w:id="67"/>
    </w:p>
    <w:p>
      <w:pPr>
        <w:adjustRightInd w:val="0"/>
        <w:ind w:firstLine="800" w:firstLineChars="250"/>
        <w:rPr>
          <w:rFonts w:ascii="Times New Roman" w:hAnsi="Times New Roman" w:eastAsia="仿宋_GB2312" w:cs="Cambria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在县委县政府和县交通运输局的正确领导下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，按照本规划确定的目标和任务，研究谋划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网约车行业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发展，进一步明确任务分工，落实工作责任，推动规划有效实施。</w:t>
      </w:r>
    </w:p>
    <w:p>
      <w:pPr>
        <w:pStyle w:val="3"/>
        <w:keepNext w:val="0"/>
        <w:keepLines w:val="0"/>
        <w:adjustRightInd w:val="0"/>
        <w:spacing w:before="0" w:after="0"/>
        <w:ind w:firstLine="643"/>
        <w:rPr>
          <w:rFonts w:hint="eastAsia" w:ascii="Times New Roman" w:hAnsi="Times New Roman" w:eastAsia="楷体_GB2312" w:cs="Cambria"/>
          <w:sz w:val="32"/>
          <w:szCs w:val="32"/>
        </w:rPr>
      </w:pPr>
      <w:bookmarkStart w:id="68" w:name="_Toc38802980"/>
      <w:bookmarkEnd w:id="68"/>
      <w:bookmarkStart w:id="69" w:name="_Toc56779141"/>
      <w:bookmarkEnd w:id="69"/>
      <w:bookmarkStart w:id="70" w:name="_Toc383"/>
      <w:bookmarkEnd w:id="70"/>
      <w:bookmarkStart w:id="71" w:name="_Toc28348"/>
      <w:bookmarkEnd w:id="71"/>
      <w:bookmarkStart w:id="72" w:name="_Toc38802979"/>
      <w:bookmarkEnd w:id="72"/>
      <w:bookmarkStart w:id="73" w:name="_Toc56779142"/>
      <w:bookmarkEnd w:id="73"/>
      <w:bookmarkStart w:id="74" w:name="_Toc38802978"/>
      <w:bookmarkEnd w:id="74"/>
      <w:bookmarkStart w:id="75" w:name="_Hlk37387499"/>
      <w:bookmarkStart w:id="76" w:name="_Toc87965055"/>
      <w:r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Times New Roman" w:eastAsia="楷体_GB2312" w:cs="楷体_GB2312"/>
          <w:sz w:val="32"/>
          <w:szCs w:val="32"/>
        </w:rPr>
        <w:t>营造良好发展环境</w:t>
      </w:r>
      <w:bookmarkEnd w:id="75"/>
      <w:r>
        <w:rPr>
          <w:rFonts w:hint="eastAsia" w:ascii="Times New Roman" w:hAnsi="Times New Roman" w:eastAsia="楷体_GB2312" w:cs="Cambria"/>
          <w:sz w:val="32"/>
          <w:szCs w:val="32"/>
        </w:rPr>
        <w:t>。</w:t>
      </w:r>
      <w:bookmarkEnd w:id="76"/>
    </w:p>
    <w:p>
      <w:pPr>
        <w:adjustRightInd w:val="0"/>
        <w:ind w:firstLine="640"/>
        <w:rPr>
          <w:rFonts w:hint="eastAsia" w:ascii="Times New Roman" w:hAnsi="Times New Roman" w:eastAsia="仿宋_GB2312"/>
          <w:kern w:val="0"/>
          <w:sz w:val="32"/>
          <w:u w:val="none" w:color="000000"/>
          <w:lang w:eastAsia="zh-CN"/>
        </w:rPr>
      </w:pP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加强</w:t>
      </w:r>
      <w:r>
        <w:rPr>
          <w:rFonts w:hint="eastAsia" w:ascii="Times New Roman" w:hAnsi="Times New Roman" w:eastAsia="仿宋_GB2312" w:cs="Cambria"/>
          <w:sz w:val="32"/>
          <w:szCs w:val="32"/>
          <w:lang w:val="en-US" w:eastAsia="zh-CN" w:bidi="ar"/>
        </w:rPr>
        <w:t>网约车行业管理</w:t>
      </w:r>
      <w:r>
        <w:rPr>
          <w:rFonts w:hint="eastAsia" w:ascii="Times New Roman" w:hAnsi="Times New Roman" w:eastAsia="仿宋_GB2312" w:cs="Cambria"/>
          <w:sz w:val="32"/>
          <w:szCs w:val="32"/>
          <w:lang w:bidi="ar"/>
        </w:rPr>
        <w:t>，充分发挥工会组织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作用，加强行业自律和规范发展。积极利用政府网站、广播电视、微博、微信等渠道，加强先进事迹宣传，</w:t>
      </w:r>
      <w:bookmarkStart w:id="77" w:name="_Hlk37388194"/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传递行业正能量</w:t>
      </w:r>
      <w:bookmarkEnd w:id="77"/>
      <w:bookmarkStart w:id="78" w:name="_Toc5736"/>
      <w:bookmarkEnd w:id="78"/>
      <w:bookmarkStart w:id="79" w:name="_Toc3066"/>
      <w:bookmarkEnd w:id="79"/>
      <w:bookmarkStart w:id="80" w:name="_Toc56779145"/>
      <w:bookmarkEnd w:id="80"/>
      <w:bookmarkStart w:id="81" w:name="_Toc36046787"/>
      <w:bookmarkEnd w:id="81"/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40" w:lineRule="auto"/>
        <w:ind w:left="0" w:right="0" w:firstLine="42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M2JlMzY3Yzk4MTMzZTM0ZTkzZTRkMTgwZjIwZDMifQ=="/>
  </w:docVars>
  <w:rsids>
    <w:rsidRoot w:val="691E7D80"/>
    <w:rsid w:val="691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uppressLineNumbers w:val="0"/>
      <w:spacing w:before="280" w:beforeAutospacing="0" w:after="290" w:afterAutospacing="0" w:line="374" w:lineRule="auto"/>
      <w:ind w:firstLine="562" w:firstLineChars="200"/>
      <w:jc w:val="both"/>
      <w:outlineLvl w:val="3"/>
    </w:pPr>
    <w:rPr>
      <w:rFonts w:hint="default" w:ascii="Cambria Math" w:hAnsi="Cambria Math" w:eastAsia="等线 Light" w:cs="Cambria"/>
      <w:b/>
      <w:kern w:val="2"/>
      <w:sz w:val="28"/>
      <w:szCs w:val="2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2023-09-13T02:39:00Z</dcterms:created>
  <dc:creator>大宁哥七月上</dc:creator>
  <cp:lastModifiedBy>大宁哥七月上</cp:lastModifiedBy>
  <dcterms:modified xsi:type="dcterms:W3CDTF">2023-09-13T02:42:39Z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FCEC146A8136495A8926B0E7399CD32D_11</vt:lpwstr>
  </property>
</Properties>
</file>