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华文中宋" w:hAnsi="华文中宋" w:eastAsia="华文中宋" w:cs="华文中宋"/>
          <w:b/>
          <w:color w:val="auto"/>
          <w:sz w:val="52"/>
          <w:szCs w:val="84"/>
        </w:rPr>
      </w:pPr>
    </w:p>
    <w:p>
      <w:pPr>
        <w:adjustRightInd w:val="0"/>
        <w:snapToGrid w:val="0"/>
        <w:spacing w:line="360" w:lineRule="auto"/>
        <w:jc w:val="center"/>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lang w:val="en-US" w:eastAsia="zh-CN"/>
        </w:rPr>
        <w:t>泗县</w:t>
      </w:r>
      <w:r>
        <w:rPr>
          <w:rFonts w:hint="eastAsia" w:ascii="方正小标宋简体" w:hAnsi="方正小标宋简体" w:eastAsia="方正小标宋简体" w:cs="方正小标宋简体"/>
          <w:b w:val="0"/>
          <w:bCs/>
          <w:color w:val="auto"/>
          <w:sz w:val="44"/>
          <w:szCs w:val="44"/>
          <w:lang w:eastAsia="zh-CN"/>
        </w:rPr>
        <w:t>文化馆</w:t>
      </w:r>
      <w:r>
        <w:rPr>
          <w:rFonts w:hint="eastAsia" w:ascii="方正小标宋简体" w:hAnsi="方正小标宋简体" w:eastAsia="方正小标宋简体" w:cs="方正小标宋简体"/>
          <w:b w:val="0"/>
          <w:bCs/>
          <w:color w:val="auto"/>
          <w:sz w:val="44"/>
          <w:szCs w:val="44"/>
        </w:rPr>
        <w:t>202</w:t>
      </w:r>
      <w:r>
        <w:rPr>
          <w:rFonts w:hint="eastAsia" w:ascii="方正小标宋简体" w:hAnsi="方正小标宋简体" w:eastAsia="方正小标宋简体" w:cs="方正小标宋简体"/>
          <w:b w:val="0"/>
          <w:bCs/>
          <w:color w:val="auto"/>
          <w:sz w:val="44"/>
          <w:szCs w:val="44"/>
          <w:lang w:val="en-US" w:eastAsia="zh-CN"/>
        </w:rPr>
        <w:t>2</w:t>
      </w:r>
      <w:r>
        <w:rPr>
          <w:rFonts w:hint="eastAsia" w:ascii="方正小标宋简体" w:hAnsi="方正小标宋简体" w:eastAsia="方正小标宋简体" w:cs="方正小标宋简体"/>
          <w:b w:val="0"/>
          <w:bCs/>
          <w:color w:val="auto"/>
          <w:sz w:val="44"/>
          <w:szCs w:val="44"/>
        </w:rPr>
        <w:t>年度</w:t>
      </w:r>
      <w:r>
        <w:rPr>
          <w:rFonts w:hint="eastAsia" w:ascii="方正小标宋简体" w:hAnsi="方正小标宋简体" w:eastAsia="方正小标宋简体" w:cs="方正小标宋简体"/>
          <w:b w:val="0"/>
          <w:bCs/>
          <w:color w:val="auto"/>
          <w:sz w:val="44"/>
          <w:szCs w:val="44"/>
          <w:lang w:eastAsia="zh-CN"/>
        </w:rPr>
        <w:t>单位决算</w:t>
      </w: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pStyle w:val="8"/>
        <w:adjustRightInd w:val="0"/>
        <w:snapToGrid w:val="0"/>
        <w:spacing w:before="0" w:beforeAutospacing="0" w:after="0" w:afterAutospacing="0" w:line="360" w:lineRule="auto"/>
        <w:jc w:val="center"/>
        <w:rPr>
          <w:rFonts w:hint="eastAsia" w:ascii="黑体" w:hAnsi="宋体" w:eastAsia="黑体"/>
          <w:bCs/>
          <w:color w:val="auto"/>
          <w:sz w:val="48"/>
          <w:szCs w:val="48"/>
        </w:rPr>
      </w:pPr>
      <w:r>
        <w:rPr>
          <w:rFonts w:hint="eastAsia" w:ascii="黑体" w:hAnsi="黑体" w:eastAsia="黑体"/>
          <w:bCs/>
          <w:color w:val="auto"/>
          <w:sz w:val="44"/>
          <w:szCs w:val="44"/>
        </w:rPr>
        <w:t>202</w:t>
      </w:r>
      <w:r>
        <w:rPr>
          <w:rFonts w:hint="eastAsia" w:ascii="黑体" w:hAnsi="黑体" w:eastAsia="黑体"/>
          <w:bCs/>
          <w:color w:val="auto"/>
          <w:sz w:val="44"/>
          <w:szCs w:val="44"/>
          <w:lang w:val="en-US" w:eastAsia="zh-CN"/>
        </w:rPr>
        <w:t>3</w:t>
      </w:r>
      <w:r>
        <w:rPr>
          <w:rFonts w:hint="eastAsia" w:ascii="黑体" w:hAnsi="黑体" w:eastAsia="黑体"/>
          <w:bCs/>
          <w:color w:val="auto"/>
          <w:sz w:val="44"/>
          <w:szCs w:val="44"/>
        </w:rPr>
        <w:t>年</w:t>
      </w:r>
      <w:r>
        <w:rPr>
          <w:rFonts w:hint="eastAsia" w:ascii="黑体" w:hAnsi="黑体" w:eastAsia="黑体"/>
          <w:bCs/>
          <w:color w:val="auto"/>
          <w:sz w:val="44"/>
          <w:szCs w:val="44"/>
          <w:lang w:val="en-US" w:eastAsia="zh-CN"/>
        </w:rPr>
        <w:t>9</w:t>
      </w:r>
      <w:r>
        <w:rPr>
          <w:rFonts w:hint="eastAsia" w:ascii="黑体" w:hAnsi="黑体" w:eastAsia="黑体"/>
          <w:bCs/>
          <w:color w:val="auto"/>
          <w:sz w:val="44"/>
          <w:szCs w:val="44"/>
        </w:rPr>
        <w:t>月</w:t>
      </w:r>
    </w:p>
    <w:p>
      <w:pPr>
        <w:spacing w:line="580" w:lineRule="exact"/>
        <w:jc w:val="center"/>
        <w:rPr>
          <w:rFonts w:hint="eastAsia" w:ascii="黑体" w:hAnsi="宋体" w:eastAsia="黑体"/>
          <w:bCs/>
          <w:color w:val="auto"/>
          <w:sz w:val="48"/>
          <w:szCs w:val="48"/>
        </w:rPr>
      </w:pPr>
      <w:r>
        <w:rPr>
          <w:rFonts w:hint="eastAsia" w:ascii="黑体" w:hAnsi="宋体" w:eastAsia="黑体"/>
          <w:bCs/>
          <w:color w:val="auto"/>
          <w:sz w:val="48"/>
          <w:szCs w:val="48"/>
        </w:rPr>
        <w:t>目  录</w:t>
      </w:r>
    </w:p>
    <w:p>
      <w:pPr>
        <w:spacing w:line="550" w:lineRule="exact"/>
        <w:rPr>
          <w:rFonts w:hint="eastAsia" w:ascii="宋体" w:hAnsi="宋体"/>
          <w:b/>
          <w:color w:val="auto"/>
          <w:sz w:val="36"/>
          <w:szCs w:val="36"/>
        </w:rPr>
      </w:pPr>
      <w:r>
        <w:rPr>
          <w:rFonts w:hint="eastAsia" w:ascii="宋体" w:hAnsi="宋体"/>
          <w:b/>
          <w:color w:val="auto"/>
          <w:sz w:val="36"/>
          <w:szCs w:val="36"/>
        </w:rPr>
        <w:t xml:space="preserve">第一部分 </w:t>
      </w:r>
      <w:r>
        <w:rPr>
          <w:rFonts w:hint="eastAsia" w:ascii="宋体" w:hAnsi="宋体"/>
          <w:b/>
          <w:color w:val="auto"/>
          <w:sz w:val="36"/>
          <w:szCs w:val="36"/>
          <w:lang w:val="en-US" w:eastAsia="zh-CN"/>
        </w:rPr>
        <w:t>泗县</w:t>
      </w:r>
      <w:r>
        <w:rPr>
          <w:rFonts w:hint="eastAsia" w:ascii="宋体" w:hAnsi="宋体"/>
          <w:b/>
          <w:color w:val="auto"/>
          <w:sz w:val="36"/>
          <w:szCs w:val="36"/>
          <w:lang w:eastAsia="zh-CN"/>
        </w:rPr>
        <w:t>文化馆</w:t>
      </w:r>
      <w:r>
        <w:rPr>
          <w:rFonts w:hint="eastAsia" w:ascii="宋体" w:hAnsi="宋体"/>
          <w:b/>
          <w:color w:val="auto"/>
          <w:sz w:val="36"/>
          <w:szCs w:val="36"/>
        </w:rPr>
        <w:t>概况</w:t>
      </w:r>
    </w:p>
    <w:p>
      <w:pPr>
        <w:numPr>
          <w:ilvl w:val="0"/>
          <w:numId w:val="0"/>
        </w:numPr>
        <w:spacing w:line="550" w:lineRule="exact"/>
        <w:rPr>
          <w:rFonts w:hint="eastAsia" w:ascii="宋体" w:hAnsi="宋体"/>
          <w:bCs/>
          <w:color w:val="auto"/>
          <w:sz w:val="36"/>
          <w:szCs w:val="36"/>
        </w:rPr>
      </w:pPr>
      <w:r>
        <w:rPr>
          <w:rFonts w:hint="eastAsia" w:ascii="宋体" w:hAnsi="宋体"/>
          <w:bCs/>
          <w:color w:val="auto"/>
          <w:sz w:val="36"/>
          <w:szCs w:val="36"/>
          <w:lang w:eastAsia="zh-CN"/>
        </w:rPr>
        <w:t>一、主要</w:t>
      </w:r>
      <w:r>
        <w:rPr>
          <w:rFonts w:hint="eastAsia" w:ascii="宋体" w:hAnsi="宋体"/>
          <w:bCs/>
          <w:color w:val="auto"/>
          <w:sz w:val="36"/>
          <w:szCs w:val="36"/>
        </w:rPr>
        <w:t>职责</w:t>
      </w:r>
    </w:p>
    <w:p>
      <w:pPr>
        <w:numPr>
          <w:ilvl w:val="0"/>
          <w:numId w:val="0"/>
        </w:numPr>
        <w:spacing w:line="550" w:lineRule="exact"/>
        <w:rPr>
          <w:rFonts w:hint="eastAsia" w:ascii="宋体" w:hAnsi="宋体"/>
          <w:bCs/>
          <w:color w:val="auto"/>
          <w:sz w:val="36"/>
          <w:szCs w:val="36"/>
        </w:rPr>
      </w:pPr>
      <w:r>
        <w:rPr>
          <w:rFonts w:hint="eastAsia" w:ascii="宋体" w:hAnsi="宋体"/>
          <w:bCs/>
          <w:color w:val="auto"/>
          <w:sz w:val="36"/>
          <w:szCs w:val="36"/>
        </w:rPr>
        <w:t>二、</w:t>
      </w:r>
      <w:r>
        <w:rPr>
          <w:rFonts w:hint="eastAsia" w:ascii="宋体" w:hAnsi="宋体"/>
          <w:bCs/>
          <w:color w:val="auto"/>
          <w:sz w:val="36"/>
          <w:szCs w:val="36"/>
          <w:lang w:eastAsia="zh-CN"/>
        </w:rPr>
        <w:t>单位决算构成</w:t>
      </w:r>
    </w:p>
    <w:p>
      <w:pPr>
        <w:spacing w:line="550" w:lineRule="exact"/>
        <w:rPr>
          <w:rFonts w:hint="eastAsia" w:ascii="宋体" w:hAnsi="宋体"/>
          <w:b/>
          <w:color w:val="auto"/>
          <w:sz w:val="36"/>
          <w:szCs w:val="36"/>
        </w:rPr>
      </w:pPr>
      <w:r>
        <w:rPr>
          <w:rFonts w:hint="eastAsia" w:ascii="宋体" w:hAnsi="宋体"/>
          <w:b/>
          <w:color w:val="auto"/>
          <w:sz w:val="36"/>
          <w:szCs w:val="36"/>
        </w:rPr>
        <w:t xml:space="preserve">第二部分 </w:t>
      </w:r>
      <w:r>
        <w:rPr>
          <w:rFonts w:hint="eastAsia" w:ascii="宋体" w:hAnsi="宋体"/>
          <w:b/>
          <w:color w:val="auto"/>
          <w:sz w:val="36"/>
          <w:szCs w:val="36"/>
          <w:lang w:val="en-US" w:eastAsia="zh-CN"/>
        </w:rPr>
        <w:t>泗县</w:t>
      </w:r>
      <w:r>
        <w:rPr>
          <w:rFonts w:hint="eastAsia" w:ascii="宋体" w:hAnsi="宋体"/>
          <w:b/>
          <w:color w:val="auto"/>
          <w:sz w:val="36"/>
          <w:szCs w:val="36"/>
          <w:lang w:eastAsia="zh-CN"/>
        </w:rPr>
        <w:t>文化馆</w:t>
      </w:r>
      <w:r>
        <w:rPr>
          <w:rFonts w:hint="eastAsia" w:ascii="宋体" w:hAnsi="宋体"/>
          <w:b/>
          <w:color w:val="auto"/>
          <w:sz w:val="36"/>
          <w:szCs w:val="36"/>
          <w:lang w:eastAsia="zh-CN"/>
        </w:rPr>
        <w:t>202</w:t>
      </w:r>
      <w:r>
        <w:rPr>
          <w:rFonts w:hint="eastAsia" w:ascii="宋体" w:hAnsi="宋体"/>
          <w:b/>
          <w:color w:val="auto"/>
          <w:sz w:val="36"/>
          <w:szCs w:val="36"/>
          <w:lang w:val="en-US" w:eastAsia="zh-CN"/>
        </w:rPr>
        <w:t>2</w:t>
      </w:r>
      <w:r>
        <w:rPr>
          <w:rFonts w:hint="eastAsia" w:ascii="宋体" w:hAnsi="宋体"/>
          <w:b/>
          <w:color w:val="auto"/>
          <w:sz w:val="36"/>
          <w:szCs w:val="36"/>
        </w:rPr>
        <w:t>年度</w:t>
      </w:r>
      <w:r>
        <w:rPr>
          <w:rFonts w:hint="eastAsia" w:ascii="宋体" w:hAnsi="宋体"/>
          <w:b/>
          <w:color w:val="auto"/>
          <w:sz w:val="36"/>
          <w:szCs w:val="36"/>
          <w:lang w:eastAsia="zh-CN"/>
        </w:rPr>
        <w:t>单位决算</w:t>
      </w:r>
      <w:r>
        <w:rPr>
          <w:rFonts w:hint="eastAsia" w:ascii="宋体" w:hAnsi="宋体"/>
          <w:b/>
          <w:color w:val="auto"/>
          <w:sz w:val="36"/>
          <w:szCs w:val="36"/>
        </w:rPr>
        <w:t>表</w:t>
      </w:r>
    </w:p>
    <w:p>
      <w:pPr>
        <w:spacing w:line="550" w:lineRule="exact"/>
        <w:rPr>
          <w:rFonts w:hint="eastAsia" w:ascii="宋体" w:hAnsi="宋体"/>
          <w:bCs/>
          <w:color w:val="auto"/>
          <w:sz w:val="36"/>
          <w:szCs w:val="36"/>
        </w:rPr>
      </w:pPr>
      <w:r>
        <w:rPr>
          <w:rFonts w:hint="eastAsia" w:ascii="宋体" w:hAnsi="宋体"/>
          <w:bCs/>
          <w:color w:val="auto"/>
          <w:sz w:val="36"/>
          <w:szCs w:val="36"/>
        </w:rPr>
        <w:t>一、收入支出决算总表</w:t>
      </w:r>
    </w:p>
    <w:p>
      <w:pPr>
        <w:spacing w:line="550" w:lineRule="exact"/>
        <w:rPr>
          <w:rFonts w:hint="eastAsia" w:ascii="宋体" w:hAnsi="宋体"/>
          <w:bCs/>
          <w:color w:val="auto"/>
          <w:sz w:val="36"/>
          <w:szCs w:val="36"/>
        </w:rPr>
      </w:pPr>
      <w:r>
        <w:rPr>
          <w:rFonts w:hint="eastAsia" w:ascii="宋体" w:hAnsi="宋体"/>
          <w:bCs/>
          <w:color w:val="auto"/>
          <w:sz w:val="36"/>
          <w:szCs w:val="36"/>
        </w:rPr>
        <w:t>二、收入决算表</w:t>
      </w:r>
    </w:p>
    <w:p>
      <w:pPr>
        <w:spacing w:line="550" w:lineRule="exact"/>
        <w:rPr>
          <w:rFonts w:hint="eastAsia" w:ascii="宋体" w:hAnsi="宋体"/>
          <w:bCs/>
          <w:color w:val="auto"/>
          <w:sz w:val="36"/>
          <w:szCs w:val="36"/>
        </w:rPr>
      </w:pPr>
      <w:r>
        <w:rPr>
          <w:rFonts w:hint="eastAsia" w:ascii="宋体" w:hAnsi="宋体"/>
          <w:bCs/>
          <w:color w:val="auto"/>
          <w:sz w:val="36"/>
          <w:szCs w:val="36"/>
        </w:rPr>
        <w:t>三、支出决算表</w:t>
      </w:r>
    </w:p>
    <w:p>
      <w:pPr>
        <w:spacing w:line="550" w:lineRule="exact"/>
        <w:rPr>
          <w:rFonts w:hint="eastAsia" w:ascii="宋体" w:hAnsi="宋体"/>
          <w:bCs/>
          <w:color w:val="auto"/>
          <w:sz w:val="36"/>
          <w:szCs w:val="36"/>
        </w:rPr>
      </w:pPr>
      <w:r>
        <w:rPr>
          <w:rFonts w:hint="eastAsia" w:ascii="宋体" w:hAnsi="宋体"/>
          <w:bCs/>
          <w:color w:val="auto"/>
          <w:sz w:val="36"/>
          <w:szCs w:val="36"/>
        </w:rPr>
        <w:t>四、财政拨款收入支出决算总表</w:t>
      </w:r>
    </w:p>
    <w:p>
      <w:pPr>
        <w:spacing w:line="550" w:lineRule="exact"/>
        <w:rPr>
          <w:rFonts w:hint="eastAsia" w:ascii="宋体" w:hAnsi="宋体"/>
          <w:bCs/>
          <w:color w:val="auto"/>
          <w:sz w:val="36"/>
          <w:szCs w:val="36"/>
        </w:rPr>
      </w:pPr>
      <w:r>
        <w:rPr>
          <w:rFonts w:hint="eastAsia" w:ascii="宋体" w:hAnsi="宋体"/>
          <w:bCs/>
          <w:color w:val="auto"/>
          <w:sz w:val="36"/>
          <w:szCs w:val="36"/>
        </w:rPr>
        <w:t>五、一般公共预算财政拨款支出决算表</w:t>
      </w:r>
    </w:p>
    <w:p>
      <w:pPr>
        <w:spacing w:line="550" w:lineRule="exact"/>
        <w:rPr>
          <w:rFonts w:hint="eastAsia" w:ascii="宋体" w:hAnsi="宋体"/>
          <w:bCs/>
          <w:color w:val="auto"/>
          <w:sz w:val="36"/>
          <w:szCs w:val="36"/>
        </w:rPr>
      </w:pPr>
      <w:r>
        <w:rPr>
          <w:rFonts w:hint="eastAsia" w:ascii="宋体" w:hAnsi="宋体"/>
          <w:bCs/>
          <w:color w:val="auto"/>
          <w:sz w:val="36"/>
          <w:szCs w:val="36"/>
        </w:rPr>
        <w:t>六、一般公共预算财政拨款基本支出决算</w:t>
      </w:r>
      <w:r>
        <w:rPr>
          <w:rFonts w:hint="eastAsia" w:ascii="宋体" w:hAnsi="宋体"/>
          <w:bCs/>
          <w:color w:val="auto"/>
          <w:sz w:val="36"/>
          <w:szCs w:val="36"/>
          <w:lang w:eastAsia="zh-CN"/>
        </w:rPr>
        <w:t>明细</w:t>
      </w:r>
      <w:r>
        <w:rPr>
          <w:rFonts w:hint="eastAsia" w:ascii="宋体" w:hAnsi="宋体"/>
          <w:bCs/>
          <w:color w:val="auto"/>
          <w:sz w:val="36"/>
          <w:szCs w:val="36"/>
        </w:rPr>
        <w:t>表</w:t>
      </w:r>
    </w:p>
    <w:p>
      <w:pPr>
        <w:spacing w:line="550" w:lineRule="exact"/>
        <w:rPr>
          <w:rFonts w:hint="eastAsia" w:ascii="宋体" w:hAnsi="宋体"/>
          <w:bCs/>
          <w:color w:val="auto"/>
          <w:sz w:val="36"/>
          <w:szCs w:val="36"/>
        </w:rPr>
      </w:pPr>
      <w:r>
        <w:rPr>
          <w:rFonts w:hint="eastAsia" w:ascii="宋体" w:hAnsi="宋体"/>
          <w:bCs/>
          <w:color w:val="auto"/>
          <w:sz w:val="36"/>
          <w:szCs w:val="36"/>
        </w:rPr>
        <w:t>七、政府性基金预算财政拨款收入支出决算表</w:t>
      </w:r>
    </w:p>
    <w:p>
      <w:pPr>
        <w:spacing w:line="550" w:lineRule="exact"/>
        <w:rPr>
          <w:rFonts w:hint="eastAsia" w:ascii="宋体" w:hAnsi="宋体"/>
          <w:bCs/>
          <w:color w:val="auto"/>
          <w:sz w:val="36"/>
          <w:szCs w:val="36"/>
        </w:rPr>
      </w:pPr>
      <w:r>
        <w:rPr>
          <w:rFonts w:hint="eastAsia" w:ascii="宋体" w:hAnsi="宋体"/>
          <w:bCs/>
          <w:color w:val="auto"/>
          <w:sz w:val="36"/>
          <w:szCs w:val="36"/>
        </w:rPr>
        <w:t>八、国有资本经营预算财政拨款支出决算表</w:t>
      </w:r>
    </w:p>
    <w:p>
      <w:pPr>
        <w:spacing w:line="550" w:lineRule="exact"/>
        <w:rPr>
          <w:rFonts w:hint="eastAsia" w:ascii="宋体" w:hAnsi="宋体"/>
          <w:b/>
          <w:color w:val="auto"/>
          <w:sz w:val="36"/>
          <w:szCs w:val="36"/>
        </w:rPr>
      </w:pPr>
      <w:r>
        <w:rPr>
          <w:rFonts w:hint="eastAsia" w:ascii="宋体" w:hAnsi="宋体"/>
          <w:b/>
          <w:color w:val="auto"/>
          <w:sz w:val="36"/>
          <w:szCs w:val="36"/>
        </w:rPr>
        <w:t xml:space="preserve">第三部分 </w:t>
      </w:r>
      <w:r>
        <w:rPr>
          <w:rFonts w:hint="eastAsia" w:ascii="宋体" w:hAnsi="宋体"/>
          <w:b/>
          <w:color w:val="auto"/>
          <w:sz w:val="36"/>
          <w:szCs w:val="36"/>
          <w:lang w:val="en-US" w:eastAsia="zh-CN"/>
        </w:rPr>
        <w:t>泗县</w:t>
      </w:r>
      <w:r>
        <w:rPr>
          <w:rFonts w:hint="eastAsia" w:ascii="宋体" w:hAnsi="宋体"/>
          <w:b/>
          <w:color w:val="auto"/>
          <w:sz w:val="36"/>
          <w:szCs w:val="36"/>
          <w:lang w:eastAsia="zh-CN"/>
        </w:rPr>
        <w:t>文化馆</w:t>
      </w:r>
      <w:r>
        <w:rPr>
          <w:rFonts w:hint="eastAsia" w:ascii="宋体" w:hAnsi="宋体"/>
          <w:b/>
          <w:color w:val="auto"/>
          <w:sz w:val="36"/>
          <w:szCs w:val="36"/>
          <w:lang w:eastAsia="zh-CN"/>
        </w:rPr>
        <w:t>202</w:t>
      </w:r>
      <w:r>
        <w:rPr>
          <w:rFonts w:hint="eastAsia" w:ascii="宋体" w:hAnsi="宋体"/>
          <w:b/>
          <w:color w:val="auto"/>
          <w:sz w:val="36"/>
          <w:szCs w:val="36"/>
          <w:lang w:val="en-US" w:eastAsia="zh-CN"/>
        </w:rPr>
        <w:t>2</w:t>
      </w:r>
      <w:r>
        <w:rPr>
          <w:rFonts w:hint="eastAsia" w:ascii="宋体" w:hAnsi="宋体"/>
          <w:b/>
          <w:color w:val="auto"/>
          <w:sz w:val="36"/>
          <w:szCs w:val="36"/>
        </w:rPr>
        <w:t>年度</w:t>
      </w:r>
      <w:r>
        <w:rPr>
          <w:rFonts w:hint="eastAsia" w:ascii="宋体" w:hAnsi="宋体"/>
          <w:b/>
          <w:color w:val="auto"/>
          <w:sz w:val="36"/>
          <w:szCs w:val="36"/>
          <w:lang w:eastAsia="zh-CN"/>
        </w:rPr>
        <w:t>单位决算</w:t>
      </w:r>
      <w:r>
        <w:rPr>
          <w:rFonts w:hint="eastAsia" w:ascii="宋体" w:hAnsi="宋体"/>
          <w:b/>
          <w:color w:val="auto"/>
          <w:sz w:val="36"/>
          <w:szCs w:val="36"/>
        </w:rPr>
        <w:t>情况说明</w:t>
      </w:r>
    </w:p>
    <w:p>
      <w:pPr>
        <w:spacing w:line="550" w:lineRule="exact"/>
        <w:rPr>
          <w:rFonts w:hint="eastAsia" w:ascii="宋体" w:hAnsi="宋体"/>
          <w:bCs/>
          <w:color w:val="auto"/>
          <w:sz w:val="36"/>
          <w:szCs w:val="36"/>
        </w:rPr>
      </w:pPr>
      <w:r>
        <w:rPr>
          <w:rFonts w:hint="eastAsia" w:ascii="宋体" w:hAnsi="宋体"/>
          <w:bCs/>
          <w:color w:val="auto"/>
          <w:sz w:val="36"/>
          <w:szCs w:val="36"/>
        </w:rPr>
        <w:t>一、收入支出决算总体情况说明</w:t>
      </w:r>
    </w:p>
    <w:p>
      <w:pPr>
        <w:spacing w:line="550" w:lineRule="exact"/>
        <w:rPr>
          <w:rFonts w:hint="eastAsia" w:ascii="宋体" w:hAnsi="宋体"/>
          <w:bCs/>
          <w:color w:val="auto"/>
          <w:sz w:val="36"/>
          <w:szCs w:val="36"/>
        </w:rPr>
      </w:pPr>
      <w:r>
        <w:rPr>
          <w:rFonts w:hint="eastAsia" w:ascii="宋体" w:hAnsi="宋体"/>
          <w:bCs/>
          <w:color w:val="auto"/>
          <w:sz w:val="36"/>
          <w:szCs w:val="36"/>
        </w:rPr>
        <w:t>二、收入决算情况说明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三、支出决算情况说明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四、财政拨款收入支出决算总体情况说明</w:t>
      </w:r>
    </w:p>
    <w:p>
      <w:pPr>
        <w:spacing w:line="550" w:lineRule="exact"/>
        <w:rPr>
          <w:rFonts w:hint="eastAsia" w:ascii="宋体" w:hAnsi="宋体"/>
          <w:bCs/>
          <w:color w:val="auto"/>
          <w:sz w:val="36"/>
          <w:szCs w:val="36"/>
        </w:rPr>
      </w:pPr>
      <w:r>
        <w:rPr>
          <w:rFonts w:hint="eastAsia" w:ascii="宋体" w:hAnsi="宋体"/>
          <w:bCs/>
          <w:color w:val="auto"/>
          <w:sz w:val="36"/>
          <w:szCs w:val="36"/>
        </w:rPr>
        <w:t>五、一般公共预算财政拨款支出决算情况说明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六、一般公共预算财政拨款基本支出决算情况说明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七、政府性</w:t>
      </w:r>
      <w:r>
        <w:rPr>
          <w:rFonts w:hint="eastAsia" w:ascii="宋体" w:hAnsi="宋体"/>
          <w:bCs/>
          <w:color w:val="auto"/>
          <w:sz w:val="36"/>
          <w:szCs w:val="36"/>
        </w:rPr>
        <w:t>基金</w:t>
      </w:r>
      <w:r>
        <w:rPr>
          <w:rFonts w:hint="eastAsia" w:ascii="宋体" w:hAnsi="宋体"/>
          <w:bCs/>
          <w:color w:val="auto"/>
          <w:sz w:val="36"/>
          <w:szCs w:val="36"/>
          <w:lang w:val="en-US" w:eastAsia="zh-CN"/>
        </w:rPr>
        <w:t>预算</w:t>
      </w:r>
      <w:r>
        <w:rPr>
          <w:rFonts w:hint="eastAsia" w:ascii="宋体" w:hAnsi="宋体"/>
          <w:bCs/>
          <w:color w:val="auto"/>
          <w:sz w:val="36"/>
          <w:szCs w:val="36"/>
        </w:rPr>
        <w:t>财政拨</w:t>
      </w:r>
      <w:r>
        <w:rPr>
          <w:rFonts w:hint="eastAsia" w:ascii="宋体" w:hAnsi="宋体"/>
          <w:bCs/>
          <w:color w:val="auto"/>
          <w:sz w:val="36"/>
          <w:szCs w:val="36"/>
        </w:rPr>
        <w:t>款收入支出决算情况说明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八、国有资本经营预算财政拨款支出决算情况说明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九、其他重要事项情况说明</w:t>
      </w:r>
    </w:p>
    <w:p>
      <w:pPr>
        <w:spacing w:line="550" w:lineRule="exact"/>
        <w:rPr>
          <w:rFonts w:hint="eastAsia" w:ascii="宋体" w:hAnsi="宋体"/>
          <w:b/>
          <w:color w:val="auto"/>
          <w:sz w:val="36"/>
          <w:szCs w:val="36"/>
        </w:rPr>
      </w:pPr>
      <w:r>
        <w:rPr>
          <w:rFonts w:hint="eastAsia" w:ascii="宋体" w:hAnsi="宋体"/>
          <w:b/>
          <w:color w:val="auto"/>
          <w:sz w:val="36"/>
          <w:szCs w:val="36"/>
        </w:rPr>
        <w:t>第四部分  名词解释</w:t>
      </w:r>
    </w:p>
    <w:p>
      <w:pPr>
        <w:spacing w:line="550" w:lineRule="exact"/>
        <w:rPr>
          <w:rFonts w:hint="eastAsia" w:ascii="宋体" w:hAnsi="宋体"/>
          <w:bCs/>
          <w:color w:val="auto"/>
          <w:sz w:val="36"/>
          <w:szCs w:val="36"/>
        </w:rPr>
      </w:pPr>
      <w:r>
        <w:rPr>
          <w:rFonts w:hint="eastAsia" w:ascii="宋体" w:hAnsi="宋体"/>
          <w:b/>
          <w:color w:val="auto"/>
          <w:sz w:val="36"/>
          <w:szCs w:val="36"/>
          <w:lang w:eastAsia="zh-CN"/>
        </w:rPr>
        <w:t>附件：</w:t>
      </w:r>
      <w:r>
        <w:rPr>
          <w:rFonts w:hint="eastAsia" w:ascii="宋体" w:hAnsi="宋体"/>
          <w:bCs/>
          <w:color w:val="auto"/>
          <w:sz w:val="36"/>
          <w:szCs w:val="36"/>
          <w:lang w:val="en-US" w:eastAsia="zh-CN"/>
        </w:rPr>
        <w:t>2022年度</w:t>
      </w:r>
      <w:r>
        <w:rPr>
          <w:rFonts w:hint="eastAsia" w:ascii="宋体" w:hAnsi="宋体"/>
          <w:bCs/>
          <w:color w:val="auto"/>
          <w:sz w:val="36"/>
          <w:szCs w:val="36"/>
          <w:lang w:eastAsia="zh-CN"/>
        </w:rPr>
        <w:t>项目支出绩效自评表</w:t>
      </w:r>
    </w:p>
    <w:p>
      <w:pPr>
        <w:spacing w:line="550" w:lineRule="exact"/>
        <w:rPr>
          <w:rFonts w:hint="eastAsia" w:ascii="宋体" w:hAnsi="宋体"/>
          <w:b/>
          <w:color w:val="auto"/>
          <w:sz w:val="36"/>
          <w:szCs w:val="36"/>
        </w:rPr>
      </w:pPr>
    </w:p>
    <w:p>
      <w:pPr>
        <w:rPr>
          <w:rFonts w:hint="eastAsia" w:ascii="宋体" w:hAnsi="宋体"/>
          <w:b/>
          <w:color w:val="auto"/>
          <w:sz w:val="36"/>
          <w:szCs w:val="36"/>
        </w:rPr>
      </w:pPr>
    </w:p>
    <w:p>
      <w:pPr>
        <w:adjustRightInd w:val="0"/>
        <w:snapToGrid w:val="0"/>
        <w:spacing w:line="360" w:lineRule="auto"/>
        <w:jc w:val="center"/>
        <w:rPr>
          <w:rFonts w:hint="eastAsia" w:ascii="黑体" w:hAnsi="黑体" w:eastAsia="黑体"/>
          <w:color w:val="auto"/>
          <w:szCs w:val="32"/>
        </w:rPr>
      </w:pPr>
      <w:r>
        <w:rPr>
          <w:rFonts w:hint="eastAsia" w:ascii="宋体" w:hAnsi="宋体"/>
          <w:b/>
          <w:color w:val="auto"/>
          <w:sz w:val="36"/>
          <w:szCs w:val="36"/>
        </w:rPr>
        <w:br w:type="page"/>
      </w:r>
      <w:r>
        <w:rPr>
          <w:rFonts w:hint="eastAsia" w:ascii="黑体" w:hAnsi="黑体" w:eastAsia="黑体"/>
          <w:color w:val="auto"/>
          <w:szCs w:val="32"/>
        </w:rPr>
        <w:t xml:space="preserve">第一部分 </w:t>
      </w:r>
      <w:r>
        <w:rPr>
          <w:rFonts w:hint="eastAsia" w:ascii="宋体" w:hAnsi="宋体" w:eastAsia="黑体"/>
          <w:b/>
          <w:color w:val="auto"/>
          <w:sz w:val="36"/>
          <w:szCs w:val="36"/>
          <w:lang w:val="en-US" w:eastAsia="zh-CN"/>
        </w:rPr>
        <w:t>泗县</w:t>
      </w:r>
      <w:r>
        <w:rPr>
          <w:rFonts w:hint="eastAsia" w:ascii="宋体" w:hAnsi="宋体" w:eastAsia="黑体"/>
          <w:b/>
          <w:color w:val="auto"/>
          <w:sz w:val="36"/>
          <w:szCs w:val="36"/>
          <w:lang w:eastAsia="zh-CN"/>
        </w:rPr>
        <w:t>文化馆</w:t>
      </w:r>
      <w:r>
        <w:rPr>
          <w:rFonts w:hint="eastAsia" w:ascii="黑体" w:hAnsi="黑体" w:eastAsia="黑体"/>
          <w:color w:val="auto"/>
          <w:szCs w:val="32"/>
        </w:rPr>
        <w:t>概况</w:t>
      </w:r>
    </w:p>
    <w:p>
      <w:pPr>
        <w:ind w:firstLine="628" w:firstLineChars="200"/>
        <w:rPr>
          <w:rFonts w:hint="eastAsia" w:ascii="黑体" w:hAnsi="黑体" w:eastAsia="黑体"/>
          <w:color w:val="auto"/>
          <w:szCs w:val="32"/>
        </w:rPr>
      </w:pPr>
      <w:r>
        <w:rPr>
          <w:rFonts w:hint="eastAsia" w:ascii="黑体" w:hAnsi="黑体" w:eastAsia="黑体"/>
          <w:color w:val="auto"/>
          <w:szCs w:val="32"/>
        </w:rPr>
        <w:t>一、</w:t>
      </w:r>
      <w:r>
        <w:rPr>
          <w:rFonts w:hint="eastAsia" w:ascii="黑体" w:hAnsi="黑体" w:eastAsia="黑体"/>
          <w:color w:val="auto"/>
          <w:szCs w:val="32"/>
          <w:lang w:eastAsia="zh-CN"/>
        </w:rPr>
        <w:t>主要</w:t>
      </w:r>
      <w:r>
        <w:rPr>
          <w:rFonts w:hint="eastAsia" w:ascii="黑体" w:hAnsi="黑体" w:eastAsia="黑体"/>
          <w:color w:val="auto"/>
          <w:szCs w:val="32"/>
        </w:rPr>
        <w:t>职责</w:t>
      </w:r>
    </w:p>
    <w:p>
      <w:pPr>
        <w:ind w:firstLine="628" w:firstLineChars="200"/>
        <w:rPr>
          <w:rFonts w:hint="eastAsia" w:ascii="黑体" w:hAnsi="黑体" w:eastAsia="黑体"/>
          <w:color w:val="auto"/>
          <w:szCs w:val="32"/>
        </w:rPr>
      </w:pPr>
      <w:r>
        <w:rPr>
          <w:rFonts w:hint="eastAsia" w:ascii="仿宋_GB2312" w:hAnsi="仿宋" w:eastAsia="仿宋_GB2312"/>
          <w:sz w:val="32"/>
          <w:szCs w:val="32"/>
          <w:lang w:val="en-US" w:eastAsia="zh-CN"/>
        </w:rPr>
        <w:t>组织群众文化活动，繁荣群众文化事业。文化宣传、文艺活动组织、业余文艺创作组织、文化交流、相关培训等。</w:t>
      </w:r>
    </w:p>
    <w:p>
      <w:pPr>
        <w:ind w:firstLine="628" w:firstLineChars="200"/>
        <w:rPr>
          <w:rFonts w:hint="eastAsia" w:ascii="黑体" w:hAnsi="黑体" w:eastAsia="黑体"/>
          <w:color w:val="auto"/>
          <w:szCs w:val="32"/>
        </w:rPr>
      </w:pPr>
      <w:r>
        <w:rPr>
          <w:rFonts w:hint="eastAsia" w:ascii="黑体" w:hAnsi="黑体" w:eastAsia="黑体"/>
          <w:color w:val="auto"/>
          <w:szCs w:val="32"/>
        </w:rPr>
        <w:t>二、单位决算构成</w:t>
      </w:r>
    </w:p>
    <w:p>
      <w:pPr>
        <w:ind w:firstLine="628" w:firstLineChars="200"/>
        <w:rPr>
          <w:rFonts w:hint="eastAsia" w:ascii="仿宋_GB2312" w:hAnsi="仿宋"/>
          <w:color w:val="auto"/>
          <w:szCs w:val="32"/>
        </w:rPr>
      </w:pPr>
      <w:r>
        <w:rPr>
          <w:rFonts w:hint="eastAsia" w:ascii="仿宋_GB2312" w:hAnsi="仿宋"/>
          <w:color w:val="auto"/>
          <w:szCs w:val="32"/>
          <w:lang w:val="en-US" w:eastAsia="zh-CN"/>
        </w:rPr>
        <w:t>泗县文化馆</w:t>
      </w:r>
      <w:r>
        <w:rPr>
          <w:rFonts w:hint="eastAsia" w:ascii="仿宋_GB2312" w:hAnsi="仿宋"/>
          <w:color w:val="auto"/>
          <w:szCs w:val="32"/>
        </w:rPr>
        <w:t>202</w:t>
      </w:r>
      <w:r>
        <w:rPr>
          <w:rFonts w:hint="eastAsia" w:ascii="仿宋_GB2312" w:hAnsi="仿宋"/>
          <w:color w:val="auto"/>
          <w:szCs w:val="32"/>
          <w:lang w:val="en-US" w:eastAsia="zh-CN"/>
        </w:rPr>
        <w:t>2</w:t>
      </w:r>
      <w:r>
        <w:rPr>
          <w:rFonts w:hint="eastAsia" w:ascii="仿宋_GB2312" w:hAnsi="仿宋"/>
          <w:color w:val="auto"/>
          <w:szCs w:val="32"/>
        </w:rPr>
        <w:t>年度单位决算仅包括单位本级决算，无其他下属单位决算。</w:t>
      </w:r>
    </w:p>
    <w:p>
      <w:pPr>
        <w:ind w:firstLine="628" w:firstLineChars="200"/>
        <w:rPr>
          <w:rFonts w:hint="eastAsia" w:ascii="仿宋_GB2312" w:hAnsi="仿宋"/>
          <w:color w:val="auto"/>
          <w:szCs w:val="32"/>
        </w:rPr>
      </w:pPr>
      <w:r>
        <w:rPr>
          <w:rFonts w:hint="eastAsia" w:ascii="仿宋_GB2312" w:hAnsi="仿宋"/>
          <w:color w:val="auto"/>
          <w:szCs w:val="32"/>
        </w:rPr>
        <w:t>纳入</w:t>
      </w:r>
      <w:r>
        <w:rPr>
          <w:rFonts w:hint="eastAsia" w:ascii="仿宋_GB2312" w:hAnsi="仿宋"/>
          <w:color w:val="auto"/>
          <w:szCs w:val="32"/>
          <w:lang w:val="en-US" w:eastAsia="zh-CN"/>
        </w:rPr>
        <w:t>泗县文化馆</w:t>
      </w:r>
      <w:r>
        <w:rPr>
          <w:rFonts w:hint="eastAsia" w:ascii="仿宋_GB2312" w:hAnsi="仿宋"/>
          <w:color w:val="auto"/>
          <w:szCs w:val="32"/>
        </w:rPr>
        <w:t>202</w:t>
      </w:r>
      <w:r>
        <w:rPr>
          <w:rFonts w:hint="eastAsia" w:ascii="仿宋_GB2312" w:hAnsi="仿宋"/>
          <w:color w:val="auto"/>
          <w:szCs w:val="32"/>
          <w:lang w:val="en-US" w:eastAsia="zh-CN"/>
        </w:rPr>
        <w:t>2</w:t>
      </w:r>
      <w:r>
        <w:rPr>
          <w:rFonts w:hint="eastAsia" w:ascii="仿宋_GB2312" w:hAnsi="仿宋"/>
          <w:color w:val="auto"/>
          <w:szCs w:val="32"/>
        </w:rPr>
        <w:t>年度单位决算编制范围的下属单位共</w:t>
      </w:r>
      <w:r>
        <w:rPr>
          <w:rFonts w:hint="eastAsia" w:ascii="仿宋_GB2312" w:hAnsi="仿宋"/>
          <w:color w:val="auto"/>
          <w:szCs w:val="32"/>
          <w:lang w:val="en-US" w:eastAsia="zh-CN"/>
        </w:rPr>
        <w:t>1</w:t>
      </w:r>
      <w:r>
        <w:rPr>
          <w:rFonts w:hint="eastAsia" w:ascii="仿宋_GB2312" w:hAnsi="仿宋"/>
          <w:color w:val="auto"/>
          <w:szCs w:val="32"/>
        </w:rPr>
        <w:t>个，</w:t>
      </w:r>
      <w:r>
        <w:rPr>
          <w:rFonts w:hint="eastAsia" w:ascii="仿宋_GB2312" w:hAnsi="仿宋"/>
          <w:color w:val="auto"/>
          <w:szCs w:val="32"/>
          <w:lang w:eastAsia="zh-CN"/>
        </w:rPr>
        <w:t>具体</w:t>
      </w:r>
      <w:r>
        <w:rPr>
          <w:rFonts w:hint="eastAsia" w:ascii="仿宋_GB2312" w:hAnsi="仿宋"/>
          <w:color w:val="auto"/>
          <w:szCs w:val="32"/>
        </w:rPr>
        <w:t>情况见下表：</w:t>
      </w:r>
    </w:p>
    <w:tbl>
      <w:tblPr>
        <w:tblStyle w:val="10"/>
        <w:tblW w:w="0" w:type="auto"/>
        <w:tblInd w:w="828" w:type="dxa"/>
        <w:shd w:val="clear" w:color="auto" w:fill="FFFFFF"/>
        <w:tblLayout w:type="fixed"/>
        <w:tblCellMar>
          <w:top w:w="0" w:type="dxa"/>
          <w:left w:w="0" w:type="dxa"/>
          <w:bottom w:w="0" w:type="dxa"/>
          <w:right w:w="0" w:type="dxa"/>
        </w:tblCellMar>
      </w:tblPr>
      <w:tblGrid>
        <w:gridCol w:w="1389"/>
        <w:gridCol w:w="5837"/>
      </w:tblGrid>
      <w:tr>
        <w:tblPrEx>
          <w:shd w:val="clear" w:color="auto" w:fill="FFFFFF"/>
          <w:tblCellMar>
            <w:top w:w="0" w:type="dxa"/>
            <w:left w:w="0" w:type="dxa"/>
            <w:bottom w:w="0" w:type="dxa"/>
            <w:right w:w="0" w:type="dxa"/>
          </w:tblCellMar>
        </w:tblPrEx>
        <w:trPr>
          <w:trHeight w:val="397" w:hRule="exact"/>
        </w:trPr>
        <w:tc>
          <w:tcPr>
            <w:tcW w:w="138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eastAsia" w:ascii="宋体" w:hAnsi="宋体"/>
                <w:color w:val="auto"/>
                <w:sz w:val="24"/>
              </w:rPr>
            </w:pPr>
            <w:r>
              <w:rPr>
                <w:rFonts w:hint="eastAsia" w:ascii="宋体" w:hAnsi="宋体"/>
                <w:color w:val="auto"/>
                <w:sz w:val="24"/>
              </w:rPr>
              <w:t>序号</w:t>
            </w:r>
          </w:p>
        </w:tc>
        <w:tc>
          <w:tcPr>
            <w:tcW w:w="5837"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eastAsia" w:ascii="宋体" w:hAnsi="宋体"/>
                <w:color w:val="auto"/>
                <w:sz w:val="24"/>
              </w:rPr>
            </w:pPr>
            <w:r>
              <w:rPr>
                <w:rFonts w:hint="eastAsia" w:ascii="宋体" w:hAnsi="宋体"/>
                <w:color w:val="auto"/>
                <w:sz w:val="24"/>
              </w:rPr>
              <w:t>单位名称</w:t>
            </w:r>
          </w:p>
        </w:tc>
      </w:tr>
      <w:tr>
        <w:tblPrEx>
          <w:shd w:val="clear" w:color="auto" w:fill="FFFFFF"/>
          <w:tblCellMar>
            <w:top w:w="0" w:type="dxa"/>
            <w:left w:w="0" w:type="dxa"/>
            <w:bottom w:w="0" w:type="dxa"/>
            <w:right w:w="0" w:type="dxa"/>
          </w:tblCellMar>
        </w:tblPrEx>
        <w:trPr>
          <w:trHeight w:val="397" w:hRule="exact"/>
        </w:trPr>
        <w:tc>
          <w:tcPr>
            <w:tcW w:w="138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eastAsia" w:ascii="宋体" w:hAnsi="宋体" w:cs="宋体"/>
                <w:color w:val="auto"/>
                <w:sz w:val="24"/>
              </w:rPr>
            </w:pPr>
            <w:r>
              <w:rPr>
                <w:rFonts w:hint="eastAsia" w:ascii="宋体" w:hAnsi="宋体"/>
                <w:color w:val="auto"/>
                <w:sz w:val="24"/>
              </w:rPr>
              <w:t>1</w:t>
            </w:r>
          </w:p>
        </w:tc>
        <w:tc>
          <w:tcPr>
            <w:tcW w:w="583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rPr>
                <w:rFonts w:hint="eastAsia" w:ascii="宋体" w:hAnsi="宋体"/>
                <w:color w:val="auto"/>
                <w:sz w:val="24"/>
              </w:rPr>
            </w:pPr>
            <w:r>
              <w:rPr>
                <w:rFonts w:hint="eastAsia" w:ascii="宋体" w:hAnsi="宋体"/>
                <w:color w:val="auto"/>
                <w:sz w:val="24"/>
                <w:lang w:val="en-US" w:eastAsia="zh-CN"/>
              </w:rPr>
              <w:t>泗县文化馆</w:t>
            </w:r>
            <w:r>
              <w:rPr>
                <w:rFonts w:hint="eastAsia" w:ascii="宋体" w:hAnsi="宋体"/>
                <w:color w:val="auto"/>
                <w:sz w:val="24"/>
              </w:rPr>
              <w:t>本级</w:t>
            </w:r>
          </w:p>
        </w:tc>
      </w:tr>
    </w:tbl>
    <w:p>
      <w:pPr>
        <w:ind w:firstLine="628" w:firstLineChars="200"/>
        <w:rPr>
          <w:rFonts w:hint="eastAsia" w:ascii="仿宋_GB2312" w:hAnsi="黑体"/>
          <w:color w:val="auto"/>
          <w:szCs w:val="32"/>
        </w:rPr>
      </w:pPr>
    </w:p>
    <w:p>
      <w:pPr>
        <w:ind w:firstLine="628" w:firstLineChars="200"/>
        <w:rPr>
          <w:rFonts w:hint="eastAsia" w:ascii="仿宋_GB2312" w:hAnsi="黑体"/>
          <w:color w:val="auto"/>
          <w:szCs w:val="32"/>
        </w:rPr>
      </w:pPr>
    </w:p>
    <w:p>
      <w:pPr>
        <w:ind w:firstLine="628" w:firstLineChars="200"/>
        <w:rPr>
          <w:rFonts w:hint="eastAsia" w:ascii="仿宋_GB2312" w:hAnsi="黑体"/>
          <w:color w:val="auto"/>
          <w:szCs w:val="32"/>
        </w:rPr>
      </w:pPr>
    </w:p>
    <w:p>
      <w:pPr>
        <w:ind w:firstLine="628" w:firstLineChars="200"/>
        <w:rPr>
          <w:rFonts w:hint="eastAsia" w:ascii="仿宋_GB2312" w:hAnsi="黑体"/>
          <w:color w:val="auto"/>
          <w:szCs w:val="32"/>
        </w:rPr>
      </w:pPr>
    </w:p>
    <w:p>
      <w:pPr>
        <w:ind w:firstLine="628" w:firstLineChars="200"/>
        <w:rPr>
          <w:rFonts w:hint="eastAsia" w:ascii="仿宋_GB2312" w:hAnsi="黑体"/>
          <w:color w:val="auto"/>
          <w:szCs w:val="32"/>
        </w:rPr>
      </w:pPr>
    </w:p>
    <w:p>
      <w:pPr>
        <w:ind w:firstLine="628" w:firstLineChars="200"/>
        <w:rPr>
          <w:rFonts w:hint="eastAsia" w:ascii="仿宋_GB2312" w:hAnsi="黑体"/>
          <w:color w:val="auto"/>
          <w:szCs w:val="32"/>
        </w:rPr>
      </w:pPr>
    </w:p>
    <w:p>
      <w:pPr>
        <w:ind w:firstLine="628" w:firstLineChars="200"/>
        <w:rPr>
          <w:rFonts w:hint="eastAsia" w:ascii="仿宋_GB2312" w:hAnsi="黑体"/>
          <w:color w:val="auto"/>
          <w:szCs w:val="32"/>
        </w:rPr>
      </w:pPr>
    </w:p>
    <w:p>
      <w:pPr>
        <w:ind w:firstLine="628" w:firstLineChars="200"/>
        <w:rPr>
          <w:rFonts w:hint="eastAsia" w:ascii="仿宋_GB2312" w:hAnsi="黑体"/>
          <w:color w:val="auto"/>
          <w:szCs w:val="32"/>
        </w:rPr>
      </w:pPr>
    </w:p>
    <w:p>
      <w:pPr>
        <w:ind w:firstLine="628" w:firstLineChars="200"/>
        <w:rPr>
          <w:rFonts w:hint="eastAsia" w:ascii="仿宋_GB2312" w:hAnsi="黑体"/>
          <w:color w:val="auto"/>
          <w:szCs w:val="32"/>
        </w:rPr>
      </w:pPr>
    </w:p>
    <w:p>
      <w:pPr>
        <w:ind w:firstLine="628" w:firstLineChars="200"/>
        <w:rPr>
          <w:rFonts w:hint="eastAsia" w:ascii="仿宋_GB2312" w:hAnsi="黑体"/>
          <w:color w:val="auto"/>
          <w:szCs w:val="32"/>
        </w:rPr>
      </w:pPr>
    </w:p>
    <w:p>
      <w:pPr>
        <w:ind w:firstLine="628" w:firstLineChars="200"/>
        <w:rPr>
          <w:rFonts w:hint="eastAsia" w:ascii="仿宋_GB2312" w:hAnsi="黑体"/>
          <w:color w:val="auto"/>
          <w:szCs w:val="32"/>
        </w:rPr>
      </w:pPr>
    </w:p>
    <w:p>
      <w:pPr>
        <w:jc w:val="center"/>
        <w:rPr>
          <w:rFonts w:hint="eastAsia" w:ascii="黑体" w:hAnsi="黑体" w:eastAsia="黑体"/>
          <w:color w:val="auto"/>
          <w:szCs w:val="32"/>
        </w:rPr>
      </w:pPr>
      <w:r>
        <w:rPr>
          <w:rFonts w:hint="eastAsia" w:ascii="黑体" w:hAnsi="黑体" w:eastAsia="黑体"/>
          <w:color w:val="auto"/>
          <w:szCs w:val="32"/>
        </w:rPr>
        <w:t xml:space="preserve">第二部分 </w:t>
      </w:r>
      <w:r>
        <w:rPr>
          <w:rFonts w:hint="eastAsia" w:ascii="黑体" w:hAnsi="黑体" w:eastAsia="黑体"/>
          <w:color w:val="auto"/>
          <w:szCs w:val="32"/>
          <w:lang w:val="en-US" w:eastAsia="zh-CN"/>
        </w:rPr>
        <w:t>泗县</w:t>
      </w:r>
      <w:r>
        <w:rPr>
          <w:rFonts w:hint="eastAsia" w:ascii="黑体" w:hAnsi="黑体" w:eastAsia="黑体"/>
          <w:color w:val="auto"/>
          <w:szCs w:val="32"/>
          <w:lang w:eastAsia="zh-CN"/>
        </w:rPr>
        <w:t>文化馆202</w:t>
      </w:r>
      <w:r>
        <w:rPr>
          <w:rFonts w:hint="eastAsia" w:ascii="黑体" w:hAnsi="黑体" w:eastAsia="黑体"/>
          <w:color w:val="auto"/>
          <w:szCs w:val="32"/>
          <w:lang w:val="en-US" w:eastAsia="zh-CN"/>
        </w:rPr>
        <w:t>2</w:t>
      </w:r>
      <w:r>
        <w:rPr>
          <w:rFonts w:hint="eastAsia" w:ascii="黑体" w:hAnsi="黑体" w:eastAsia="黑体"/>
          <w:color w:val="auto"/>
          <w:szCs w:val="32"/>
        </w:rPr>
        <w:t>年度</w:t>
      </w:r>
      <w:r>
        <w:rPr>
          <w:rFonts w:hint="eastAsia" w:ascii="黑体" w:hAnsi="黑体" w:eastAsia="黑体"/>
          <w:color w:val="auto"/>
          <w:szCs w:val="32"/>
          <w:lang w:eastAsia="zh-CN"/>
        </w:rPr>
        <w:t>单位决算</w:t>
      </w:r>
      <w:r>
        <w:rPr>
          <w:rFonts w:hint="eastAsia" w:ascii="黑体" w:hAnsi="黑体" w:eastAsia="黑体"/>
          <w:color w:val="auto"/>
          <w:szCs w:val="32"/>
        </w:rPr>
        <w:t>表</w:t>
      </w:r>
    </w:p>
    <w:p>
      <w:pPr>
        <w:jc w:val="both"/>
        <w:rPr>
          <w:rFonts w:hint="eastAsia" w:ascii="黑体" w:hAnsi="黑体" w:eastAsia="黑体"/>
          <w:color w:val="auto"/>
          <w:szCs w:val="32"/>
        </w:rPr>
      </w:pPr>
      <w:r>
        <w:drawing>
          <wp:inline distT="0" distB="0" distL="114300" distR="114300">
            <wp:extent cx="5575935" cy="6720205"/>
            <wp:effectExtent l="0" t="0" r="190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575935" cy="6720205"/>
                    </a:xfrm>
                    <a:prstGeom prst="rect">
                      <a:avLst/>
                    </a:prstGeom>
                    <a:noFill/>
                    <a:ln>
                      <a:noFill/>
                    </a:ln>
                  </pic:spPr>
                </pic:pic>
              </a:graphicData>
            </a:graphic>
          </wp:inline>
        </w:drawing>
      </w:r>
    </w:p>
    <w:p>
      <w:pPr>
        <w:ind w:firstLine="628" w:firstLineChars="200"/>
        <w:jc w:val="center"/>
        <w:rPr>
          <w:rFonts w:hint="eastAsia" w:ascii="黑体" w:hAnsi="黑体" w:eastAsia="黑体"/>
          <w:color w:val="auto"/>
          <w:szCs w:val="32"/>
        </w:rPr>
      </w:pPr>
    </w:p>
    <w:p>
      <w:pPr>
        <w:ind w:firstLine="628" w:firstLineChars="200"/>
        <w:jc w:val="center"/>
        <w:rPr>
          <w:rFonts w:hint="eastAsia" w:ascii="黑体" w:hAnsi="黑体" w:eastAsia="黑体"/>
          <w:color w:val="auto"/>
          <w:szCs w:val="32"/>
        </w:rPr>
      </w:pPr>
    </w:p>
    <w:p>
      <w:pPr>
        <w:jc w:val="both"/>
        <w:rPr>
          <w:rFonts w:hint="eastAsia" w:ascii="黑体" w:hAnsi="黑体" w:eastAsia="黑体"/>
          <w:color w:val="auto"/>
          <w:szCs w:val="32"/>
        </w:rPr>
      </w:pPr>
      <w:r>
        <w:drawing>
          <wp:inline distT="0" distB="0" distL="114300" distR="114300">
            <wp:extent cx="5578475" cy="3740150"/>
            <wp:effectExtent l="0" t="0" r="1460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578475" cy="3740150"/>
                    </a:xfrm>
                    <a:prstGeom prst="rect">
                      <a:avLst/>
                    </a:prstGeom>
                    <a:noFill/>
                    <a:ln>
                      <a:noFill/>
                    </a:ln>
                  </pic:spPr>
                </pic:pic>
              </a:graphicData>
            </a:graphic>
          </wp:inline>
        </w:drawing>
      </w:r>
    </w:p>
    <w:p>
      <w:pPr>
        <w:ind w:firstLine="628" w:firstLineChars="200"/>
        <w:rPr>
          <w:rFonts w:hint="eastAsia" w:ascii="黑体" w:hAnsi="黑体" w:eastAsia="黑体"/>
          <w:color w:val="auto"/>
          <w:szCs w:val="32"/>
        </w:rPr>
      </w:pPr>
      <w:r>
        <w:rPr>
          <w:rFonts w:hint="eastAsia" w:ascii="黑体" w:hAnsi="黑体" w:eastAsia="黑体"/>
          <w:color w:val="auto"/>
          <w:szCs w:val="32"/>
        </w:rPr>
        <w:t xml:space="preserve">    </w:t>
      </w:r>
    </w:p>
    <w:p>
      <w:pPr>
        <w:rPr>
          <w:rFonts w:hint="eastAsia" w:ascii="黑体" w:hAnsi="黑体" w:eastAsia="黑体"/>
          <w:color w:val="auto"/>
          <w:szCs w:val="32"/>
        </w:rPr>
      </w:pPr>
      <w:r>
        <w:drawing>
          <wp:inline distT="0" distB="0" distL="114300" distR="114300">
            <wp:extent cx="5575300" cy="3907155"/>
            <wp:effectExtent l="0" t="0" r="2540" b="952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8"/>
                    <a:stretch>
                      <a:fillRect/>
                    </a:stretch>
                  </pic:blipFill>
                  <pic:spPr>
                    <a:xfrm>
                      <a:off x="0" y="0"/>
                      <a:ext cx="5575300" cy="3907155"/>
                    </a:xfrm>
                    <a:prstGeom prst="rect">
                      <a:avLst/>
                    </a:prstGeom>
                    <a:noFill/>
                    <a:ln>
                      <a:noFill/>
                    </a:ln>
                  </pic:spPr>
                </pic:pic>
              </a:graphicData>
            </a:graphic>
          </wp:inline>
        </w:drawing>
      </w:r>
    </w:p>
    <w:p>
      <w:pPr>
        <w:ind w:firstLine="628" w:firstLineChars="200"/>
        <w:rPr>
          <w:rFonts w:hint="eastAsia" w:ascii="黑体" w:hAnsi="黑体" w:eastAsia="黑体"/>
          <w:color w:val="auto"/>
          <w:szCs w:val="32"/>
        </w:rPr>
      </w:pPr>
    </w:p>
    <w:p>
      <w:pPr>
        <w:rPr>
          <w:rFonts w:hint="eastAsia" w:ascii="黑体" w:hAnsi="黑体" w:eastAsia="黑体"/>
          <w:color w:val="auto"/>
          <w:szCs w:val="32"/>
        </w:rPr>
      </w:pPr>
      <w:r>
        <w:drawing>
          <wp:inline distT="0" distB="0" distL="114300" distR="114300">
            <wp:extent cx="5578475" cy="5360035"/>
            <wp:effectExtent l="0" t="0" r="14605" b="444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9"/>
                    <a:stretch>
                      <a:fillRect/>
                    </a:stretch>
                  </pic:blipFill>
                  <pic:spPr>
                    <a:xfrm>
                      <a:off x="0" y="0"/>
                      <a:ext cx="5578475" cy="5360035"/>
                    </a:xfrm>
                    <a:prstGeom prst="rect">
                      <a:avLst/>
                    </a:prstGeom>
                    <a:noFill/>
                    <a:ln>
                      <a:noFill/>
                    </a:ln>
                  </pic:spPr>
                </pic:pic>
              </a:graphicData>
            </a:graphic>
          </wp:inline>
        </w:drawing>
      </w:r>
    </w:p>
    <w:p>
      <w:pPr>
        <w:ind w:firstLine="628" w:firstLineChars="200"/>
        <w:rPr>
          <w:rFonts w:hint="eastAsia" w:ascii="黑体" w:hAnsi="黑体" w:eastAsia="黑体"/>
          <w:color w:val="auto"/>
          <w:szCs w:val="32"/>
        </w:rPr>
      </w:pPr>
    </w:p>
    <w:p>
      <w:pPr>
        <w:rPr>
          <w:rFonts w:hint="eastAsia" w:ascii="黑体" w:hAnsi="黑体" w:eastAsia="黑体"/>
          <w:color w:val="auto"/>
          <w:szCs w:val="32"/>
        </w:rPr>
      </w:pPr>
    </w:p>
    <w:p>
      <w:pPr>
        <w:rPr>
          <w:rFonts w:hint="eastAsia" w:ascii="黑体" w:hAnsi="黑体" w:eastAsia="黑体"/>
          <w:color w:val="auto"/>
          <w:szCs w:val="32"/>
        </w:rPr>
      </w:pPr>
      <w:r>
        <w:drawing>
          <wp:inline distT="0" distB="0" distL="114300" distR="114300">
            <wp:extent cx="5575935" cy="4139565"/>
            <wp:effectExtent l="0" t="0" r="1905" b="5715"/>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10"/>
                    <a:stretch>
                      <a:fillRect/>
                    </a:stretch>
                  </pic:blipFill>
                  <pic:spPr>
                    <a:xfrm>
                      <a:off x="0" y="0"/>
                      <a:ext cx="5575935" cy="4139565"/>
                    </a:xfrm>
                    <a:prstGeom prst="rect">
                      <a:avLst/>
                    </a:prstGeom>
                    <a:noFill/>
                    <a:ln>
                      <a:noFill/>
                    </a:ln>
                  </pic:spPr>
                </pic:pic>
              </a:graphicData>
            </a:graphic>
          </wp:inline>
        </w:drawing>
      </w:r>
    </w:p>
    <w:p>
      <w:pPr>
        <w:ind w:firstLine="628" w:firstLineChars="200"/>
        <w:rPr>
          <w:rFonts w:hint="eastAsia" w:ascii="黑体" w:hAnsi="黑体" w:eastAsia="黑体"/>
          <w:color w:val="auto"/>
          <w:szCs w:val="32"/>
        </w:rPr>
      </w:pPr>
    </w:p>
    <w:p>
      <w:pPr>
        <w:ind w:firstLine="628" w:firstLineChars="200"/>
        <w:rPr>
          <w:rFonts w:hint="eastAsia" w:ascii="黑体" w:hAnsi="黑体" w:eastAsia="黑体"/>
          <w:color w:val="auto"/>
          <w:szCs w:val="32"/>
        </w:rPr>
      </w:pPr>
    </w:p>
    <w:p>
      <w:pPr>
        <w:ind w:firstLine="628" w:firstLineChars="200"/>
        <w:rPr>
          <w:rFonts w:hint="eastAsia" w:ascii="黑体" w:hAnsi="黑体" w:eastAsia="黑体"/>
          <w:color w:val="auto"/>
          <w:szCs w:val="32"/>
        </w:rPr>
      </w:pPr>
    </w:p>
    <w:p>
      <w:pPr>
        <w:ind w:firstLine="628" w:firstLineChars="200"/>
        <w:rPr>
          <w:rFonts w:hint="eastAsia" w:ascii="黑体" w:hAnsi="黑体" w:eastAsia="黑体"/>
          <w:color w:val="auto"/>
          <w:szCs w:val="32"/>
        </w:rPr>
      </w:pPr>
    </w:p>
    <w:p>
      <w:pPr>
        <w:rPr>
          <w:rFonts w:hint="eastAsia" w:ascii="黑体" w:hAnsi="黑体" w:eastAsia="黑体"/>
          <w:color w:val="auto"/>
          <w:szCs w:val="32"/>
        </w:rPr>
      </w:pPr>
    </w:p>
    <w:p>
      <w:pPr>
        <w:rPr>
          <w:rFonts w:hint="eastAsia" w:ascii="黑体" w:hAnsi="黑体" w:eastAsia="黑体"/>
          <w:color w:val="auto"/>
          <w:szCs w:val="32"/>
        </w:rPr>
      </w:pPr>
      <w:r>
        <w:drawing>
          <wp:inline distT="0" distB="0" distL="114300" distR="114300">
            <wp:extent cx="5579110" cy="4940300"/>
            <wp:effectExtent l="0" t="0" r="13970" b="12700"/>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1"/>
                    <a:stretch>
                      <a:fillRect/>
                    </a:stretch>
                  </pic:blipFill>
                  <pic:spPr>
                    <a:xfrm>
                      <a:off x="0" y="0"/>
                      <a:ext cx="5579110" cy="4940300"/>
                    </a:xfrm>
                    <a:prstGeom prst="rect">
                      <a:avLst/>
                    </a:prstGeom>
                    <a:noFill/>
                    <a:ln>
                      <a:noFill/>
                    </a:ln>
                  </pic:spPr>
                </pic:pic>
              </a:graphicData>
            </a:graphic>
          </wp:inline>
        </w:drawing>
      </w:r>
    </w:p>
    <w:p>
      <w:pPr>
        <w:rPr>
          <w:rFonts w:hint="eastAsia" w:ascii="黑体" w:hAnsi="黑体" w:eastAsia="黑体"/>
          <w:color w:val="auto"/>
          <w:szCs w:val="32"/>
        </w:rPr>
      </w:pPr>
      <w:r>
        <w:rPr>
          <w:rFonts w:hint="eastAsia" w:ascii="黑体" w:hAnsi="黑体" w:eastAsia="黑体"/>
          <w:color w:val="auto"/>
          <w:szCs w:val="32"/>
        </w:rPr>
        <w:br w:type="page"/>
      </w:r>
      <w:r>
        <w:drawing>
          <wp:inline distT="0" distB="0" distL="114300" distR="114300">
            <wp:extent cx="5575935" cy="2790825"/>
            <wp:effectExtent l="0" t="0" r="1905" b="13335"/>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pic:cNvPicPr>
                  </pic:nvPicPr>
                  <pic:blipFill>
                    <a:blip r:embed="rId12"/>
                    <a:stretch>
                      <a:fillRect/>
                    </a:stretch>
                  </pic:blipFill>
                  <pic:spPr>
                    <a:xfrm>
                      <a:off x="0" y="0"/>
                      <a:ext cx="5575935" cy="2790825"/>
                    </a:xfrm>
                    <a:prstGeom prst="rect">
                      <a:avLst/>
                    </a:prstGeom>
                    <a:noFill/>
                    <a:ln>
                      <a:noFill/>
                    </a:ln>
                  </pic:spPr>
                </pic:pic>
              </a:graphicData>
            </a:graphic>
          </wp:inline>
        </w:drawing>
      </w:r>
    </w:p>
    <w:p>
      <w:pPr>
        <w:rPr>
          <w:rFonts w:hint="eastAsia" w:ascii="黑体" w:hAnsi="黑体" w:eastAsia="黑体"/>
          <w:color w:val="auto"/>
          <w:szCs w:val="32"/>
        </w:rPr>
      </w:pPr>
    </w:p>
    <w:p>
      <w:pPr>
        <w:rPr>
          <w:rFonts w:hint="eastAsia" w:ascii="黑体" w:hAnsi="黑体" w:eastAsia="黑体"/>
          <w:color w:val="auto"/>
          <w:szCs w:val="32"/>
        </w:rPr>
      </w:pPr>
    </w:p>
    <w:p>
      <w:pPr>
        <w:rPr>
          <w:rFonts w:hint="eastAsia" w:ascii="黑体" w:hAnsi="黑体" w:eastAsia="黑体"/>
          <w:color w:val="auto"/>
          <w:szCs w:val="32"/>
        </w:rPr>
      </w:pPr>
      <w:r>
        <w:drawing>
          <wp:inline distT="0" distB="0" distL="114300" distR="114300">
            <wp:extent cx="5578475" cy="3561715"/>
            <wp:effectExtent l="0" t="0" r="14605" b="4445"/>
            <wp:docPr id="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pic:cNvPicPr>
                      <a:picLocks noChangeAspect="1"/>
                    </pic:cNvPicPr>
                  </pic:nvPicPr>
                  <pic:blipFill>
                    <a:blip r:embed="rId13"/>
                    <a:stretch>
                      <a:fillRect/>
                    </a:stretch>
                  </pic:blipFill>
                  <pic:spPr>
                    <a:xfrm>
                      <a:off x="0" y="0"/>
                      <a:ext cx="5578475" cy="3561715"/>
                    </a:xfrm>
                    <a:prstGeom prst="rect">
                      <a:avLst/>
                    </a:prstGeom>
                    <a:noFill/>
                    <a:ln>
                      <a:noFill/>
                    </a:ln>
                  </pic:spPr>
                </pic:pic>
              </a:graphicData>
            </a:graphic>
          </wp:inline>
        </w:drawing>
      </w:r>
    </w:p>
    <w:p>
      <w:pPr>
        <w:rPr>
          <w:rFonts w:hint="eastAsia" w:ascii="黑体" w:hAnsi="黑体" w:eastAsia="黑体"/>
          <w:color w:val="auto"/>
          <w:sz w:val="20"/>
        </w:rPr>
      </w:pPr>
    </w:p>
    <w:p>
      <w:pPr>
        <w:rPr>
          <w:rFonts w:hint="eastAsia" w:ascii="黑体" w:hAnsi="黑体" w:eastAsia="黑体"/>
          <w:color w:val="auto"/>
          <w:sz w:val="20"/>
        </w:rPr>
      </w:pPr>
    </w:p>
    <w:p>
      <w:pPr>
        <w:ind w:firstLine="628" w:firstLineChars="200"/>
        <w:rPr>
          <w:rFonts w:hint="eastAsia" w:ascii="黑体" w:hAnsi="黑体" w:eastAsia="黑体"/>
          <w:color w:val="auto"/>
          <w:szCs w:val="32"/>
        </w:rPr>
      </w:pPr>
      <w:r>
        <w:rPr>
          <w:rFonts w:hint="eastAsia" w:ascii="黑体" w:hAnsi="黑体" w:eastAsia="黑体"/>
          <w:color w:val="auto"/>
          <w:szCs w:val="32"/>
        </w:rPr>
        <w:t xml:space="preserve">第三部分 </w:t>
      </w:r>
      <w:r>
        <w:rPr>
          <w:rFonts w:hint="eastAsia" w:ascii="黑体" w:hAnsi="黑体" w:eastAsia="黑体"/>
          <w:color w:val="auto"/>
          <w:szCs w:val="32"/>
          <w:lang w:val="en-US" w:eastAsia="zh-CN"/>
        </w:rPr>
        <w:t>泗县</w:t>
      </w:r>
      <w:r>
        <w:rPr>
          <w:rFonts w:hint="eastAsia" w:ascii="黑体" w:hAnsi="黑体" w:eastAsia="黑体"/>
          <w:color w:val="auto"/>
          <w:szCs w:val="32"/>
          <w:lang w:eastAsia="zh-CN"/>
        </w:rPr>
        <w:t>文化馆202</w:t>
      </w:r>
      <w:r>
        <w:rPr>
          <w:rFonts w:hint="eastAsia" w:ascii="黑体" w:hAnsi="黑体" w:eastAsia="黑体"/>
          <w:color w:val="auto"/>
          <w:szCs w:val="32"/>
          <w:lang w:val="en-US" w:eastAsia="zh-CN"/>
        </w:rPr>
        <w:t>2</w:t>
      </w:r>
      <w:r>
        <w:rPr>
          <w:rFonts w:hint="eastAsia" w:ascii="黑体" w:hAnsi="黑体" w:eastAsia="黑体"/>
          <w:color w:val="auto"/>
          <w:szCs w:val="32"/>
        </w:rPr>
        <w:t>年度</w:t>
      </w:r>
      <w:r>
        <w:rPr>
          <w:rFonts w:hint="eastAsia" w:ascii="黑体" w:hAnsi="黑体" w:eastAsia="黑体"/>
          <w:color w:val="auto"/>
          <w:szCs w:val="32"/>
          <w:lang w:eastAsia="zh-CN"/>
        </w:rPr>
        <w:t>单位决算</w:t>
      </w:r>
      <w:r>
        <w:rPr>
          <w:rFonts w:hint="eastAsia" w:ascii="黑体" w:hAnsi="黑体" w:eastAsia="黑体"/>
          <w:color w:val="auto"/>
          <w:szCs w:val="32"/>
        </w:rPr>
        <w:t>情况说明</w:t>
      </w:r>
    </w:p>
    <w:p>
      <w:pPr>
        <w:ind w:firstLine="628" w:firstLineChars="200"/>
        <w:rPr>
          <w:rFonts w:hint="eastAsia" w:ascii="黑体" w:hAnsi="黑体" w:eastAsia="黑体"/>
          <w:color w:val="auto"/>
          <w:szCs w:val="32"/>
        </w:rPr>
      </w:pPr>
      <w:r>
        <w:rPr>
          <w:rFonts w:hint="eastAsia" w:ascii="黑体" w:hAnsi="黑体" w:eastAsia="黑体"/>
          <w:color w:val="auto"/>
          <w:szCs w:val="32"/>
        </w:rPr>
        <w:t>一、收入支出决算总体情况说明</w:t>
      </w:r>
    </w:p>
    <w:p>
      <w:pPr>
        <w:ind w:firstLine="628"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年度收入总计374.71万元（含使用非财政拨款结余</w:t>
      </w:r>
      <w:r>
        <w:rPr>
          <w:rFonts w:hint="eastAsia" w:ascii="仿宋_GB2312" w:hAnsi="仿宋"/>
          <w:color w:val="auto"/>
          <w:szCs w:val="32"/>
          <w:lang w:eastAsia="zh-CN"/>
        </w:rPr>
        <w:t>、</w:t>
      </w:r>
      <w:r>
        <w:rPr>
          <w:rFonts w:hint="eastAsia" w:ascii="仿宋_GB2312" w:hAnsi="仿宋"/>
          <w:color w:val="auto"/>
          <w:szCs w:val="32"/>
        </w:rPr>
        <w:t>年初结转</w:t>
      </w:r>
      <w:r>
        <w:rPr>
          <w:rFonts w:hint="eastAsia" w:ascii="仿宋_GB2312" w:hAnsi="仿宋"/>
          <w:color w:val="auto"/>
          <w:szCs w:val="32"/>
          <w:lang w:eastAsia="zh-CN"/>
        </w:rPr>
        <w:t>和</w:t>
      </w:r>
      <w:r>
        <w:rPr>
          <w:rFonts w:hint="eastAsia" w:ascii="仿宋_GB2312" w:hAnsi="仿宋"/>
          <w:color w:val="auto"/>
          <w:szCs w:val="32"/>
        </w:rPr>
        <w:t>结余）、支出总计374.71万元（含结余分配</w:t>
      </w:r>
      <w:r>
        <w:rPr>
          <w:rFonts w:hint="eastAsia" w:ascii="仿宋_GB2312" w:hAnsi="仿宋"/>
          <w:color w:val="auto"/>
          <w:szCs w:val="32"/>
          <w:lang w:eastAsia="zh-CN"/>
        </w:rPr>
        <w:t>、</w:t>
      </w:r>
      <w:r>
        <w:rPr>
          <w:rFonts w:hint="eastAsia" w:ascii="仿宋_GB2312" w:hAnsi="仿宋"/>
          <w:color w:val="auto"/>
          <w:szCs w:val="32"/>
        </w:rPr>
        <w:t>年末结转</w:t>
      </w:r>
      <w:r>
        <w:rPr>
          <w:rFonts w:hint="eastAsia" w:ascii="仿宋_GB2312" w:hAnsi="仿宋"/>
          <w:color w:val="auto"/>
          <w:szCs w:val="32"/>
          <w:lang w:eastAsia="zh-CN"/>
        </w:rPr>
        <w:t>和</w:t>
      </w:r>
      <w:r>
        <w:rPr>
          <w:rFonts w:hint="eastAsia" w:ascii="仿宋_GB2312" w:hAnsi="仿宋"/>
          <w:color w:val="auto"/>
          <w:szCs w:val="32"/>
        </w:rPr>
        <w:t>结余）。与</w:t>
      </w:r>
      <w:r>
        <w:rPr>
          <w:rFonts w:hint="eastAsia" w:ascii="仿宋_GB2312" w:hAnsi="仿宋"/>
          <w:color w:val="auto"/>
          <w:szCs w:val="32"/>
          <w:lang w:eastAsia="zh-CN"/>
        </w:rPr>
        <w:t>202</w:t>
      </w:r>
      <w:r>
        <w:rPr>
          <w:rFonts w:hint="eastAsia" w:ascii="仿宋_GB2312" w:hAnsi="仿宋"/>
          <w:color w:val="auto"/>
          <w:szCs w:val="32"/>
          <w:lang w:val="en-US" w:eastAsia="zh-CN"/>
        </w:rPr>
        <w:t>1</w:t>
      </w:r>
      <w:r>
        <w:rPr>
          <w:rFonts w:hint="eastAsia" w:ascii="仿宋_GB2312" w:hAnsi="仿宋"/>
          <w:color w:val="auto"/>
          <w:szCs w:val="32"/>
        </w:rPr>
        <w:t>年相比，收、支总计各减少</w:t>
      </w:r>
      <w:r>
        <w:rPr>
          <w:rFonts w:hint="eastAsia" w:ascii="仿宋_GB2312" w:hAnsi="仿宋"/>
          <w:color w:val="auto"/>
          <w:szCs w:val="32"/>
          <w:lang w:val="en-US" w:eastAsia="zh-CN"/>
        </w:rPr>
        <w:t>37.87</w:t>
      </w:r>
      <w:r>
        <w:rPr>
          <w:rFonts w:hint="eastAsia" w:ascii="仿宋_GB2312" w:hAnsi="仿宋"/>
          <w:color w:val="auto"/>
          <w:szCs w:val="32"/>
        </w:rPr>
        <w:t>万元，下降</w:t>
      </w:r>
      <w:r>
        <w:rPr>
          <w:rFonts w:hint="eastAsia" w:ascii="仿宋_GB2312" w:hAnsi="仿宋"/>
          <w:color w:val="auto"/>
          <w:szCs w:val="32"/>
          <w:lang w:val="en-US" w:eastAsia="zh-CN"/>
        </w:rPr>
        <w:t>9.18</w:t>
      </w:r>
      <w:r>
        <w:rPr>
          <w:rFonts w:hint="eastAsia" w:ascii="仿宋_GB2312" w:hAnsi="仿宋"/>
          <w:color w:val="auto"/>
          <w:szCs w:val="32"/>
        </w:rPr>
        <w:t>%，主要原因是</w:t>
      </w:r>
      <w:r>
        <w:rPr>
          <w:rFonts w:hint="eastAsia" w:ascii="仿宋_GB2312" w:hAnsi="仿宋"/>
          <w:szCs w:val="32"/>
          <w:lang w:val="en-US" w:eastAsia="zh-CN"/>
        </w:rPr>
        <w:t>开展群众文化活动次数减少</w:t>
      </w:r>
      <w:r>
        <w:rPr>
          <w:rFonts w:hint="eastAsia" w:ascii="仿宋_GB2312" w:hAnsi="仿宋"/>
          <w:color w:val="auto"/>
          <w:szCs w:val="32"/>
        </w:rPr>
        <w:t>。</w:t>
      </w:r>
    </w:p>
    <w:p>
      <w:pPr>
        <w:ind w:firstLine="628" w:firstLineChars="200"/>
        <w:rPr>
          <w:rFonts w:hint="eastAsia" w:ascii="黑体" w:hAnsi="仿宋" w:eastAsia="黑体"/>
          <w:color w:val="auto"/>
          <w:szCs w:val="32"/>
        </w:rPr>
      </w:pPr>
      <w:r>
        <w:rPr>
          <w:rFonts w:hint="eastAsia" w:ascii="黑体" w:hAnsi="仿宋" w:eastAsia="黑体"/>
          <w:color w:val="auto"/>
          <w:szCs w:val="32"/>
        </w:rPr>
        <w:t>二、收入决算情况说明</w:t>
      </w:r>
    </w:p>
    <w:p>
      <w:pPr>
        <w:ind w:firstLine="628"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年度收入合计371.63万元，其中：财政拨款收入371.63万元，占</w:t>
      </w:r>
      <w:r>
        <w:rPr>
          <w:rFonts w:hint="eastAsia" w:ascii="仿宋_GB2312" w:hAnsi="仿宋"/>
          <w:color w:val="auto"/>
          <w:szCs w:val="32"/>
          <w:lang w:val="en-US" w:eastAsia="zh-CN"/>
        </w:rPr>
        <w:t>100.00</w:t>
      </w:r>
      <w:r>
        <w:rPr>
          <w:rFonts w:hint="eastAsia" w:ascii="仿宋_GB2312" w:hAnsi="仿宋"/>
          <w:color w:val="auto"/>
          <w:szCs w:val="32"/>
        </w:rPr>
        <w:t>%；事业收入</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0.00</w:t>
      </w:r>
      <w:r>
        <w:rPr>
          <w:rFonts w:hint="eastAsia" w:ascii="仿宋_GB2312" w:hAnsi="仿宋"/>
          <w:color w:val="auto"/>
          <w:szCs w:val="32"/>
        </w:rPr>
        <w:t>%；经营收入</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0.00</w:t>
      </w:r>
      <w:r>
        <w:rPr>
          <w:rFonts w:hint="eastAsia" w:ascii="仿宋_GB2312" w:hAnsi="仿宋"/>
          <w:color w:val="auto"/>
          <w:szCs w:val="32"/>
        </w:rPr>
        <w:t>%；其他收入</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0.00</w:t>
      </w:r>
      <w:r>
        <w:rPr>
          <w:rFonts w:hint="eastAsia" w:ascii="仿宋_GB2312" w:hAnsi="仿宋"/>
          <w:color w:val="auto"/>
          <w:szCs w:val="32"/>
        </w:rPr>
        <w:t>%。</w:t>
      </w:r>
    </w:p>
    <w:p>
      <w:pPr>
        <w:ind w:firstLine="628" w:firstLineChars="200"/>
        <w:rPr>
          <w:rFonts w:hint="eastAsia" w:ascii="黑体" w:hAnsi="仿宋" w:eastAsia="黑体"/>
          <w:color w:val="auto"/>
          <w:szCs w:val="32"/>
        </w:rPr>
      </w:pPr>
      <w:r>
        <w:rPr>
          <w:rFonts w:hint="eastAsia" w:ascii="黑体" w:hAnsi="仿宋" w:eastAsia="黑体"/>
          <w:color w:val="auto"/>
          <w:szCs w:val="32"/>
        </w:rPr>
        <w:t>三、支出决算情况说明</w:t>
      </w:r>
    </w:p>
    <w:p>
      <w:pPr>
        <w:ind w:firstLine="628"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年度支出合计371.63万元，其中：基本支出227.42万元，占</w:t>
      </w:r>
      <w:r>
        <w:rPr>
          <w:rFonts w:hint="eastAsia" w:ascii="仿宋_GB2312" w:hAnsi="仿宋"/>
          <w:color w:val="auto"/>
          <w:szCs w:val="32"/>
          <w:lang w:val="en-US" w:eastAsia="zh-CN"/>
        </w:rPr>
        <w:t>61.20</w:t>
      </w:r>
      <w:r>
        <w:rPr>
          <w:rFonts w:hint="eastAsia" w:ascii="仿宋_GB2312" w:hAnsi="仿宋"/>
          <w:color w:val="auto"/>
          <w:szCs w:val="32"/>
        </w:rPr>
        <w:t>%；项目支出144.2万元，占</w:t>
      </w:r>
      <w:r>
        <w:rPr>
          <w:rFonts w:hint="eastAsia" w:ascii="仿宋_GB2312" w:hAnsi="仿宋"/>
          <w:color w:val="auto"/>
          <w:szCs w:val="32"/>
          <w:lang w:val="en-US" w:eastAsia="zh-CN"/>
        </w:rPr>
        <w:t>38.80</w:t>
      </w:r>
      <w:r>
        <w:rPr>
          <w:rFonts w:hint="eastAsia" w:ascii="仿宋_GB2312" w:hAnsi="仿宋"/>
          <w:color w:val="auto"/>
          <w:szCs w:val="32"/>
        </w:rPr>
        <w:t>%；经营支出</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0.00</w:t>
      </w:r>
      <w:r>
        <w:rPr>
          <w:rFonts w:hint="eastAsia" w:ascii="仿宋_GB2312" w:hAnsi="仿宋"/>
          <w:color w:val="auto"/>
          <w:szCs w:val="32"/>
        </w:rPr>
        <w:t>%。</w:t>
      </w:r>
    </w:p>
    <w:p>
      <w:pPr>
        <w:ind w:firstLine="628"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四、财政拨款收入支出决算总体情况说明</w:t>
      </w:r>
    </w:p>
    <w:p>
      <w:pPr>
        <w:ind w:firstLine="628" w:firstLineChars="200"/>
        <w:rPr>
          <w:rFonts w:hint="eastAsia" w:ascii="仿宋_GB2312" w:hAnsi="仿宋"/>
          <w:color w:val="auto"/>
          <w:szCs w:val="32"/>
        </w:rPr>
      </w:pPr>
      <w:r>
        <w:rPr>
          <w:rFonts w:hint="eastAsia" w:ascii="仿宋_GB2312" w:hAnsi="仿宋_GB2312" w:eastAsia="仿宋_GB2312" w:cs="仿宋_GB2312"/>
          <w:b w:val="0"/>
          <w:bCs/>
          <w:color w:val="auto"/>
          <w:sz w:val="32"/>
          <w:szCs w:val="32"/>
          <w:lang w:eastAsia="zh-CN"/>
        </w:rPr>
        <w:t>202</w:t>
      </w:r>
      <w:r>
        <w:rPr>
          <w:rFonts w:hint="eastAsia" w:ascii="仿宋_GB2312" w:hAnsi="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年</w:t>
      </w:r>
      <w:r>
        <w:rPr>
          <w:rFonts w:hint="eastAsia" w:ascii="仿宋_GB2312" w:hAnsi="仿宋_GB2312" w:eastAsia="仿宋_GB2312" w:cs="仿宋_GB2312"/>
          <w:b w:val="0"/>
          <w:bCs/>
          <w:color w:val="auto"/>
          <w:sz w:val="32"/>
          <w:szCs w:val="32"/>
          <w:lang w:eastAsia="zh-CN"/>
        </w:rPr>
        <w:t>度</w:t>
      </w:r>
      <w:r>
        <w:rPr>
          <w:rFonts w:hint="eastAsia" w:ascii="仿宋_GB2312" w:hAnsi="仿宋_GB2312" w:eastAsia="仿宋_GB2312" w:cs="仿宋_GB2312"/>
          <w:b w:val="0"/>
          <w:bCs/>
          <w:color w:val="auto"/>
          <w:sz w:val="32"/>
          <w:szCs w:val="32"/>
        </w:rPr>
        <w:t>财政拨款收入</w:t>
      </w:r>
      <w:r>
        <w:rPr>
          <w:rFonts w:hint="eastAsia" w:ascii="仿宋_GB2312" w:hAnsi="仿宋"/>
          <w:color w:val="auto"/>
          <w:szCs w:val="32"/>
        </w:rPr>
        <w:t>总计371.63万元（含年初财政拨款结转</w:t>
      </w:r>
      <w:r>
        <w:rPr>
          <w:rFonts w:hint="eastAsia" w:ascii="仿宋_GB2312" w:hAnsi="仿宋"/>
          <w:color w:val="auto"/>
          <w:szCs w:val="32"/>
          <w:lang w:eastAsia="zh-CN"/>
        </w:rPr>
        <w:t>和</w:t>
      </w:r>
      <w:r>
        <w:rPr>
          <w:rFonts w:hint="eastAsia" w:ascii="仿宋_GB2312" w:hAnsi="仿宋"/>
          <w:color w:val="auto"/>
          <w:szCs w:val="32"/>
        </w:rPr>
        <w:t>结余），支出总计371.63万元（含年末财政拨款结转和结余）。与</w:t>
      </w:r>
      <w:r>
        <w:rPr>
          <w:rFonts w:hint="eastAsia" w:ascii="仿宋_GB2312" w:hAnsi="仿宋"/>
          <w:color w:val="auto"/>
          <w:szCs w:val="32"/>
          <w:lang w:eastAsia="zh-CN"/>
        </w:rPr>
        <w:t>202</w:t>
      </w:r>
      <w:r>
        <w:rPr>
          <w:rFonts w:hint="eastAsia" w:ascii="仿宋_GB2312" w:hAnsi="仿宋"/>
          <w:color w:val="auto"/>
          <w:szCs w:val="32"/>
          <w:lang w:val="en-US" w:eastAsia="zh-CN"/>
        </w:rPr>
        <w:t>1</w:t>
      </w:r>
      <w:r>
        <w:rPr>
          <w:rFonts w:hint="eastAsia" w:ascii="仿宋_GB2312" w:hAnsi="仿宋"/>
          <w:color w:val="auto"/>
          <w:szCs w:val="32"/>
        </w:rPr>
        <w:t>年相比，财政拨款收、支总计各减少</w:t>
      </w:r>
      <w:r>
        <w:rPr>
          <w:rFonts w:hint="eastAsia" w:ascii="仿宋_GB2312" w:hAnsi="仿宋"/>
          <w:color w:val="auto"/>
          <w:szCs w:val="32"/>
          <w:lang w:val="en-US" w:eastAsia="zh-CN"/>
        </w:rPr>
        <w:t>37.86</w:t>
      </w:r>
      <w:r>
        <w:rPr>
          <w:rFonts w:hint="eastAsia" w:ascii="仿宋_GB2312" w:hAnsi="仿宋"/>
          <w:color w:val="auto"/>
          <w:szCs w:val="32"/>
        </w:rPr>
        <w:t>万元，下降</w:t>
      </w:r>
      <w:r>
        <w:rPr>
          <w:rFonts w:hint="eastAsia" w:ascii="仿宋_GB2312" w:hAnsi="仿宋"/>
          <w:color w:val="auto"/>
          <w:szCs w:val="32"/>
          <w:lang w:val="en-US" w:eastAsia="zh-CN"/>
        </w:rPr>
        <w:t>9.25</w:t>
      </w:r>
      <w:r>
        <w:rPr>
          <w:rFonts w:hint="eastAsia" w:ascii="仿宋_GB2312" w:hAnsi="仿宋"/>
          <w:color w:val="auto"/>
          <w:szCs w:val="32"/>
        </w:rPr>
        <w:t>%，主要原因是</w:t>
      </w:r>
      <w:r>
        <w:rPr>
          <w:rFonts w:hint="eastAsia" w:ascii="仿宋_GB2312" w:hAnsi="仿宋"/>
          <w:szCs w:val="32"/>
          <w:lang w:val="en-US" w:eastAsia="zh-CN"/>
        </w:rPr>
        <w:t>开展群众文化活动次数减少</w:t>
      </w:r>
      <w:r>
        <w:rPr>
          <w:rFonts w:hint="eastAsia" w:ascii="仿宋_GB2312" w:hAnsi="仿宋"/>
          <w:color w:val="auto"/>
          <w:szCs w:val="32"/>
        </w:rPr>
        <w:t>。</w:t>
      </w:r>
    </w:p>
    <w:p>
      <w:pPr>
        <w:ind w:firstLine="628" w:firstLineChars="200"/>
        <w:rPr>
          <w:rFonts w:hint="eastAsia" w:ascii="黑体" w:hAnsi="仿宋" w:eastAsia="黑体"/>
          <w:color w:val="auto"/>
          <w:szCs w:val="32"/>
        </w:rPr>
      </w:pPr>
      <w:r>
        <w:rPr>
          <w:rFonts w:hint="eastAsia" w:ascii="黑体" w:hAnsi="仿宋" w:eastAsia="黑体"/>
          <w:color w:val="auto"/>
          <w:szCs w:val="32"/>
        </w:rPr>
        <w:t>五、一般公共预算财政拨款支出决算情况说明</w:t>
      </w:r>
    </w:p>
    <w:p>
      <w:pPr>
        <w:ind w:firstLine="628" w:firstLineChars="200"/>
        <w:rPr>
          <w:rFonts w:hint="eastAsia" w:ascii="仿宋_GB2312" w:hAnsi="仿宋"/>
          <w:b/>
          <w:bCs/>
          <w:color w:val="auto"/>
          <w:szCs w:val="32"/>
        </w:rPr>
      </w:pPr>
      <w:r>
        <w:rPr>
          <w:rFonts w:hint="eastAsia" w:ascii="仿宋_GB2312" w:hAnsi="仿宋"/>
          <w:b/>
          <w:bCs/>
          <w:color w:val="auto"/>
          <w:szCs w:val="32"/>
        </w:rPr>
        <w:t>（一）一般公共预算财政拨款支出决算总体情况。</w:t>
      </w:r>
    </w:p>
    <w:p>
      <w:pPr>
        <w:ind w:firstLine="628"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年度一般公共预算财政拨款支出371.63万元，占本年支出的</w:t>
      </w:r>
      <w:r>
        <w:rPr>
          <w:rFonts w:hint="eastAsia" w:ascii="仿宋_GB2312" w:hAnsi="仿宋"/>
          <w:color w:val="auto"/>
          <w:szCs w:val="32"/>
          <w:lang w:val="en-US" w:eastAsia="zh-CN"/>
        </w:rPr>
        <w:t>100.00</w:t>
      </w:r>
      <w:r>
        <w:rPr>
          <w:rFonts w:hint="eastAsia" w:ascii="仿宋_GB2312" w:hAnsi="仿宋"/>
          <w:color w:val="auto"/>
          <w:szCs w:val="32"/>
        </w:rPr>
        <w:t>%。与</w:t>
      </w:r>
      <w:r>
        <w:rPr>
          <w:rFonts w:hint="eastAsia" w:ascii="仿宋_GB2312" w:hAnsi="仿宋"/>
          <w:color w:val="auto"/>
          <w:szCs w:val="32"/>
          <w:lang w:eastAsia="zh-CN"/>
        </w:rPr>
        <w:t>202</w:t>
      </w:r>
      <w:r>
        <w:rPr>
          <w:rFonts w:hint="eastAsia" w:ascii="仿宋_GB2312" w:hAnsi="仿宋"/>
          <w:color w:val="auto"/>
          <w:szCs w:val="32"/>
          <w:lang w:val="en-US" w:eastAsia="zh-CN"/>
        </w:rPr>
        <w:t>1</w:t>
      </w:r>
      <w:r>
        <w:rPr>
          <w:rFonts w:hint="eastAsia" w:ascii="仿宋_GB2312" w:hAnsi="仿宋"/>
          <w:color w:val="auto"/>
          <w:szCs w:val="32"/>
        </w:rPr>
        <w:t>年相比，一般公共预算财政拨款支出减少</w:t>
      </w:r>
      <w:r>
        <w:rPr>
          <w:rFonts w:hint="eastAsia" w:ascii="仿宋_GB2312" w:hAnsi="仿宋"/>
          <w:color w:val="auto"/>
          <w:szCs w:val="32"/>
          <w:lang w:val="en-US" w:eastAsia="zh-CN"/>
        </w:rPr>
        <w:t>37.86</w:t>
      </w:r>
      <w:r>
        <w:rPr>
          <w:rFonts w:hint="eastAsia" w:ascii="仿宋_GB2312" w:hAnsi="仿宋"/>
          <w:color w:val="auto"/>
          <w:szCs w:val="32"/>
        </w:rPr>
        <w:t>万元，下降</w:t>
      </w:r>
      <w:r>
        <w:rPr>
          <w:rFonts w:hint="eastAsia" w:ascii="仿宋_GB2312" w:hAnsi="仿宋"/>
          <w:color w:val="auto"/>
          <w:szCs w:val="32"/>
          <w:lang w:val="en-US" w:eastAsia="zh-CN"/>
        </w:rPr>
        <w:t>9.25</w:t>
      </w:r>
      <w:r>
        <w:rPr>
          <w:rFonts w:hint="eastAsia" w:ascii="仿宋_GB2312" w:hAnsi="仿宋"/>
          <w:color w:val="auto"/>
          <w:szCs w:val="32"/>
        </w:rPr>
        <w:t>%。主要原因是</w:t>
      </w:r>
      <w:r>
        <w:rPr>
          <w:rFonts w:hint="eastAsia" w:ascii="仿宋_GB2312" w:hAnsi="仿宋"/>
          <w:szCs w:val="32"/>
          <w:lang w:val="en-US" w:eastAsia="zh-CN"/>
        </w:rPr>
        <w:t>开展群众文化活动次数减少</w:t>
      </w:r>
      <w:r>
        <w:rPr>
          <w:rFonts w:hint="eastAsia" w:ascii="仿宋_GB2312" w:hAnsi="仿宋"/>
          <w:color w:val="auto"/>
          <w:szCs w:val="32"/>
        </w:rPr>
        <w:t>。</w:t>
      </w:r>
    </w:p>
    <w:p>
      <w:pPr>
        <w:ind w:firstLine="628" w:firstLineChars="200"/>
        <w:rPr>
          <w:rFonts w:hint="eastAsia" w:ascii="仿宋_GB2312" w:hAnsi="仿宋"/>
          <w:b/>
          <w:color w:val="auto"/>
          <w:szCs w:val="32"/>
        </w:rPr>
      </w:pPr>
      <w:r>
        <w:rPr>
          <w:rFonts w:hint="eastAsia" w:ascii="仿宋_GB2312" w:hAnsi="仿宋"/>
          <w:b/>
          <w:color w:val="auto"/>
          <w:szCs w:val="32"/>
        </w:rPr>
        <w:t>（二）一般公共预算财政拨款支出决算结构情况。</w:t>
      </w:r>
    </w:p>
    <w:p>
      <w:pPr>
        <w:ind w:firstLine="628" w:firstLineChars="200"/>
        <w:rPr>
          <w:rFonts w:hint="eastAsia" w:ascii="楷体_GB2312" w:hAnsi="仿宋" w:eastAsia="楷体_GB2312"/>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年度一般公共预算财政拨款支出371.63万元，主要用于以下方面：</w:t>
      </w:r>
      <w:r>
        <w:rPr>
          <w:rFonts w:hint="eastAsia" w:ascii="仿宋_GB2312" w:hAnsi="仿宋"/>
          <w:b/>
          <w:color w:val="auto"/>
          <w:szCs w:val="32"/>
        </w:rPr>
        <w:t>文化</w:t>
      </w:r>
      <w:r>
        <w:rPr>
          <w:rFonts w:hint="eastAsia" w:ascii="仿宋_GB2312" w:hAnsi="仿宋"/>
          <w:b/>
          <w:color w:val="auto"/>
          <w:szCs w:val="32"/>
          <w:lang w:eastAsia="zh-CN"/>
        </w:rPr>
        <w:t>旅游</w:t>
      </w:r>
      <w:r>
        <w:rPr>
          <w:rFonts w:hint="eastAsia" w:ascii="仿宋_GB2312" w:hAnsi="仿宋"/>
          <w:b/>
          <w:color w:val="auto"/>
          <w:szCs w:val="32"/>
        </w:rPr>
        <w:t>体育</w:t>
      </w:r>
      <w:r>
        <w:rPr>
          <w:rFonts w:hint="eastAsia" w:ascii="仿宋_GB2312" w:hAnsi="仿宋"/>
          <w:b/>
          <w:color w:val="auto"/>
          <w:szCs w:val="32"/>
        </w:rPr>
        <w:t>与传媒（类）</w:t>
      </w:r>
      <w:r>
        <w:rPr>
          <w:rFonts w:hint="eastAsia" w:ascii="仿宋_GB2312" w:hAnsi="仿宋"/>
          <w:color w:val="auto"/>
          <w:szCs w:val="32"/>
        </w:rPr>
        <w:t>支出366.15万元，占</w:t>
      </w:r>
      <w:r>
        <w:rPr>
          <w:rFonts w:hint="eastAsia" w:ascii="仿宋_GB2312" w:hAnsi="仿宋"/>
          <w:color w:val="auto"/>
          <w:szCs w:val="32"/>
          <w:lang w:val="en-US" w:eastAsia="zh-CN"/>
        </w:rPr>
        <w:t>98.53</w:t>
      </w:r>
      <w:r>
        <w:rPr>
          <w:rFonts w:hint="eastAsia" w:ascii="仿宋_GB2312" w:hAnsi="仿宋"/>
          <w:color w:val="auto"/>
          <w:szCs w:val="32"/>
        </w:rPr>
        <w:t>%；</w:t>
      </w:r>
      <w:r>
        <w:rPr>
          <w:rFonts w:hint="eastAsia" w:ascii="仿宋_GB2312" w:hAnsi="仿宋"/>
          <w:b/>
          <w:color w:val="auto"/>
          <w:szCs w:val="32"/>
        </w:rPr>
        <w:t>卫生健康（类）</w:t>
      </w:r>
      <w:r>
        <w:rPr>
          <w:rFonts w:hint="eastAsia" w:ascii="仿宋_GB2312" w:hAnsi="仿宋"/>
          <w:color w:val="auto"/>
          <w:szCs w:val="32"/>
        </w:rPr>
        <w:t>支出5.47万元，占</w:t>
      </w:r>
      <w:r>
        <w:rPr>
          <w:rFonts w:hint="eastAsia" w:ascii="仿宋_GB2312" w:hAnsi="仿宋"/>
          <w:color w:val="auto"/>
          <w:szCs w:val="32"/>
          <w:lang w:val="en-US" w:eastAsia="zh-CN"/>
        </w:rPr>
        <w:t>1.47</w:t>
      </w:r>
      <w:r>
        <w:rPr>
          <w:rFonts w:hint="eastAsia" w:ascii="仿宋_GB2312" w:hAnsi="仿宋"/>
          <w:color w:val="auto"/>
          <w:szCs w:val="32"/>
        </w:rPr>
        <w:t>%。</w:t>
      </w:r>
    </w:p>
    <w:p>
      <w:pPr>
        <w:ind w:firstLine="628" w:firstLineChars="200"/>
        <w:rPr>
          <w:rFonts w:hint="eastAsia" w:ascii="仿宋_GB2312" w:hAnsi="仿宋"/>
          <w:b/>
          <w:bCs/>
          <w:color w:val="auto"/>
          <w:szCs w:val="32"/>
        </w:rPr>
      </w:pPr>
      <w:r>
        <w:rPr>
          <w:rFonts w:hint="eastAsia" w:ascii="仿宋_GB2312" w:hAnsi="仿宋"/>
          <w:b/>
          <w:bCs/>
          <w:color w:val="auto"/>
          <w:szCs w:val="32"/>
        </w:rPr>
        <w:t>（三）一般公共预算财政拨款支出决算具体情况。</w:t>
      </w:r>
    </w:p>
    <w:p>
      <w:pPr>
        <w:ind w:firstLine="628"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年度一般公共预算财政拨款支出年初预算为</w:t>
      </w:r>
      <w:r>
        <w:rPr>
          <w:rFonts w:hint="eastAsia" w:ascii="仿宋_GB2312" w:hAnsi="仿宋"/>
          <w:color w:val="auto"/>
          <w:szCs w:val="32"/>
          <w:lang w:val="en-US" w:eastAsia="zh-CN"/>
        </w:rPr>
        <w:t>167.16</w:t>
      </w:r>
      <w:r>
        <w:rPr>
          <w:rFonts w:hint="eastAsia" w:ascii="仿宋_GB2312" w:hAnsi="仿宋"/>
          <w:color w:val="auto"/>
          <w:szCs w:val="32"/>
        </w:rPr>
        <w:t>万元，支出决算为371.63万元，完成年初预算的</w:t>
      </w:r>
      <w:r>
        <w:rPr>
          <w:rFonts w:hint="eastAsia" w:ascii="仿宋_GB2312" w:hAnsi="仿宋"/>
          <w:color w:val="auto"/>
          <w:szCs w:val="32"/>
          <w:lang w:val="en-US" w:eastAsia="zh-CN"/>
        </w:rPr>
        <w:t>222.32</w:t>
      </w:r>
      <w:r>
        <w:rPr>
          <w:rFonts w:hint="eastAsia" w:ascii="仿宋_GB2312" w:hAnsi="仿宋"/>
          <w:color w:val="auto"/>
          <w:szCs w:val="32"/>
        </w:rPr>
        <w:t>%。决算数大于预算数的主要原因是</w:t>
      </w:r>
      <w:r>
        <w:rPr>
          <w:rFonts w:hint="eastAsia" w:ascii="仿宋_GB2312"/>
          <w:lang w:val="en-US" w:eastAsia="zh-CN"/>
        </w:rPr>
        <w:t>中央补助地方公共文化服务体系建设资金</w:t>
      </w:r>
      <w:r>
        <w:rPr>
          <w:rFonts w:hint="eastAsia" w:ascii="仿宋_GB2312" w:hAnsi="仿宋"/>
          <w:szCs w:val="32"/>
          <w:lang w:val="en-US" w:eastAsia="zh-CN"/>
        </w:rPr>
        <w:t>增加</w:t>
      </w:r>
      <w:r>
        <w:rPr>
          <w:rFonts w:hint="eastAsia" w:ascii="仿宋_GB2312" w:hAnsi="仿宋"/>
          <w:color w:val="auto"/>
          <w:szCs w:val="32"/>
        </w:rPr>
        <w:t>。其中:基本支出227.42万元，占</w:t>
      </w:r>
      <w:r>
        <w:rPr>
          <w:rFonts w:hint="eastAsia" w:ascii="仿宋_GB2312" w:hAnsi="仿宋"/>
          <w:color w:val="auto"/>
          <w:szCs w:val="32"/>
          <w:lang w:val="en-US" w:eastAsia="zh-CN"/>
        </w:rPr>
        <w:t>61.20</w:t>
      </w:r>
      <w:r>
        <w:rPr>
          <w:rFonts w:hint="eastAsia" w:ascii="仿宋_GB2312" w:hAnsi="仿宋"/>
          <w:color w:val="auto"/>
          <w:szCs w:val="32"/>
        </w:rPr>
        <w:t>%；项目支出144.2万元，占</w:t>
      </w:r>
      <w:r>
        <w:rPr>
          <w:rFonts w:hint="eastAsia" w:ascii="仿宋_GB2312" w:hAnsi="仿宋"/>
          <w:color w:val="auto"/>
          <w:szCs w:val="32"/>
          <w:lang w:val="en-US" w:eastAsia="zh-CN"/>
        </w:rPr>
        <w:t>38.80</w:t>
      </w:r>
      <w:r>
        <w:rPr>
          <w:rFonts w:hint="eastAsia" w:ascii="仿宋_GB2312" w:hAnsi="仿宋"/>
          <w:color w:val="auto"/>
          <w:szCs w:val="32"/>
        </w:rPr>
        <w:t>%。具体情况如下：</w:t>
      </w:r>
    </w:p>
    <w:p>
      <w:pPr>
        <w:ind w:firstLine="628" w:firstLineChars="200"/>
        <w:rPr>
          <w:rFonts w:hint="eastAsia" w:ascii="仿宋_GB2312" w:hAnsi="仿宋"/>
          <w:color w:val="auto"/>
          <w:szCs w:val="32"/>
        </w:rPr>
      </w:pPr>
      <w:r>
        <w:rPr>
          <w:rFonts w:hint="eastAsia" w:ascii="仿宋_GB2312" w:hAnsi="仿宋"/>
          <w:color w:val="auto"/>
          <w:szCs w:val="32"/>
        </w:rPr>
        <w:t>1.</w:t>
      </w:r>
      <w:r>
        <w:rPr>
          <w:rFonts w:hint="eastAsia" w:ascii="仿宋_GB2312" w:hAnsi="仿宋"/>
          <w:b/>
          <w:color w:val="auto"/>
          <w:szCs w:val="32"/>
        </w:rPr>
        <w:t>文化旅游体育与传媒支出</w:t>
      </w:r>
      <w:r>
        <w:rPr>
          <w:rFonts w:hint="eastAsia" w:ascii="仿宋_GB2312" w:hAnsi="仿宋"/>
          <w:b/>
          <w:color w:val="auto"/>
          <w:szCs w:val="32"/>
        </w:rPr>
        <w:t>（类）</w:t>
      </w:r>
      <w:r>
        <w:rPr>
          <w:rFonts w:hint="eastAsia" w:ascii="仿宋_GB2312" w:hAnsi="仿宋"/>
          <w:b/>
          <w:color w:val="auto"/>
          <w:szCs w:val="32"/>
        </w:rPr>
        <w:t>文化</w:t>
      </w:r>
      <w:r>
        <w:rPr>
          <w:rFonts w:hint="eastAsia" w:ascii="仿宋_GB2312" w:hAnsi="仿宋"/>
          <w:b/>
          <w:color w:val="auto"/>
          <w:szCs w:val="32"/>
          <w:lang w:eastAsia="zh-CN"/>
        </w:rPr>
        <w:t>和旅游</w:t>
      </w:r>
      <w:r>
        <w:rPr>
          <w:rFonts w:hint="eastAsia" w:ascii="仿宋_GB2312" w:hAnsi="仿宋"/>
          <w:b/>
          <w:color w:val="auto"/>
          <w:szCs w:val="32"/>
        </w:rPr>
        <w:t>（款）艺术表演场所（项）</w:t>
      </w:r>
      <w:r>
        <w:rPr>
          <w:rFonts w:hint="eastAsia" w:ascii="仿宋_GB2312" w:hAnsi="仿宋"/>
          <w:color w:val="auto"/>
          <w:szCs w:val="32"/>
        </w:rPr>
        <w:t>。年初预算为</w:t>
      </w:r>
      <w:r>
        <w:rPr>
          <w:rFonts w:hint="eastAsia" w:ascii="仿宋_GB2312" w:hAnsi="仿宋"/>
          <w:color w:val="auto"/>
          <w:szCs w:val="32"/>
          <w:lang w:val="en-US" w:eastAsia="zh-CN"/>
        </w:rPr>
        <w:t>0</w:t>
      </w:r>
      <w:r>
        <w:rPr>
          <w:rFonts w:hint="eastAsia" w:ascii="仿宋_GB2312" w:hAnsi="仿宋"/>
          <w:color w:val="auto"/>
          <w:szCs w:val="32"/>
        </w:rPr>
        <w:t>万元，支出决算为44.93万元，决算数大于预算数的主要原因是</w:t>
      </w:r>
      <w:r>
        <w:rPr>
          <w:rFonts w:hint="eastAsia" w:ascii="仿宋_GB2312"/>
        </w:rPr>
        <w:t>省市县追加，预算未做到单位</w:t>
      </w:r>
      <w:r>
        <w:rPr>
          <w:rFonts w:hint="eastAsia" w:ascii="仿宋_GB2312"/>
          <w:lang w:eastAsia="zh-CN"/>
        </w:rPr>
        <w:t>，</w:t>
      </w:r>
      <w:r>
        <w:rPr>
          <w:rFonts w:hint="eastAsia" w:ascii="仿宋_GB2312"/>
          <w:lang w:val="en-US" w:eastAsia="zh-CN"/>
        </w:rPr>
        <w:t>用于剧场退休人员医疗保险资金</w:t>
      </w:r>
      <w:r>
        <w:rPr>
          <w:rFonts w:hint="eastAsia" w:ascii="仿宋_GB2312" w:hAnsi="仿宋"/>
          <w:color w:val="auto"/>
          <w:szCs w:val="32"/>
        </w:rPr>
        <w:t>。</w:t>
      </w:r>
    </w:p>
    <w:p>
      <w:pPr>
        <w:ind w:firstLine="628" w:firstLineChars="200"/>
        <w:rPr>
          <w:rFonts w:hint="eastAsia" w:ascii="仿宋_GB2312" w:hAnsi="仿宋"/>
          <w:color w:val="auto"/>
          <w:szCs w:val="32"/>
        </w:rPr>
      </w:pPr>
      <w:r>
        <w:rPr>
          <w:rFonts w:hint="eastAsia" w:ascii="仿宋_GB2312" w:hAnsi="仿宋"/>
          <w:color w:val="auto"/>
          <w:szCs w:val="32"/>
        </w:rPr>
        <w:t>2.</w:t>
      </w:r>
      <w:r>
        <w:rPr>
          <w:rFonts w:hint="eastAsia" w:ascii="仿宋_GB2312" w:hAnsi="仿宋"/>
          <w:b/>
          <w:color w:val="auto"/>
          <w:szCs w:val="32"/>
        </w:rPr>
        <w:t>文化旅游体育与传媒支出（类）文化</w:t>
      </w:r>
      <w:r>
        <w:rPr>
          <w:rFonts w:hint="eastAsia" w:ascii="仿宋_GB2312" w:hAnsi="仿宋"/>
          <w:b/>
          <w:color w:val="auto"/>
          <w:szCs w:val="32"/>
          <w:lang w:eastAsia="zh-CN"/>
        </w:rPr>
        <w:t>和旅游</w:t>
      </w:r>
      <w:r>
        <w:rPr>
          <w:rFonts w:hint="eastAsia" w:ascii="仿宋_GB2312" w:hAnsi="仿宋"/>
          <w:b/>
          <w:color w:val="auto"/>
          <w:szCs w:val="32"/>
        </w:rPr>
        <w:t>（款）群众文化（项）</w:t>
      </w:r>
      <w:r>
        <w:rPr>
          <w:rFonts w:hint="eastAsia" w:ascii="仿宋_GB2312" w:hAnsi="仿宋"/>
          <w:color w:val="auto"/>
          <w:szCs w:val="32"/>
        </w:rPr>
        <w:t>。年初预算为</w:t>
      </w:r>
      <w:r>
        <w:rPr>
          <w:rFonts w:hint="eastAsia" w:ascii="仿宋_GB2312" w:hAnsi="仿宋"/>
          <w:color w:val="auto"/>
          <w:szCs w:val="32"/>
          <w:lang w:val="en-US" w:eastAsia="zh-CN"/>
        </w:rPr>
        <w:t>161.69</w:t>
      </w:r>
      <w:r>
        <w:rPr>
          <w:rFonts w:hint="eastAsia" w:ascii="仿宋_GB2312" w:hAnsi="仿宋"/>
          <w:color w:val="auto"/>
          <w:szCs w:val="32"/>
        </w:rPr>
        <w:t>万元，支出决算为292.24万元，完成年初预算的</w:t>
      </w:r>
      <w:r>
        <w:rPr>
          <w:rFonts w:hint="eastAsia" w:ascii="仿宋_GB2312" w:hAnsi="仿宋"/>
          <w:color w:val="auto"/>
          <w:szCs w:val="32"/>
          <w:lang w:val="en-US" w:eastAsia="zh-CN"/>
        </w:rPr>
        <w:t>180.74</w:t>
      </w:r>
      <w:r>
        <w:rPr>
          <w:rFonts w:hint="eastAsia" w:ascii="仿宋_GB2312" w:hAnsi="仿宋"/>
          <w:color w:val="auto"/>
          <w:szCs w:val="32"/>
        </w:rPr>
        <w:t>%，决算数大于预算数的主要原因是</w:t>
      </w:r>
      <w:r>
        <w:rPr>
          <w:rFonts w:hint="eastAsia" w:ascii="仿宋_GB2312" w:hAnsi="仿宋"/>
          <w:szCs w:val="32"/>
          <w:lang w:val="en-US" w:eastAsia="zh-CN"/>
        </w:rPr>
        <w:t>开展群众文化活动次数增多及人员变动</w:t>
      </w:r>
      <w:r>
        <w:rPr>
          <w:rFonts w:hint="eastAsia" w:ascii="仿宋_GB2312" w:hAnsi="仿宋"/>
          <w:color w:val="auto"/>
          <w:szCs w:val="32"/>
        </w:rPr>
        <w:t>。</w:t>
      </w:r>
    </w:p>
    <w:p>
      <w:pPr>
        <w:ind w:firstLine="628" w:firstLineChars="200"/>
        <w:rPr>
          <w:rFonts w:hint="eastAsia" w:ascii="仿宋_GB2312" w:hAnsi="仿宋"/>
          <w:color w:val="auto"/>
          <w:szCs w:val="32"/>
        </w:rPr>
      </w:pPr>
      <w:r>
        <w:rPr>
          <w:rFonts w:hint="eastAsia" w:ascii="仿宋_GB2312" w:hAnsi="仿宋"/>
          <w:color w:val="auto"/>
          <w:szCs w:val="32"/>
        </w:rPr>
        <w:t>3.</w:t>
      </w:r>
      <w:r>
        <w:rPr>
          <w:rFonts w:hint="eastAsia" w:ascii="仿宋_GB2312" w:hAnsi="仿宋"/>
          <w:b/>
          <w:color w:val="auto"/>
          <w:szCs w:val="32"/>
        </w:rPr>
        <w:t>文化旅游体育与传媒支出（类）文化</w:t>
      </w:r>
      <w:r>
        <w:rPr>
          <w:rFonts w:hint="eastAsia" w:ascii="仿宋_GB2312" w:hAnsi="仿宋"/>
          <w:b/>
          <w:color w:val="auto"/>
          <w:szCs w:val="32"/>
          <w:lang w:eastAsia="zh-CN"/>
        </w:rPr>
        <w:t>和旅游</w:t>
      </w:r>
      <w:r>
        <w:rPr>
          <w:rFonts w:hint="eastAsia" w:ascii="仿宋_GB2312" w:hAnsi="仿宋"/>
          <w:b/>
          <w:color w:val="auto"/>
          <w:szCs w:val="32"/>
        </w:rPr>
        <w:t>（款）其他文化和旅游支出（项）</w:t>
      </w:r>
      <w:r>
        <w:rPr>
          <w:rFonts w:hint="eastAsia" w:ascii="仿宋_GB2312" w:hAnsi="仿宋"/>
          <w:b/>
          <w:color w:val="auto"/>
          <w:szCs w:val="32"/>
        </w:rPr>
        <w:t>。</w:t>
      </w:r>
      <w:r>
        <w:rPr>
          <w:rFonts w:hint="eastAsia" w:ascii="仿宋_GB2312" w:hAnsi="仿宋"/>
          <w:color w:val="auto"/>
          <w:szCs w:val="32"/>
        </w:rPr>
        <w:t>年初预算为</w:t>
      </w:r>
      <w:r>
        <w:rPr>
          <w:rFonts w:hint="eastAsia" w:ascii="仿宋_GB2312" w:hAnsi="仿宋"/>
          <w:color w:val="auto"/>
          <w:szCs w:val="32"/>
          <w:lang w:val="en-US" w:eastAsia="zh-CN"/>
        </w:rPr>
        <w:t>0</w:t>
      </w:r>
      <w:r>
        <w:rPr>
          <w:rFonts w:hint="eastAsia" w:ascii="仿宋_GB2312" w:hAnsi="仿宋"/>
          <w:color w:val="auto"/>
          <w:szCs w:val="32"/>
        </w:rPr>
        <w:t>万元，支出决算为28.19万元，决算数大于预算数的主要原因是</w:t>
      </w:r>
      <w:r>
        <w:rPr>
          <w:rFonts w:hint="eastAsia" w:ascii="仿宋_GB2312"/>
        </w:rPr>
        <w:t>省市县追加，预算未做到单位</w:t>
      </w:r>
      <w:r>
        <w:rPr>
          <w:rFonts w:hint="eastAsia" w:ascii="仿宋_GB2312"/>
          <w:lang w:eastAsia="zh-CN"/>
        </w:rPr>
        <w:t>，</w:t>
      </w:r>
      <w:r>
        <w:rPr>
          <w:rFonts w:hint="eastAsia" w:ascii="仿宋_GB2312"/>
          <w:lang w:val="en-US" w:eastAsia="zh-CN"/>
        </w:rPr>
        <w:t>用于中央补助地方公共文化服务体系建设资金</w:t>
      </w:r>
      <w:r>
        <w:rPr>
          <w:rFonts w:hint="eastAsia" w:ascii="仿宋_GB2312" w:hAnsi="仿宋"/>
          <w:color w:val="auto"/>
          <w:szCs w:val="32"/>
        </w:rPr>
        <w:t>。</w:t>
      </w:r>
    </w:p>
    <w:p>
      <w:pPr>
        <w:ind w:firstLine="628" w:firstLineChars="200"/>
        <w:rPr>
          <w:rFonts w:hint="eastAsia" w:ascii="仿宋_GB2312" w:hAnsi="仿宋"/>
          <w:color w:val="auto"/>
          <w:szCs w:val="32"/>
        </w:rPr>
      </w:pPr>
      <w:r>
        <w:rPr>
          <w:rFonts w:hint="eastAsia" w:ascii="仿宋_GB2312" w:hAnsi="仿宋"/>
          <w:color w:val="auto"/>
          <w:szCs w:val="32"/>
        </w:rPr>
        <w:t>4.</w:t>
      </w:r>
      <w:r>
        <w:rPr>
          <w:rFonts w:hint="eastAsia" w:ascii="仿宋_GB2312" w:hAnsi="仿宋"/>
          <w:b/>
          <w:color w:val="auto"/>
          <w:szCs w:val="32"/>
        </w:rPr>
        <w:t>文化旅游体育与传媒支出（类）其他文化旅游体育与传媒支出（款）其他文化旅游体育与传媒支出</w:t>
      </w:r>
      <w:r>
        <w:rPr>
          <w:rFonts w:hint="eastAsia" w:ascii="仿宋_GB2312" w:hAnsi="仿宋"/>
          <w:b/>
          <w:color w:val="auto"/>
          <w:szCs w:val="32"/>
        </w:rPr>
        <w:t>（项）。</w:t>
      </w:r>
      <w:r>
        <w:rPr>
          <w:rFonts w:hint="eastAsia" w:ascii="仿宋_GB2312" w:hAnsi="仿宋"/>
          <w:color w:val="auto"/>
          <w:szCs w:val="32"/>
        </w:rPr>
        <w:t>年初预算为</w:t>
      </w:r>
      <w:r>
        <w:rPr>
          <w:rFonts w:hint="eastAsia" w:ascii="仿宋_GB2312" w:hAnsi="仿宋"/>
          <w:color w:val="auto"/>
          <w:szCs w:val="32"/>
          <w:lang w:val="en-US" w:eastAsia="zh-CN"/>
        </w:rPr>
        <w:t>0</w:t>
      </w:r>
      <w:r>
        <w:rPr>
          <w:rFonts w:hint="eastAsia" w:ascii="仿宋_GB2312" w:hAnsi="仿宋"/>
          <w:color w:val="auto"/>
          <w:szCs w:val="32"/>
        </w:rPr>
        <w:t>万元，支出决算为0.79万元，决算数大于预算数的主要原因是</w:t>
      </w:r>
      <w:r>
        <w:rPr>
          <w:rFonts w:hint="eastAsia" w:ascii="仿宋_GB2312"/>
        </w:rPr>
        <w:t>省市县追加，预算未做到单位</w:t>
      </w:r>
      <w:r>
        <w:rPr>
          <w:rFonts w:hint="eastAsia" w:ascii="仿宋_GB2312"/>
          <w:lang w:eastAsia="zh-CN"/>
        </w:rPr>
        <w:t>，</w:t>
      </w:r>
      <w:r>
        <w:rPr>
          <w:rFonts w:hint="eastAsia" w:ascii="仿宋_GB2312"/>
          <w:lang w:val="en-US" w:eastAsia="zh-CN"/>
        </w:rPr>
        <w:t>用于中央补助地方公共文化服务体系建设资金</w:t>
      </w:r>
      <w:r>
        <w:rPr>
          <w:rFonts w:hint="eastAsia" w:ascii="仿宋_GB2312" w:hAnsi="仿宋"/>
          <w:color w:val="auto"/>
          <w:szCs w:val="32"/>
        </w:rPr>
        <w:t>。</w:t>
      </w:r>
    </w:p>
    <w:p>
      <w:pPr>
        <w:ind w:firstLine="628" w:firstLineChars="200"/>
        <w:rPr>
          <w:rFonts w:hint="eastAsia" w:ascii="楷体_GB2312" w:hAnsi="仿宋" w:eastAsia="楷体_GB2312"/>
          <w:color w:val="auto"/>
          <w:szCs w:val="32"/>
        </w:rPr>
      </w:pPr>
      <w:r>
        <w:rPr>
          <w:rFonts w:hint="eastAsia" w:ascii="仿宋_GB2312" w:hAnsi="仿宋"/>
          <w:color w:val="auto"/>
          <w:szCs w:val="32"/>
        </w:rPr>
        <w:t>5．</w:t>
      </w:r>
      <w:r>
        <w:rPr>
          <w:rFonts w:hint="eastAsia" w:ascii="仿宋_GB2312" w:hAnsi="仿宋"/>
          <w:b/>
          <w:color w:val="auto"/>
          <w:szCs w:val="32"/>
        </w:rPr>
        <w:t>卫生健康支出（类）行政事业单位医疗（款）事业单位医疗（项）。</w:t>
      </w:r>
      <w:r>
        <w:rPr>
          <w:rFonts w:hint="eastAsia" w:ascii="仿宋_GB2312" w:hAnsi="仿宋"/>
          <w:color w:val="auto"/>
          <w:szCs w:val="32"/>
        </w:rPr>
        <w:t>年初预算为</w:t>
      </w:r>
      <w:r>
        <w:rPr>
          <w:rFonts w:hint="eastAsia" w:ascii="仿宋_GB2312" w:hAnsi="仿宋"/>
          <w:color w:val="auto"/>
          <w:szCs w:val="32"/>
          <w:lang w:val="en-US" w:eastAsia="zh-CN"/>
        </w:rPr>
        <w:t>5.47</w:t>
      </w:r>
      <w:r>
        <w:rPr>
          <w:rFonts w:hint="eastAsia" w:ascii="仿宋_GB2312" w:hAnsi="仿宋"/>
          <w:color w:val="auto"/>
          <w:szCs w:val="32"/>
        </w:rPr>
        <w:t>万元，支出决算为</w:t>
      </w:r>
      <w:r>
        <w:rPr>
          <w:rFonts w:hint="eastAsia" w:ascii="仿宋_GB2312" w:hAnsi="仿宋"/>
          <w:color w:val="auto"/>
          <w:szCs w:val="32"/>
          <w:lang w:val="en-US" w:eastAsia="zh-CN"/>
        </w:rPr>
        <w:t>5.47</w:t>
      </w:r>
      <w:r>
        <w:rPr>
          <w:rFonts w:hint="eastAsia" w:ascii="仿宋_GB2312" w:hAnsi="仿宋"/>
          <w:color w:val="auto"/>
          <w:szCs w:val="32"/>
        </w:rPr>
        <w:t>万元，完成年初预算的</w:t>
      </w:r>
      <w:r>
        <w:rPr>
          <w:rFonts w:hint="eastAsia" w:ascii="仿宋_GB2312" w:hAnsi="仿宋"/>
          <w:color w:val="auto"/>
          <w:szCs w:val="32"/>
          <w:lang w:val="en-US" w:eastAsia="zh-CN"/>
        </w:rPr>
        <w:t>100.00</w:t>
      </w:r>
      <w:r>
        <w:rPr>
          <w:rFonts w:hint="eastAsia" w:ascii="仿宋_GB2312" w:hAnsi="仿宋"/>
          <w:color w:val="auto"/>
          <w:szCs w:val="32"/>
        </w:rPr>
        <w:t>%。</w:t>
      </w:r>
    </w:p>
    <w:p>
      <w:pPr>
        <w:ind w:firstLine="628" w:firstLineChars="200"/>
        <w:rPr>
          <w:rFonts w:hint="eastAsia" w:ascii="黑体" w:hAnsi="仿宋" w:eastAsia="黑体"/>
          <w:color w:val="auto"/>
          <w:szCs w:val="32"/>
        </w:rPr>
      </w:pPr>
      <w:r>
        <w:rPr>
          <w:rFonts w:hint="eastAsia" w:ascii="黑体" w:hAnsi="仿宋" w:eastAsia="黑体"/>
          <w:color w:val="auto"/>
          <w:szCs w:val="32"/>
        </w:rPr>
        <w:t>六、一般公共预算财政拨款基本支出决算情况说明</w:t>
      </w:r>
    </w:p>
    <w:p>
      <w:pPr>
        <w:ind w:firstLine="628"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年度财政拨款基本支出</w:t>
      </w:r>
      <w:r>
        <w:rPr>
          <w:rFonts w:hint="eastAsia" w:ascii="仿宋_GB2312" w:hAnsi="仿宋"/>
          <w:color w:val="auto"/>
          <w:szCs w:val="32"/>
          <w:lang w:val="en-US" w:eastAsia="zh-CN"/>
        </w:rPr>
        <w:t>227.42</w:t>
      </w:r>
      <w:r>
        <w:rPr>
          <w:rFonts w:hint="eastAsia" w:ascii="仿宋_GB2312" w:hAnsi="仿宋"/>
          <w:color w:val="auto"/>
          <w:szCs w:val="32"/>
        </w:rPr>
        <w:t>万元，其中：人员经费193.54万元，主要包括:基本工资、津贴补贴、伙食补助费、绩效工资、机关事业单位基本养老保</w:t>
      </w:r>
      <w:r>
        <w:rPr>
          <w:rFonts w:hint="eastAsia" w:ascii="仿宋_GB2312" w:hAnsi="仿宋"/>
          <w:color w:val="auto"/>
          <w:szCs w:val="32"/>
          <w:lang w:eastAsia="zh-CN"/>
        </w:rPr>
        <w:t>险缴费、</w:t>
      </w:r>
      <w:r>
        <w:rPr>
          <w:rFonts w:hint="eastAsia" w:ascii="仿宋_GB2312" w:hAnsi="仿宋"/>
          <w:color w:val="auto"/>
          <w:szCs w:val="32"/>
        </w:rPr>
        <w:t>职工基本医疗保险缴费、其他社会保障缴费、其他工资福利支出、离休费、退休费、生活补助、奖励金；公用经费33.88万元，主要包括：办公费、印刷费、电费、物业管理费、差旅费、维修（护）费、租赁费、会议费、专用材料费、劳务费、工会经费、福利费、公务用车运行维护费、</w:t>
      </w:r>
      <w:r>
        <w:rPr>
          <w:rFonts w:hint="eastAsia" w:ascii="仿宋_GB2312" w:hAnsi="仿宋"/>
          <w:color w:val="auto"/>
          <w:szCs w:val="32"/>
          <w:lang w:eastAsia="zh-CN"/>
        </w:rPr>
        <w:t>其他商品和服务支出</w:t>
      </w:r>
      <w:r>
        <w:rPr>
          <w:rFonts w:hint="eastAsia" w:ascii="仿宋_GB2312" w:hAnsi="仿宋"/>
          <w:color w:val="auto"/>
          <w:szCs w:val="32"/>
        </w:rPr>
        <w:t>等。</w:t>
      </w:r>
    </w:p>
    <w:p>
      <w:pPr>
        <w:ind w:firstLine="628" w:firstLineChars="200"/>
        <w:rPr>
          <w:rFonts w:hint="eastAsia" w:ascii="黑体" w:hAnsi="黑体" w:eastAsia="黑体"/>
          <w:color w:val="auto"/>
          <w:szCs w:val="32"/>
        </w:rPr>
      </w:pPr>
      <w:r>
        <w:rPr>
          <w:rFonts w:hint="eastAsia" w:ascii="黑体" w:hAnsi="仿宋" w:eastAsia="黑体"/>
          <w:color w:val="auto"/>
          <w:szCs w:val="32"/>
        </w:rPr>
        <w:t>七、</w:t>
      </w:r>
      <w:r>
        <w:rPr>
          <w:rFonts w:hint="eastAsia" w:ascii="黑体" w:hAnsi="黑体" w:eastAsia="黑体"/>
          <w:color w:val="auto"/>
          <w:szCs w:val="32"/>
        </w:rPr>
        <w:t>政府性基金</w:t>
      </w:r>
      <w:r>
        <w:rPr>
          <w:rFonts w:hint="eastAsia" w:ascii="黑体" w:hAnsi="黑体" w:eastAsia="黑体"/>
          <w:color w:val="auto"/>
          <w:szCs w:val="32"/>
          <w:lang w:eastAsia="zh-CN"/>
        </w:rPr>
        <w:t>预算</w:t>
      </w:r>
      <w:r>
        <w:rPr>
          <w:rFonts w:hint="eastAsia" w:ascii="黑体" w:hAnsi="黑体" w:eastAsia="黑体"/>
          <w:color w:val="auto"/>
          <w:szCs w:val="32"/>
        </w:rPr>
        <w:t>财政拨款收入支出决算情况说明</w:t>
      </w:r>
    </w:p>
    <w:p>
      <w:pPr>
        <w:ind w:firstLine="628" w:firstLineChars="200"/>
        <w:rPr>
          <w:rFonts w:hint="eastAsia" w:ascii="仿宋_GB2312" w:hAnsi="仿宋" w:eastAsia="仿宋_GB2312"/>
          <w:color w:val="auto"/>
          <w:szCs w:val="32"/>
          <w:lang w:eastAsia="zh-CN"/>
        </w:rPr>
      </w:pPr>
      <w:r>
        <w:rPr>
          <w:rFonts w:hint="eastAsia" w:ascii="仿宋_GB2312" w:hAnsi="仿宋"/>
          <w:color w:val="auto"/>
          <w:szCs w:val="32"/>
          <w:lang w:eastAsia="zh-CN"/>
        </w:rPr>
        <w:t>泗县</w:t>
      </w:r>
      <w:r>
        <w:rPr>
          <w:rFonts w:hint="eastAsia" w:ascii="仿宋_GB2312" w:hAnsi="仿宋"/>
          <w:color w:val="auto"/>
          <w:szCs w:val="32"/>
          <w:lang w:val="en-US" w:eastAsia="zh-CN"/>
        </w:rPr>
        <w:t>文化馆</w:t>
      </w:r>
      <w:r>
        <w:rPr>
          <w:rFonts w:hint="eastAsia" w:ascii="仿宋_GB2312" w:hAnsi="仿宋"/>
          <w:color w:val="auto"/>
          <w:szCs w:val="32"/>
        </w:rPr>
        <w:t>没有政府性基金</w:t>
      </w:r>
      <w:r>
        <w:rPr>
          <w:rFonts w:hint="eastAsia" w:ascii="仿宋_GB2312" w:hAnsi="仿宋"/>
          <w:color w:val="auto"/>
          <w:szCs w:val="32"/>
          <w:lang w:eastAsia="zh-CN"/>
        </w:rPr>
        <w:t>预算</w:t>
      </w:r>
      <w:r>
        <w:rPr>
          <w:rFonts w:hint="eastAsia" w:ascii="仿宋_GB2312" w:hAnsi="仿宋"/>
          <w:color w:val="auto"/>
          <w:szCs w:val="32"/>
        </w:rPr>
        <w:t>收入，也没有使用政府性基金</w:t>
      </w:r>
      <w:r>
        <w:rPr>
          <w:rFonts w:hint="eastAsia" w:ascii="仿宋_GB2312" w:hAnsi="仿宋"/>
          <w:color w:val="auto"/>
          <w:szCs w:val="32"/>
          <w:lang w:eastAsia="zh-CN"/>
        </w:rPr>
        <w:t>预算</w:t>
      </w:r>
      <w:r>
        <w:rPr>
          <w:rFonts w:hint="eastAsia" w:ascii="仿宋_GB2312" w:hAnsi="仿宋"/>
          <w:color w:val="auto"/>
          <w:szCs w:val="32"/>
        </w:rPr>
        <w:t>安排的支出</w:t>
      </w:r>
      <w:r>
        <w:rPr>
          <w:rFonts w:hint="eastAsia" w:ascii="仿宋_GB2312" w:hAnsi="仿宋"/>
          <w:color w:val="auto"/>
          <w:szCs w:val="32"/>
          <w:lang w:eastAsia="zh-CN"/>
        </w:rPr>
        <w:t>。</w:t>
      </w:r>
    </w:p>
    <w:p>
      <w:pPr>
        <w:ind w:firstLine="628" w:firstLineChars="200"/>
        <w:rPr>
          <w:rFonts w:hint="eastAsia" w:ascii="黑体" w:hAnsi="黑体" w:eastAsia="黑体"/>
          <w:color w:val="auto"/>
          <w:szCs w:val="32"/>
        </w:rPr>
      </w:pPr>
      <w:r>
        <w:rPr>
          <w:rFonts w:hint="eastAsia" w:ascii="黑体" w:hAnsi="黑体" w:eastAsia="黑体"/>
          <w:color w:val="auto"/>
          <w:szCs w:val="32"/>
        </w:rPr>
        <w:t>八、国有资本经营预算财政拨款支出情况说明</w:t>
      </w:r>
    </w:p>
    <w:p>
      <w:pPr>
        <w:ind w:firstLine="628" w:firstLineChars="200"/>
        <w:rPr>
          <w:rFonts w:hint="eastAsia" w:ascii="仿宋_GB2312" w:hAnsi="仿宋"/>
          <w:color w:val="auto"/>
          <w:szCs w:val="32"/>
        </w:rPr>
      </w:pPr>
      <w:r>
        <w:rPr>
          <w:rFonts w:hint="eastAsia" w:ascii="仿宋_GB2312" w:hAnsi="仿宋"/>
          <w:color w:val="auto"/>
          <w:szCs w:val="32"/>
          <w:lang w:eastAsia="zh-CN"/>
        </w:rPr>
        <w:t>泗县</w:t>
      </w:r>
      <w:r>
        <w:rPr>
          <w:rFonts w:hint="eastAsia" w:ascii="仿宋_GB2312" w:hAnsi="仿宋"/>
          <w:color w:val="auto"/>
          <w:szCs w:val="32"/>
          <w:lang w:val="en-US" w:eastAsia="zh-CN"/>
        </w:rPr>
        <w:t>文化馆</w:t>
      </w:r>
      <w:r>
        <w:rPr>
          <w:rFonts w:hint="eastAsia" w:ascii="仿宋_GB2312" w:hAnsi="仿宋"/>
          <w:color w:val="auto"/>
          <w:szCs w:val="32"/>
        </w:rPr>
        <w:t>没有使用国有资本经营预算财政拨款安排的支出。</w:t>
      </w:r>
    </w:p>
    <w:p>
      <w:pPr>
        <w:adjustRightInd w:val="0"/>
        <w:snapToGrid w:val="0"/>
        <w:spacing w:line="600" w:lineRule="exact"/>
        <w:ind w:firstLine="628" w:firstLineChars="200"/>
        <w:rPr>
          <w:rFonts w:hint="eastAsia" w:ascii="黑体" w:hAnsi="黑体" w:eastAsia="黑体"/>
          <w:color w:val="auto"/>
          <w:szCs w:val="32"/>
        </w:rPr>
      </w:pPr>
      <w:r>
        <w:rPr>
          <w:rFonts w:hint="eastAsia" w:ascii="黑体" w:hAnsi="黑体" w:eastAsia="黑体"/>
          <w:color w:val="auto"/>
          <w:szCs w:val="32"/>
        </w:rPr>
        <w:t>九、其他重要事项情况说明</w:t>
      </w:r>
    </w:p>
    <w:p>
      <w:pPr>
        <w:adjustRightInd w:val="0"/>
        <w:snapToGrid w:val="0"/>
        <w:spacing w:line="600" w:lineRule="exact"/>
        <w:ind w:firstLine="628" w:firstLineChars="200"/>
        <w:rPr>
          <w:rFonts w:hint="eastAsia" w:ascii="仿宋_GB2312" w:hAnsi="楷体"/>
          <w:b/>
          <w:color w:val="auto"/>
          <w:szCs w:val="32"/>
        </w:rPr>
      </w:pPr>
      <w:r>
        <w:rPr>
          <w:rFonts w:hint="eastAsia" w:ascii="仿宋_GB2312" w:hAnsi="楷体"/>
          <w:b/>
          <w:color w:val="auto"/>
          <w:szCs w:val="32"/>
        </w:rPr>
        <w:t>（一）机关运行经费支出情况。</w:t>
      </w:r>
    </w:p>
    <w:p>
      <w:pPr>
        <w:adjustRightInd w:val="0"/>
        <w:snapToGrid w:val="0"/>
        <w:spacing w:line="600" w:lineRule="exact"/>
        <w:ind w:firstLine="628" w:firstLineChars="200"/>
        <w:rPr>
          <w:rFonts w:hint="eastAsia" w:ascii="仿宋_GB2312" w:hAnsi="仿宋"/>
          <w:color w:val="auto"/>
          <w:szCs w:val="32"/>
        </w:rPr>
      </w:pPr>
      <w:r>
        <w:rPr>
          <w:rFonts w:hint="eastAsia" w:ascii="仿宋_GB2312" w:hAnsi="仿宋" w:cs="Times New Roman"/>
          <w:color w:val="auto"/>
          <w:szCs w:val="32"/>
          <w:lang w:eastAsia="zh-CN"/>
        </w:rPr>
        <w:t>泗县</w:t>
      </w:r>
      <w:r>
        <w:rPr>
          <w:rFonts w:hint="eastAsia" w:ascii="仿宋_GB2312" w:hAnsi="仿宋" w:cs="Times New Roman"/>
          <w:color w:val="auto"/>
          <w:szCs w:val="32"/>
          <w:lang w:val="en-US" w:eastAsia="zh-CN"/>
        </w:rPr>
        <w:t>文化馆</w:t>
      </w:r>
      <w:r>
        <w:rPr>
          <w:rFonts w:hint="eastAsia" w:ascii="仿宋_GB2312" w:hAnsi="仿宋" w:cs="Times New Roman"/>
          <w:color w:val="auto"/>
          <w:szCs w:val="32"/>
          <w:lang w:eastAsia="zh-CN"/>
        </w:rPr>
        <w:t>为事业单位，按照财政部部门决算机关运行经费的口径，本年度机关运行经费为0。</w:t>
      </w:r>
    </w:p>
    <w:p>
      <w:pPr>
        <w:adjustRightInd w:val="0"/>
        <w:snapToGrid w:val="0"/>
        <w:spacing w:line="600" w:lineRule="exact"/>
        <w:ind w:firstLine="628" w:firstLineChars="200"/>
        <w:rPr>
          <w:rFonts w:hint="eastAsia" w:ascii="仿宋_GB2312" w:hAnsi="楷体"/>
          <w:b/>
          <w:color w:val="auto"/>
          <w:szCs w:val="32"/>
        </w:rPr>
      </w:pPr>
      <w:r>
        <w:rPr>
          <w:rFonts w:hint="eastAsia" w:ascii="仿宋_GB2312" w:hAnsi="楷体"/>
          <w:b/>
          <w:color w:val="auto"/>
          <w:szCs w:val="32"/>
        </w:rPr>
        <w:t>（二）政府采购支出情况。</w:t>
      </w:r>
    </w:p>
    <w:p>
      <w:pPr>
        <w:spacing w:beforeLines="0" w:afterLines="0"/>
        <w:jc w:val="left"/>
        <w:rPr>
          <w:rFonts w:hint="eastAsia" w:ascii="仿宋_GB2312" w:hAnsi="仿宋"/>
          <w:color w:val="auto"/>
          <w:szCs w:val="32"/>
        </w:rPr>
      </w:pPr>
      <w:r>
        <w:rPr>
          <w:rFonts w:hint="eastAsia" w:ascii="仿宋_GB2312" w:hAnsi="仿宋"/>
          <w:color w:val="auto"/>
          <w:szCs w:val="32"/>
          <w:lang w:val="en-US" w:eastAsia="zh-CN"/>
        </w:rPr>
        <w:t xml:space="preserve">    </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年度，</w:t>
      </w:r>
      <w:r>
        <w:rPr>
          <w:rFonts w:hint="eastAsia" w:ascii="仿宋_GB2312" w:hAnsi="仿宋"/>
          <w:color w:val="auto"/>
          <w:szCs w:val="32"/>
          <w:lang w:val="en-US" w:eastAsia="zh-CN"/>
        </w:rPr>
        <w:t>泗县</w:t>
      </w:r>
      <w:r>
        <w:rPr>
          <w:rFonts w:hint="eastAsia" w:ascii="仿宋_GB2312" w:hAnsi="仿宋"/>
          <w:color w:val="auto"/>
          <w:szCs w:val="32"/>
          <w:lang w:eastAsia="zh-CN"/>
        </w:rPr>
        <w:t>文化馆</w:t>
      </w:r>
      <w:r>
        <w:rPr>
          <w:rFonts w:hint="eastAsia" w:ascii="仿宋_GB2312" w:hAnsi="仿宋"/>
          <w:color w:val="auto"/>
          <w:szCs w:val="32"/>
        </w:rPr>
        <w:t>政府采购支出总额</w:t>
      </w:r>
      <w:r>
        <w:rPr>
          <w:rFonts w:hint="eastAsia" w:ascii="仿宋_GB2312" w:hAnsi="仿宋"/>
          <w:color w:val="auto"/>
          <w:szCs w:val="32"/>
          <w:lang w:val="en-US" w:eastAsia="zh-CN"/>
        </w:rPr>
        <w:t>1.53</w:t>
      </w:r>
      <w:r>
        <w:rPr>
          <w:rFonts w:hint="eastAsia" w:ascii="仿宋_GB2312" w:hAnsi="仿宋"/>
          <w:color w:val="auto"/>
          <w:szCs w:val="32"/>
        </w:rPr>
        <w:t>万元，其中：政府采购货物支出</w:t>
      </w:r>
      <w:r>
        <w:rPr>
          <w:rFonts w:hint="eastAsia" w:ascii="仿宋_GB2312" w:hAnsi="仿宋"/>
          <w:color w:val="auto"/>
          <w:szCs w:val="32"/>
          <w:lang w:val="en-US" w:eastAsia="zh-CN"/>
        </w:rPr>
        <w:t>1.53</w:t>
      </w:r>
      <w:r>
        <w:rPr>
          <w:rFonts w:hint="eastAsia" w:ascii="仿宋_GB2312" w:hAnsi="仿宋"/>
          <w:color w:val="auto"/>
          <w:szCs w:val="32"/>
        </w:rPr>
        <w:t>万元、政府采购工程支出</w:t>
      </w:r>
      <w:r>
        <w:rPr>
          <w:rFonts w:hint="eastAsia" w:ascii="仿宋_GB2312" w:hAnsi="仿宋"/>
          <w:color w:val="auto"/>
          <w:szCs w:val="32"/>
          <w:lang w:val="en-US" w:eastAsia="zh-CN"/>
        </w:rPr>
        <w:t>0</w:t>
      </w:r>
      <w:r>
        <w:rPr>
          <w:rFonts w:hint="eastAsia" w:ascii="仿宋_GB2312" w:hAnsi="仿宋"/>
          <w:color w:val="auto"/>
          <w:szCs w:val="32"/>
        </w:rPr>
        <w:t>万元、政府采购服务支出</w:t>
      </w:r>
      <w:r>
        <w:rPr>
          <w:rFonts w:hint="eastAsia" w:ascii="仿宋_GB2312" w:hAnsi="仿宋"/>
          <w:color w:val="auto"/>
          <w:szCs w:val="32"/>
          <w:lang w:val="en-US" w:eastAsia="zh-CN"/>
        </w:rPr>
        <w:t>0</w:t>
      </w:r>
      <w:r>
        <w:rPr>
          <w:rFonts w:hint="eastAsia" w:ascii="仿宋_GB2312" w:hAnsi="仿宋"/>
          <w:color w:val="auto"/>
          <w:szCs w:val="32"/>
        </w:rPr>
        <w:t>万元。授予中小企业合同金额</w:t>
      </w:r>
      <w:r>
        <w:rPr>
          <w:rFonts w:hint="eastAsia" w:ascii="仿宋_GB2312" w:hAnsi="仿宋"/>
          <w:color w:val="auto"/>
          <w:szCs w:val="32"/>
          <w:lang w:val="en-US" w:eastAsia="zh-CN"/>
        </w:rPr>
        <w:t>0</w:t>
      </w:r>
      <w:r>
        <w:rPr>
          <w:rFonts w:hint="eastAsia" w:ascii="仿宋_GB2312" w:hAnsi="仿宋"/>
          <w:color w:val="auto"/>
          <w:szCs w:val="32"/>
        </w:rPr>
        <w:t>万元，占政府采购支出总额的</w:t>
      </w:r>
      <w:r>
        <w:rPr>
          <w:rFonts w:hint="eastAsia" w:ascii="仿宋_GB2312" w:hAnsi="仿宋"/>
          <w:color w:val="auto"/>
          <w:szCs w:val="32"/>
          <w:lang w:val="en-US" w:eastAsia="zh-CN"/>
        </w:rPr>
        <w:t>0.00</w:t>
      </w:r>
      <w:r>
        <w:rPr>
          <w:rFonts w:hint="eastAsia" w:ascii="仿宋_GB2312" w:hAnsi="仿宋"/>
          <w:color w:val="auto"/>
          <w:szCs w:val="32"/>
        </w:rPr>
        <w:t>%，其中：</w:t>
      </w:r>
      <w:r>
        <w:rPr>
          <w:rFonts w:hint="eastAsia" w:ascii="仿宋" w:hAnsi="仿宋" w:eastAsia="仿宋"/>
          <w:color w:val="auto"/>
          <w:sz w:val="32"/>
        </w:rPr>
        <w:t>授予小微企业合同金额</w:t>
      </w:r>
      <w:r>
        <w:rPr>
          <w:rFonts w:hint="eastAsia" w:ascii="仿宋" w:hAnsi="仿宋" w:eastAsia="仿宋"/>
          <w:color w:val="auto"/>
          <w:sz w:val="32"/>
          <w:lang w:val="en-US" w:eastAsia="zh-CN"/>
        </w:rPr>
        <w:t>0</w:t>
      </w:r>
      <w:r>
        <w:rPr>
          <w:rFonts w:hint="eastAsia" w:ascii="仿宋" w:hAnsi="仿宋" w:eastAsia="仿宋"/>
          <w:color w:val="auto"/>
          <w:sz w:val="32"/>
        </w:rPr>
        <w:t>万元，</w:t>
      </w:r>
      <w:r>
        <w:rPr>
          <w:rFonts w:hint="eastAsia" w:ascii="仿宋_GB2312" w:hAnsi="仿宋"/>
          <w:color w:val="auto"/>
          <w:szCs w:val="32"/>
        </w:rPr>
        <w:t>占授予中小企业合同金额的</w:t>
      </w:r>
      <w:r>
        <w:rPr>
          <w:rFonts w:hint="eastAsia" w:ascii="仿宋_GB2312" w:hAnsi="仿宋"/>
          <w:color w:val="auto"/>
          <w:szCs w:val="32"/>
          <w:lang w:val="en-US" w:eastAsia="zh-CN"/>
        </w:rPr>
        <w:t>0.00</w:t>
      </w:r>
      <w:r>
        <w:rPr>
          <w:rFonts w:hint="eastAsia" w:ascii="仿宋_GB2312" w:hAnsi="仿宋"/>
          <w:color w:val="auto"/>
          <w:szCs w:val="32"/>
        </w:rPr>
        <w:t>%；货物采购授予中小企业合同金额占货物支出金额的</w:t>
      </w:r>
      <w:r>
        <w:rPr>
          <w:rFonts w:hint="eastAsia" w:ascii="仿宋_GB2312" w:hAnsi="仿宋"/>
          <w:color w:val="auto"/>
          <w:szCs w:val="32"/>
          <w:lang w:val="en-US" w:eastAsia="zh-CN"/>
        </w:rPr>
        <w:t>0.00</w:t>
      </w:r>
      <w:r>
        <w:rPr>
          <w:rFonts w:hint="eastAsia" w:ascii="仿宋_GB2312" w:hAnsi="仿宋"/>
          <w:color w:val="auto"/>
          <w:szCs w:val="32"/>
        </w:rPr>
        <w:t>%，工程采购授予中小企业合同金额占工程支出金额的</w:t>
      </w:r>
      <w:r>
        <w:rPr>
          <w:rFonts w:hint="eastAsia" w:ascii="仿宋_GB2312" w:hAnsi="仿宋"/>
          <w:color w:val="auto"/>
          <w:szCs w:val="32"/>
          <w:lang w:val="en-US" w:eastAsia="zh-CN"/>
        </w:rPr>
        <w:t>0.00</w:t>
      </w:r>
      <w:r>
        <w:rPr>
          <w:rFonts w:hint="eastAsia" w:ascii="仿宋_GB2312" w:hAnsi="仿宋"/>
          <w:color w:val="auto"/>
          <w:szCs w:val="32"/>
        </w:rPr>
        <w:t>%，服务采购授予中小企业合同金额占服务支出金额的</w:t>
      </w:r>
      <w:r>
        <w:rPr>
          <w:rFonts w:hint="eastAsia" w:ascii="仿宋_GB2312" w:hAnsi="仿宋"/>
          <w:color w:val="auto"/>
          <w:szCs w:val="32"/>
          <w:lang w:val="en-US" w:eastAsia="zh-CN"/>
        </w:rPr>
        <w:t>0.00</w:t>
      </w:r>
      <w:r>
        <w:rPr>
          <w:rFonts w:hint="eastAsia" w:ascii="仿宋_GB2312" w:hAnsi="仿宋"/>
          <w:color w:val="auto"/>
          <w:szCs w:val="32"/>
        </w:rPr>
        <w:t>%。</w:t>
      </w:r>
    </w:p>
    <w:p>
      <w:pPr>
        <w:adjustRightInd w:val="0"/>
        <w:snapToGrid w:val="0"/>
        <w:spacing w:line="600" w:lineRule="exact"/>
        <w:ind w:firstLine="628" w:firstLineChars="200"/>
        <w:rPr>
          <w:rFonts w:hint="eastAsia" w:ascii="仿宋_GB2312" w:hAnsi="楷体"/>
          <w:b/>
          <w:color w:val="auto"/>
          <w:szCs w:val="32"/>
        </w:rPr>
      </w:pPr>
      <w:r>
        <w:rPr>
          <w:rFonts w:hint="eastAsia" w:ascii="仿宋_GB2312" w:hAnsi="楷体"/>
          <w:b/>
          <w:color w:val="auto"/>
          <w:szCs w:val="32"/>
        </w:rPr>
        <w:t>（三）国有资产占有使用情况。</w:t>
      </w:r>
    </w:p>
    <w:p>
      <w:pPr>
        <w:adjustRightInd w:val="0"/>
        <w:snapToGrid w:val="0"/>
        <w:spacing w:line="600" w:lineRule="exact"/>
        <w:ind w:firstLine="628" w:firstLineChars="200"/>
        <w:rPr>
          <w:rFonts w:hint="eastAsia" w:ascii="仿宋_GB2312" w:hAnsi="楷体"/>
          <w:b/>
          <w:color w:val="auto"/>
          <w:szCs w:val="32"/>
        </w:rPr>
      </w:pPr>
      <w:r>
        <w:rPr>
          <w:rFonts w:hint="eastAsia" w:ascii="仿宋_GB2312" w:hAnsi="楷体"/>
          <w:color w:val="auto"/>
          <w:szCs w:val="32"/>
        </w:rPr>
        <w:t>截至</w:t>
      </w:r>
      <w:r>
        <w:rPr>
          <w:rFonts w:hint="eastAsia" w:ascii="仿宋_GB2312" w:hAnsi="楷体"/>
          <w:color w:val="auto"/>
          <w:szCs w:val="32"/>
          <w:lang w:eastAsia="zh-CN"/>
        </w:rPr>
        <w:t>202</w:t>
      </w:r>
      <w:r>
        <w:rPr>
          <w:rFonts w:hint="eastAsia" w:ascii="仿宋_GB2312" w:hAnsi="楷体"/>
          <w:color w:val="auto"/>
          <w:szCs w:val="32"/>
          <w:lang w:val="en-US" w:eastAsia="zh-CN"/>
        </w:rPr>
        <w:t>2</w:t>
      </w:r>
      <w:r>
        <w:rPr>
          <w:rFonts w:hint="eastAsia" w:ascii="仿宋_GB2312" w:hAnsi="楷体"/>
          <w:color w:val="auto"/>
          <w:szCs w:val="32"/>
        </w:rPr>
        <w:t>年12月31日，</w:t>
      </w:r>
      <w:r>
        <w:rPr>
          <w:rFonts w:hint="eastAsia" w:ascii="仿宋_GB2312" w:hAnsi="仿宋"/>
          <w:color w:val="auto"/>
          <w:szCs w:val="32"/>
          <w:lang w:val="en-US" w:eastAsia="zh-CN"/>
        </w:rPr>
        <w:t>泗县</w:t>
      </w:r>
      <w:r>
        <w:rPr>
          <w:rFonts w:hint="eastAsia" w:ascii="仿宋_GB2312" w:hAnsi="仿宋"/>
          <w:color w:val="auto"/>
          <w:szCs w:val="32"/>
          <w:lang w:eastAsia="zh-CN"/>
        </w:rPr>
        <w:t>文化馆</w:t>
      </w:r>
      <w:r>
        <w:rPr>
          <w:rFonts w:hint="eastAsia" w:ascii="仿宋_GB2312" w:hAnsi="仿宋"/>
          <w:color w:val="auto"/>
          <w:szCs w:val="32"/>
        </w:rPr>
        <w:t>共有车辆</w:t>
      </w:r>
      <w:r>
        <w:rPr>
          <w:rFonts w:hint="eastAsia" w:ascii="仿宋_GB2312" w:hAnsi="仿宋"/>
          <w:color w:val="auto"/>
          <w:szCs w:val="32"/>
          <w:lang w:val="en-US" w:eastAsia="zh-CN"/>
        </w:rPr>
        <w:t>2</w:t>
      </w:r>
      <w:r>
        <w:rPr>
          <w:rFonts w:hint="eastAsia" w:ascii="仿宋_GB2312" w:hAnsi="仿宋"/>
          <w:color w:val="auto"/>
          <w:szCs w:val="32"/>
        </w:rPr>
        <w:t>辆，其中：其他用车</w:t>
      </w:r>
      <w:r>
        <w:rPr>
          <w:rFonts w:hint="eastAsia" w:ascii="仿宋_GB2312" w:hAnsi="仿宋"/>
          <w:color w:val="auto"/>
          <w:szCs w:val="32"/>
          <w:lang w:val="en-US" w:eastAsia="zh-CN"/>
        </w:rPr>
        <w:t>2</w:t>
      </w:r>
      <w:r>
        <w:rPr>
          <w:rFonts w:hint="eastAsia" w:ascii="仿宋_GB2312" w:hAnsi="仿宋"/>
          <w:color w:val="auto"/>
          <w:szCs w:val="32"/>
        </w:rPr>
        <w:t>辆；单价100万元</w:t>
      </w:r>
      <w:r>
        <w:rPr>
          <w:rFonts w:hint="eastAsia" w:ascii="仿宋_GB2312" w:hAnsi="仿宋"/>
          <w:color w:val="auto"/>
          <w:szCs w:val="32"/>
          <w:lang w:eastAsia="zh-CN"/>
        </w:rPr>
        <w:t>（含）</w:t>
      </w:r>
      <w:r>
        <w:rPr>
          <w:rFonts w:hint="eastAsia" w:ascii="仿宋_GB2312" w:hAnsi="仿宋"/>
          <w:color w:val="auto"/>
          <w:szCs w:val="32"/>
        </w:rPr>
        <w:t>以上设备</w:t>
      </w:r>
      <w:r>
        <w:rPr>
          <w:rFonts w:hint="eastAsia" w:ascii="仿宋_GB2312" w:hAnsi="仿宋"/>
          <w:color w:val="auto"/>
          <w:szCs w:val="32"/>
          <w:lang w:eastAsia="zh-CN"/>
        </w:rPr>
        <w:t>（不含车辆）</w:t>
      </w:r>
      <w:r>
        <w:rPr>
          <w:rFonts w:hint="eastAsia" w:ascii="仿宋_GB2312" w:hAnsi="仿宋"/>
          <w:color w:val="auto"/>
          <w:szCs w:val="32"/>
          <w:lang w:val="en-US" w:eastAsia="zh-CN"/>
        </w:rPr>
        <w:t>0</w:t>
      </w:r>
      <w:r>
        <w:rPr>
          <w:rFonts w:hint="eastAsia" w:ascii="仿宋_GB2312" w:hAnsi="仿宋"/>
          <w:color w:val="auto"/>
          <w:szCs w:val="32"/>
        </w:rPr>
        <w:t>台（套）。</w:t>
      </w:r>
      <w:r>
        <w:rPr>
          <w:rFonts w:ascii="仿宋_GB2312" w:hAnsi="仿宋"/>
          <w:color w:val="auto"/>
          <w:szCs w:val="32"/>
        </w:rPr>
        <w:br w:type="textWrapping"/>
      </w:r>
      <w:r>
        <w:rPr>
          <w:rFonts w:hint="eastAsia" w:ascii="仿宋_GB2312" w:hAnsi="仿宋"/>
          <w:color w:val="auto"/>
          <w:szCs w:val="32"/>
        </w:rPr>
        <w:t xml:space="preserve"> </w:t>
      </w:r>
      <w:r>
        <w:rPr>
          <w:rFonts w:hint="eastAsia" w:ascii="仿宋_GB2312" w:hAnsi="仿宋"/>
          <w:b/>
          <w:bCs/>
          <w:i/>
          <w:iCs/>
          <w:color w:val="auto"/>
          <w:szCs w:val="32"/>
        </w:rPr>
        <w:t xml:space="preserve"> </w:t>
      </w:r>
      <w:r>
        <w:rPr>
          <w:rFonts w:hint="eastAsia" w:ascii="仿宋_GB2312" w:hAnsi="仿宋"/>
          <w:color w:val="auto"/>
          <w:szCs w:val="32"/>
        </w:rPr>
        <w:t xml:space="preserve"> </w:t>
      </w:r>
      <w:r>
        <w:rPr>
          <w:rFonts w:hint="eastAsia" w:ascii="仿宋_GB2312" w:hAnsi="楷体"/>
          <w:b/>
          <w:color w:val="auto"/>
          <w:szCs w:val="32"/>
        </w:rPr>
        <w:t>（四）关于</w:t>
      </w:r>
      <w:r>
        <w:rPr>
          <w:rFonts w:hint="eastAsia" w:ascii="仿宋_GB2312" w:hAnsi="楷体"/>
          <w:b/>
          <w:color w:val="auto"/>
          <w:szCs w:val="32"/>
          <w:lang w:eastAsia="zh-CN"/>
        </w:rPr>
        <w:t>202</w:t>
      </w:r>
      <w:r>
        <w:rPr>
          <w:rFonts w:hint="eastAsia" w:ascii="仿宋_GB2312" w:hAnsi="楷体"/>
          <w:b/>
          <w:color w:val="auto"/>
          <w:szCs w:val="32"/>
          <w:lang w:val="en-US" w:eastAsia="zh-CN"/>
        </w:rPr>
        <w:t>2</w:t>
      </w:r>
      <w:r>
        <w:rPr>
          <w:rFonts w:hint="eastAsia" w:ascii="仿宋_GB2312" w:hAnsi="楷体"/>
          <w:b/>
          <w:color w:val="auto"/>
          <w:szCs w:val="32"/>
        </w:rPr>
        <w:t>年度绩效</w:t>
      </w:r>
      <w:r>
        <w:rPr>
          <w:rFonts w:hint="eastAsia" w:ascii="仿宋_GB2312" w:hAnsi="楷体"/>
          <w:b/>
          <w:color w:val="auto"/>
          <w:szCs w:val="32"/>
          <w:lang w:eastAsia="zh-CN"/>
        </w:rPr>
        <w:t>评价</w:t>
      </w:r>
      <w:r>
        <w:rPr>
          <w:rFonts w:hint="eastAsia" w:ascii="仿宋_GB2312" w:hAnsi="楷体"/>
          <w:b/>
          <w:color w:val="auto"/>
          <w:szCs w:val="32"/>
        </w:rPr>
        <w:t>情况</w:t>
      </w:r>
      <w:r>
        <w:rPr>
          <w:rFonts w:hint="eastAsia" w:ascii="仿宋_GB2312" w:hAnsi="楷体"/>
          <w:b/>
          <w:color w:val="auto"/>
          <w:szCs w:val="32"/>
          <w:lang w:eastAsia="zh-CN"/>
        </w:rPr>
        <w:t>的</w:t>
      </w:r>
      <w:r>
        <w:rPr>
          <w:rFonts w:hint="eastAsia" w:ascii="仿宋_GB2312" w:hAnsi="楷体"/>
          <w:b/>
          <w:color w:val="auto"/>
          <w:szCs w:val="32"/>
        </w:rPr>
        <w:t>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 w:hAnsi="仿宋" w:eastAsia="仿宋" w:cs="仿宋"/>
          <w:bCs/>
          <w:color w:val="auto"/>
          <w:sz w:val="32"/>
          <w:szCs w:val="32"/>
        </w:rPr>
      </w:pPr>
      <w:r>
        <w:rPr>
          <w:rFonts w:hint="eastAsia" w:ascii="楷体" w:hAnsi="楷体" w:eastAsia="楷体" w:cs="楷体"/>
          <w:b/>
          <w:bCs/>
          <w:color w:val="auto"/>
          <w:sz w:val="32"/>
          <w:szCs w:val="32"/>
          <w:lang w:val="en-US" w:eastAsia="zh-CN"/>
        </w:rPr>
        <w:t>（1）绩效评价工作开展情况。</w:t>
      </w:r>
    </w:p>
    <w:p>
      <w:pPr>
        <w:spacing w:line="560" w:lineRule="exact"/>
        <w:ind w:firstLine="588" w:firstLineChars="200"/>
        <w:rPr>
          <w:rFonts w:hint="eastAsia" w:ascii="仿宋_GB2312" w:hAnsi="仿宋_GB2312" w:eastAsia="仿宋_GB2312" w:cs="仿宋_GB2312"/>
          <w:color w:val="auto"/>
          <w:sz w:val="32"/>
          <w:szCs w:val="32"/>
        </w:rPr>
      </w:pPr>
      <w:r>
        <w:rPr>
          <w:rFonts w:hint="eastAsia" w:ascii="仿宋_GB2312" w:hAnsi="仿宋" w:eastAsia="仿宋_GB2312"/>
          <w:sz w:val="30"/>
          <w:szCs w:val="30"/>
        </w:rPr>
        <w:t>我单位没有需要开展绩效评价的项目，故未开展部门评价。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楷体" w:hAnsi="楷体" w:eastAsia="楷体" w:cs="楷体"/>
          <w:bCs/>
          <w:color w:val="auto"/>
          <w:sz w:val="32"/>
          <w:szCs w:val="32"/>
          <w:lang w:eastAsia="zh-CN"/>
        </w:rPr>
      </w:pPr>
      <w:r>
        <w:rPr>
          <w:rFonts w:hint="eastAsia" w:ascii="仿宋_GB2312" w:hAnsi="仿宋_GB2312" w:cs="仿宋_GB2312"/>
          <w:b/>
          <w:bCs/>
          <w:color w:val="auto"/>
          <w:sz w:val="32"/>
          <w:szCs w:val="32"/>
          <w:lang w:eastAsia="zh-CN"/>
        </w:rPr>
        <w:t>（</w:t>
      </w:r>
      <w:r>
        <w:rPr>
          <w:rFonts w:hint="eastAsia" w:ascii="仿宋_GB2312" w:hAnsi="仿宋_GB2312" w:cs="仿宋_GB2312"/>
          <w:b/>
          <w:bCs/>
          <w:color w:val="auto"/>
          <w:sz w:val="32"/>
          <w:szCs w:val="32"/>
          <w:lang w:val="en-US" w:eastAsia="zh-CN"/>
        </w:rPr>
        <w:t>2</w:t>
      </w:r>
      <w:r>
        <w:rPr>
          <w:rFonts w:hint="eastAsia" w:ascii="仿宋_GB2312" w:hAnsi="仿宋_GB2312" w:cs="仿宋_GB2312"/>
          <w:b/>
          <w:bCs/>
          <w:color w:val="auto"/>
          <w:sz w:val="32"/>
          <w:szCs w:val="32"/>
          <w:lang w:eastAsia="zh-CN"/>
        </w:rPr>
        <w:t>）</w:t>
      </w:r>
      <w:r>
        <w:rPr>
          <w:rFonts w:hint="eastAsia" w:ascii="仿宋_GB2312" w:hAnsi="仿宋_GB2312" w:eastAsia="仿宋_GB2312" w:cs="仿宋_GB2312"/>
          <w:b/>
          <w:bCs/>
          <w:color w:val="auto"/>
          <w:sz w:val="32"/>
          <w:szCs w:val="32"/>
          <w:lang w:eastAsia="zh-CN"/>
        </w:rPr>
        <w:t>单位</w:t>
      </w:r>
      <w:r>
        <w:rPr>
          <w:rFonts w:hint="eastAsia" w:ascii="仿宋_GB2312" w:hAnsi="仿宋_GB2312" w:eastAsia="仿宋_GB2312" w:cs="仿宋_GB2312"/>
          <w:b/>
          <w:bCs/>
          <w:color w:val="auto"/>
          <w:sz w:val="32"/>
          <w:szCs w:val="32"/>
        </w:rPr>
        <w:t>决算中项目绩效自评结果。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88"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 w:eastAsia="仿宋_GB2312"/>
          <w:sz w:val="30"/>
          <w:szCs w:val="30"/>
        </w:rPr>
        <w:t>我单位没有需要开展绩效评价的项目，故没有项目绩效自评结果</w:t>
      </w:r>
      <w:r>
        <w:rPr>
          <w:rFonts w:hint="eastAsia" w:ascii="仿宋_GB2312" w:hAnsi="仿宋_GB2312" w:cs="仿宋_GB2312"/>
          <w:color w:val="auto"/>
          <w:sz w:val="32"/>
          <w:szCs w:val="32"/>
          <w:lang w:eastAsia="zh-CN"/>
        </w:rPr>
        <w:t>。</w:t>
      </w:r>
    </w:p>
    <w:p>
      <w:pPr>
        <w:adjustRightInd w:val="0"/>
        <w:snapToGrid w:val="0"/>
        <w:spacing w:line="600" w:lineRule="exact"/>
        <w:ind w:firstLine="628" w:firstLineChars="200"/>
        <w:rPr>
          <w:rFonts w:hint="eastAsia" w:ascii="黑体" w:hAnsi="黑体" w:eastAsia="黑体"/>
          <w:color w:val="auto"/>
          <w:szCs w:val="32"/>
        </w:rPr>
      </w:pPr>
      <w:r>
        <w:rPr>
          <w:rFonts w:hint="eastAsia" w:ascii="黑体" w:hAnsi="黑体" w:eastAsia="黑体"/>
          <w:color w:val="auto"/>
          <w:szCs w:val="32"/>
        </w:rPr>
        <w:t>第四部分 名词解释</w:t>
      </w:r>
    </w:p>
    <w:p>
      <w:pPr>
        <w:adjustRightInd w:val="0"/>
        <w:snapToGrid w:val="0"/>
        <w:spacing w:line="600" w:lineRule="exact"/>
        <w:ind w:firstLine="628" w:firstLineChars="200"/>
        <w:rPr>
          <w:rFonts w:hint="eastAsia" w:ascii="仿宋_GB2312" w:hAnsi="仿宋"/>
          <w:color w:val="auto"/>
          <w:szCs w:val="32"/>
        </w:rPr>
      </w:pPr>
      <w:r>
        <w:rPr>
          <w:rFonts w:hint="eastAsia" w:ascii="仿宋_GB2312" w:hAnsi="仿宋"/>
          <w:b/>
          <w:color w:val="auto"/>
          <w:szCs w:val="32"/>
        </w:rPr>
        <w:t>一、财政拨款收入：</w:t>
      </w:r>
      <w:r>
        <w:rPr>
          <w:rFonts w:hint="eastAsia" w:ascii="仿宋_GB2312" w:hAnsi="仿宋"/>
          <w:color w:val="auto"/>
          <w:szCs w:val="32"/>
        </w:rPr>
        <w:t>指单位从同级财政</w:t>
      </w:r>
      <w:r>
        <w:rPr>
          <w:rFonts w:hint="eastAsia" w:ascii="仿宋_GB2312" w:hAnsi="仿宋"/>
          <w:color w:val="auto"/>
          <w:szCs w:val="32"/>
          <w:lang w:eastAsia="zh-CN"/>
        </w:rPr>
        <w:t>单位</w:t>
      </w:r>
      <w:r>
        <w:rPr>
          <w:rFonts w:hint="eastAsia" w:ascii="仿宋_GB2312" w:hAnsi="仿宋"/>
          <w:color w:val="auto"/>
          <w:szCs w:val="32"/>
        </w:rPr>
        <w:t>取得的财政预算资金。</w:t>
      </w:r>
    </w:p>
    <w:p>
      <w:pPr>
        <w:adjustRightInd w:val="0"/>
        <w:snapToGrid w:val="0"/>
        <w:spacing w:line="600" w:lineRule="exact"/>
        <w:ind w:firstLine="628" w:firstLineChars="200"/>
        <w:rPr>
          <w:rFonts w:hint="eastAsia" w:ascii="仿宋_GB2312" w:hAnsi="仿宋"/>
          <w:color w:val="auto"/>
          <w:szCs w:val="32"/>
        </w:rPr>
      </w:pPr>
      <w:r>
        <w:rPr>
          <w:rFonts w:hint="eastAsia" w:ascii="仿宋_GB2312" w:hAnsi="黑体" w:eastAsia="仿宋_GB2312"/>
          <w:b/>
          <w:bCs/>
          <w:color w:val="auto"/>
          <w:sz w:val="32"/>
          <w:szCs w:val="32"/>
          <w:lang w:eastAsia="zh-CN"/>
        </w:rPr>
        <w:t>二、</w:t>
      </w:r>
      <w:r>
        <w:rPr>
          <w:rFonts w:hint="eastAsia" w:ascii="仿宋_GB2312" w:hAnsi="仿宋"/>
          <w:b/>
          <w:bCs/>
          <w:color w:val="auto"/>
          <w:szCs w:val="32"/>
        </w:rPr>
        <w:t>事业收入：</w:t>
      </w:r>
      <w:r>
        <w:rPr>
          <w:rFonts w:hint="eastAsia" w:ascii="仿宋_GB2312" w:hAnsi="仿宋"/>
          <w:color w:val="auto"/>
          <w:szCs w:val="32"/>
        </w:rPr>
        <w:t>指事业单位开展专业业务活动及辅助活动所取得的收入。</w:t>
      </w:r>
    </w:p>
    <w:p>
      <w:pPr>
        <w:adjustRightInd w:val="0"/>
        <w:snapToGrid w:val="0"/>
        <w:spacing w:line="600" w:lineRule="exact"/>
        <w:ind w:firstLine="628" w:firstLineChars="200"/>
        <w:rPr>
          <w:rFonts w:ascii="仿宋_GB2312" w:hAnsi="黑体"/>
          <w:b/>
          <w:bCs/>
          <w:color w:val="auto"/>
          <w:szCs w:val="32"/>
        </w:rPr>
      </w:pPr>
      <w:r>
        <w:rPr>
          <w:rFonts w:hint="eastAsia" w:ascii="仿宋_GB2312" w:hAnsi="黑体" w:eastAsia="仿宋_GB2312"/>
          <w:b/>
          <w:bCs/>
          <w:color w:val="auto"/>
          <w:sz w:val="32"/>
          <w:szCs w:val="32"/>
          <w:lang w:eastAsia="zh-CN"/>
        </w:rPr>
        <w:t>三、</w:t>
      </w:r>
      <w:r>
        <w:rPr>
          <w:rFonts w:hint="eastAsia" w:ascii="仿宋_GB2312" w:hAnsi="黑体" w:eastAsia="仿宋_GB2312"/>
          <w:b/>
          <w:bCs/>
          <w:color w:val="auto"/>
          <w:sz w:val="32"/>
          <w:szCs w:val="32"/>
        </w:rPr>
        <w:t>上级补助收入：</w:t>
      </w:r>
      <w:r>
        <w:rPr>
          <w:rFonts w:hint="eastAsia" w:ascii="仿宋_GB2312" w:hAnsi="黑体" w:eastAsia="仿宋_GB2312"/>
          <w:bCs/>
          <w:color w:val="auto"/>
          <w:sz w:val="32"/>
          <w:szCs w:val="32"/>
        </w:rPr>
        <w:t>指</w:t>
      </w:r>
      <w:r>
        <w:rPr>
          <w:rFonts w:hint="eastAsia" w:ascii="仿宋_GB2312" w:hAnsi="仿宋" w:eastAsia="仿宋_GB2312" w:cs="Times New Roman"/>
          <w:color w:val="auto"/>
          <w:kern w:val="2"/>
          <w:sz w:val="32"/>
          <w:szCs w:val="32"/>
        </w:rPr>
        <w:t>事业单位从主管</w:t>
      </w:r>
      <w:r>
        <w:rPr>
          <w:rFonts w:hint="eastAsia" w:ascii="仿宋_GB2312" w:hAnsi="仿宋" w:cs="Times New Roman"/>
          <w:color w:val="auto"/>
          <w:kern w:val="2"/>
          <w:sz w:val="32"/>
          <w:szCs w:val="32"/>
          <w:lang w:eastAsia="zh-CN"/>
        </w:rPr>
        <w:t>单位</w:t>
      </w:r>
      <w:r>
        <w:rPr>
          <w:rFonts w:hint="eastAsia" w:ascii="仿宋_GB2312" w:hAnsi="仿宋" w:eastAsia="仿宋_GB2312" w:cs="Times New Roman"/>
          <w:color w:val="auto"/>
          <w:kern w:val="2"/>
          <w:sz w:val="32"/>
          <w:szCs w:val="32"/>
        </w:rPr>
        <w:t>和上级单位取得的非财政补助收入。</w:t>
      </w:r>
    </w:p>
    <w:p>
      <w:pPr>
        <w:pStyle w:val="8"/>
        <w:adjustRightInd w:val="0"/>
        <w:snapToGrid w:val="0"/>
        <w:spacing w:before="0" w:beforeAutospacing="0" w:after="0" w:afterAutospacing="0" w:line="600" w:lineRule="exact"/>
        <w:ind w:firstLine="616"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rPr>
        <w:t>四、附属单位上缴收入：</w:t>
      </w:r>
      <w:r>
        <w:rPr>
          <w:rFonts w:hint="eastAsia" w:ascii="仿宋_GB2312" w:hAnsi="黑体" w:eastAsia="仿宋_GB2312"/>
          <w:bCs/>
          <w:color w:val="auto"/>
          <w:sz w:val="32"/>
          <w:szCs w:val="32"/>
        </w:rPr>
        <w:t>指事业单位附属独立核算单位按照有关规定上缴的收入。</w:t>
      </w:r>
    </w:p>
    <w:p>
      <w:pPr>
        <w:pStyle w:val="8"/>
        <w:adjustRightInd w:val="0"/>
        <w:snapToGrid w:val="0"/>
        <w:spacing w:before="0" w:beforeAutospacing="0" w:after="0" w:afterAutospacing="0" w:line="600" w:lineRule="exact"/>
        <w:ind w:firstLine="616"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rPr>
        <w:t>五、经营收入</w:t>
      </w:r>
      <w:r>
        <w:rPr>
          <w:rFonts w:hint="eastAsia"/>
          <w:b/>
          <w:bCs/>
          <w:color w:val="auto"/>
        </w:rPr>
        <w:t>：</w:t>
      </w:r>
      <w:r>
        <w:rPr>
          <w:rFonts w:hint="eastAsia" w:ascii="仿宋_GB2312" w:hAnsi="黑体" w:eastAsia="仿宋_GB2312"/>
          <w:bCs/>
          <w:color w:val="auto"/>
          <w:sz w:val="32"/>
          <w:szCs w:val="32"/>
        </w:rPr>
        <w:t>指事业单位在专业业务活动及其辅助活动之外开展非独立核算经营活动取得的收入。</w:t>
      </w:r>
    </w:p>
    <w:p>
      <w:pPr>
        <w:adjustRightInd w:val="0"/>
        <w:snapToGrid w:val="0"/>
        <w:spacing w:line="600" w:lineRule="exact"/>
        <w:rPr>
          <w:rFonts w:hint="eastAsia" w:ascii="仿宋_GB2312" w:hAnsi="仿宋"/>
          <w:color w:val="auto"/>
          <w:szCs w:val="32"/>
        </w:rPr>
      </w:pPr>
      <w:r>
        <w:rPr>
          <w:rFonts w:hint="eastAsia" w:ascii="仿宋_GB2312" w:hAnsi="黑体"/>
          <w:b/>
          <w:color w:val="auto"/>
          <w:sz w:val="32"/>
          <w:szCs w:val="32"/>
          <w:lang w:val="en-US" w:eastAsia="zh-CN"/>
        </w:rPr>
        <w:t xml:space="preserve">    </w:t>
      </w:r>
      <w:r>
        <w:rPr>
          <w:rFonts w:hint="eastAsia" w:ascii="仿宋_GB2312" w:hAnsi="黑体" w:eastAsia="仿宋_GB2312"/>
          <w:b/>
          <w:color w:val="auto"/>
          <w:sz w:val="32"/>
          <w:szCs w:val="32"/>
        </w:rPr>
        <w:t>六、</w:t>
      </w:r>
      <w:r>
        <w:rPr>
          <w:rFonts w:hint="eastAsia" w:ascii="仿宋_GB2312" w:hAnsi="黑体" w:eastAsia="仿宋_GB2312"/>
          <w:b/>
          <w:bCs/>
          <w:color w:val="auto"/>
          <w:sz w:val="32"/>
          <w:szCs w:val="32"/>
        </w:rPr>
        <w:t>其他收入：</w:t>
      </w:r>
      <w:r>
        <w:rPr>
          <w:rFonts w:hint="eastAsia" w:ascii="仿宋_GB2312" w:hAnsi="黑体" w:eastAsia="仿宋_GB2312"/>
          <w:bCs/>
          <w:color w:val="auto"/>
          <w:sz w:val="32"/>
          <w:szCs w:val="32"/>
        </w:rPr>
        <w:t>指除财政拨款收入、事业收入、上级补助收入、附属单位上缴收入、经营收入以外的各项收</w:t>
      </w:r>
      <w:r>
        <w:rPr>
          <w:rFonts w:hint="eastAsia" w:ascii="仿宋_GB2312" w:hAnsi="仿宋"/>
          <w:color w:val="auto"/>
          <w:szCs w:val="32"/>
        </w:rPr>
        <w:t>入。</w:t>
      </w:r>
    </w:p>
    <w:p>
      <w:pPr>
        <w:adjustRightInd w:val="0"/>
        <w:snapToGrid w:val="0"/>
        <w:spacing w:line="600" w:lineRule="exact"/>
        <w:rPr>
          <w:rFonts w:hint="eastAsia" w:ascii="仿宋_GB2312" w:hAnsi="黑体" w:eastAsia="仿宋_GB2312"/>
          <w:bCs/>
          <w:color w:val="auto"/>
          <w:sz w:val="32"/>
          <w:szCs w:val="32"/>
          <w:lang w:eastAsia="zh-CN"/>
        </w:rPr>
      </w:pPr>
      <w:r>
        <w:rPr>
          <w:rFonts w:hint="eastAsia" w:ascii="仿宋_GB2312" w:hAnsi="黑体"/>
          <w:b/>
          <w:bCs/>
          <w:color w:val="auto"/>
          <w:sz w:val="32"/>
          <w:szCs w:val="32"/>
          <w:lang w:val="en-US" w:eastAsia="zh-CN"/>
        </w:rPr>
        <w:t xml:space="preserve">    </w:t>
      </w:r>
      <w:r>
        <w:rPr>
          <w:rFonts w:hint="eastAsia" w:ascii="仿宋_GB2312" w:hAnsi="黑体" w:eastAsia="仿宋_GB2312"/>
          <w:b/>
          <w:bCs/>
          <w:color w:val="auto"/>
          <w:sz w:val="32"/>
          <w:szCs w:val="32"/>
          <w:lang w:eastAsia="zh-CN"/>
        </w:rPr>
        <w:t>七</w:t>
      </w:r>
      <w:r>
        <w:rPr>
          <w:rFonts w:hint="eastAsia" w:ascii="仿宋_GB2312" w:hAnsi="仿宋"/>
          <w:color w:val="auto"/>
          <w:szCs w:val="32"/>
          <w:lang w:eastAsia="zh-CN"/>
        </w:rPr>
        <w:t>、</w:t>
      </w:r>
      <w:r>
        <w:rPr>
          <w:rFonts w:hint="eastAsia" w:ascii="仿宋_GB2312" w:hAnsi="黑体" w:eastAsia="仿宋_GB2312"/>
          <w:b/>
          <w:bCs/>
          <w:color w:val="auto"/>
          <w:sz w:val="32"/>
          <w:szCs w:val="32"/>
          <w:lang w:eastAsia="zh-CN"/>
        </w:rPr>
        <w:t>使用非财政拨款结余：</w:t>
      </w:r>
      <w:r>
        <w:rPr>
          <w:rFonts w:hint="eastAsia" w:ascii="仿宋_GB2312" w:hAnsi="黑体" w:eastAsia="仿宋_GB2312"/>
          <w:bCs/>
          <w:color w:val="auto"/>
          <w:sz w:val="32"/>
          <w:szCs w:val="32"/>
          <w:lang w:eastAsia="zh-CN"/>
        </w:rPr>
        <w:t>指事业单位使用以前年度积累的非财政拨款结余弥补当年收支差额的金额。</w:t>
      </w:r>
    </w:p>
    <w:p>
      <w:pPr>
        <w:pStyle w:val="8"/>
        <w:adjustRightInd w:val="0"/>
        <w:snapToGrid w:val="0"/>
        <w:spacing w:before="0" w:beforeAutospacing="0" w:after="0" w:afterAutospacing="0" w:line="600" w:lineRule="exact"/>
        <w:ind w:firstLine="616"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lang w:eastAsia="zh-CN"/>
        </w:rPr>
        <w:t>八</w:t>
      </w:r>
      <w:r>
        <w:rPr>
          <w:rFonts w:hint="eastAsia" w:ascii="仿宋_GB2312" w:hAnsi="黑体" w:eastAsia="仿宋_GB2312"/>
          <w:b/>
          <w:bCs/>
          <w:color w:val="auto"/>
          <w:sz w:val="32"/>
          <w:szCs w:val="32"/>
        </w:rPr>
        <w:t>、年初结转和结余：</w:t>
      </w:r>
      <w:r>
        <w:rPr>
          <w:rFonts w:hint="eastAsia" w:ascii="仿宋_GB2312" w:hAnsi="黑体" w:eastAsia="仿宋_GB2312"/>
          <w:bCs/>
          <w:color w:val="auto"/>
          <w:sz w:val="32"/>
          <w:szCs w:val="32"/>
        </w:rPr>
        <w:t>指以前年度安排、结转到本年仍按原规定用途继续使用的资金。</w:t>
      </w:r>
    </w:p>
    <w:p>
      <w:pPr>
        <w:pStyle w:val="8"/>
        <w:adjustRightInd w:val="0"/>
        <w:snapToGrid w:val="0"/>
        <w:spacing w:before="0" w:beforeAutospacing="0" w:after="0" w:afterAutospacing="0" w:line="600" w:lineRule="exact"/>
        <w:ind w:firstLine="616"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lang w:eastAsia="zh-CN"/>
        </w:rPr>
        <w:t>九</w:t>
      </w:r>
      <w:r>
        <w:rPr>
          <w:rFonts w:hint="eastAsia" w:ascii="仿宋_GB2312" w:hAnsi="黑体" w:eastAsia="仿宋_GB2312"/>
          <w:b/>
          <w:bCs/>
          <w:color w:val="auto"/>
          <w:sz w:val="32"/>
          <w:szCs w:val="32"/>
        </w:rPr>
        <w:t>、结余分配：</w:t>
      </w:r>
      <w:r>
        <w:rPr>
          <w:rFonts w:hint="eastAsia" w:ascii="仿宋_GB2312" w:hAnsi="黑体" w:eastAsia="仿宋_GB2312"/>
          <w:bCs/>
          <w:color w:val="auto"/>
          <w:sz w:val="32"/>
          <w:szCs w:val="32"/>
        </w:rPr>
        <w:t>指事业单位按照会计制度规定缴纳的所得税以及从非财政拨款结余中提取的职工福利基金、事业基金等。</w:t>
      </w:r>
    </w:p>
    <w:p>
      <w:pPr>
        <w:pStyle w:val="8"/>
        <w:adjustRightInd w:val="0"/>
        <w:snapToGrid w:val="0"/>
        <w:spacing w:before="0" w:beforeAutospacing="0" w:after="0" w:afterAutospacing="0" w:line="600" w:lineRule="exact"/>
        <w:ind w:firstLine="616" w:firstLineChars="196"/>
        <w:rPr>
          <w:rFonts w:hint="eastAsia" w:ascii="仿宋_GB2312" w:hAnsi="黑体" w:eastAsia="仿宋_GB2312"/>
          <w:b/>
          <w:color w:val="auto"/>
          <w:sz w:val="32"/>
          <w:szCs w:val="32"/>
        </w:rPr>
      </w:pPr>
      <w:r>
        <w:rPr>
          <w:rFonts w:hint="eastAsia" w:ascii="仿宋_GB2312" w:hAnsi="黑体" w:eastAsia="仿宋_GB2312"/>
          <w:b/>
          <w:bCs/>
          <w:color w:val="auto"/>
          <w:sz w:val="32"/>
          <w:szCs w:val="32"/>
          <w:lang w:eastAsia="zh-CN"/>
        </w:rPr>
        <w:t>十</w:t>
      </w:r>
      <w:r>
        <w:rPr>
          <w:rFonts w:hint="eastAsia" w:ascii="仿宋_GB2312" w:hAnsi="黑体" w:eastAsia="仿宋_GB2312"/>
          <w:b/>
          <w:bCs/>
          <w:color w:val="auto"/>
          <w:sz w:val="32"/>
          <w:szCs w:val="32"/>
        </w:rPr>
        <w:t>、年末结转和结余：</w:t>
      </w:r>
      <w:r>
        <w:rPr>
          <w:rFonts w:hint="eastAsia" w:ascii="仿宋_GB2312" w:hAnsi="黑体" w:eastAsia="仿宋_GB2312"/>
          <w:bCs/>
          <w:color w:val="auto"/>
          <w:sz w:val="32"/>
          <w:szCs w:val="32"/>
        </w:rPr>
        <w:t>指单位本年度或以前年度预算安排、因客观条件发生变化未全部执行或未执行，结转到以后年度继续使用的资金，或项目已经完成等产生的结余资金。</w:t>
      </w:r>
    </w:p>
    <w:p>
      <w:pPr>
        <w:pStyle w:val="8"/>
        <w:adjustRightInd w:val="0"/>
        <w:snapToGrid w:val="0"/>
        <w:spacing w:before="0" w:beforeAutospacing="0" w:after="0" w:afterAutospacing="0" w:line="600" w:lineRule="exact"/>
        <w:ind w:firstLine="616" w:firstLineChars="196"/>
        <w:rPr>
          <w:rFonts w:hint="eastAsia" w:ascii="仿宋_GB2312" w:hAnsi="黑体" w:eastAsia="仿宋_GB2312"/>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一</w:t>
      </w:r>
      <w:r>
        <w:rPr>
          <w:rFonts w:hint="eastAsia" w:ascii="仿宋_GB2312" w:hAnsi="黑体" w:eastAsia="仿宋_GB2312"/>
          <w:b/>
          <w:color w:val="auto"/>
          <w:sz w:val="32"/>
          <w:szCs w:val="32"/>
        </w:rPr>
        <w:t>、基本支出：</w:t>
      </w:r>
      <w:r>
        <w:rPr>
          <w:rFonts w:hint="eastAsia" w:ascii="仿宋_GB2312" w:hAnsi="黑体" w:eastAsia="仿宋_GB2312"/>
          <w:color w:val="auto"/>
          <w:sz w:val="32"/>
          <w:szCs w:val="32"/>
        </w:rPr>
        <w:t>指单位为保障其机构正常运转、完成日常工作任务而发生的人员支出和公用支出。</w:t>
      </w:r>
    </w:p>
    <w:p>
      <w:pPr>
        <w:pStyle w:val="8"/>
        <w:spacing w:before="0" w:beforeAutospacing="0" w:after="0" w:afterAutospacing="0" w:line="600" w:lineRule="exact"/>
        <w:ind w:firstLine="616" w:firstLineChars="196"/>
        <w:jc w:val="both"/>
        <w:rPr>
          <w:rFonts w:hint="eastAsia" w:ascii="仿宋_GB2312" w:hAnsi="黑体" w:eastAsia="仿宋_GB2312"/>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二</w:t>
      </w:r>
      <w:r>
        <w:rPr>
          <w:rFonts w:hint="eastAsia" w:ascii="仿宋_GB2312" w:hAnsi="黑体" w:eastAsia="仿宋_GB2312"/>
          <w:b/>
          <w:color w:val="auto"/>
          <w:sz w:val="32"/>
          <w:szCs w:val="32"/>
        </w:rPr>
        <w:t>、项目支出：</w:t>
      </w:r>
      <w:r>
        <w:rPr>
          <w:rFonts w:hint="eastAsia" w:ascii="仿宋_GB2312" w:hAnsi="黑体" w:eastAsia="仿宋_GB2312"/>
          <w:color w:val="auto"/>
          <w:sz w:val="32"/>
          <w:szCs w:val="32"/>
        </w:rPr>
        <w:t>指单位为完成特定行政任务和事业发展目标在基本支出之外所发生的支出。</w:t>
      </w:r>
      <w:r>
        <w:rPr>
          <w:rFonts w:hint="eastAsia" w:ascii="仿宋_GB2312" w:hAnsi="黑体" w:eastAsia="仿宋_GB2312"/>
          <w:color w:val="auto"/>
          <w:sz w:val="32"/>
          <w:szCs w:val="32"/>
        </w:rPr>
        <w:br w:type="textWrapping"/>
      </w:r>
      <w:r>
        <w:rPr>
          <w:rFonts w:hint="eastAsia" w:ascii="仿宋_GB2312" w:hAnsi="黑体" w:eastAsia="仿宋_GB2312"/>
          <w:color w:val="auto"/>
          <w:sz w:val="32"/>
          <w:szCs w:val="32"/>
        </w:rPr>
        <w:t xml:space="preserve">    </w:t>
      </w: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三</w:t>
      </w:r>
      <w:r>
        <w:rPr>
          <w:rFonts w:hint="eastAsia" w:ascii="仿宋_GB2312" w:hAnsi="黑体" w:eastAsia="仿宋_GB2312"/>
          <w:b/>
          <w:color w:val="auto"/>
          <w:sz w:val="32"/>
          <w:szCs w:val="32"/>
        </w:rPr>
        <w:t>、经营支出：</w:t>
      </w:r>
      <w:r>
        <w:rPr>
          <w:rFonts w:hint="eastAsia" w:ascii="仿宋_GB2312" w:hAnsi="黑体" w:eastAsia="仿宋_GB2312"/>
          <w:color w:val="auto"/>
          <w:sz w:val="32"/>
          <w:szCs w:val="32"/>
        </w:rPr>
        <w:t>指事业单位在专业业务活动及其辅助活动之外开展非独立核算经营活动发生的支出。</w:t>
      </w:r>
    </w:p>
    <w:p>
      <w:pPr>
        <w:pStyle w:val="8"/>
        <w:spacing w:before="0" w:beforeAutospacing="0" w:after="0" w:afterAutospacing="0" w:line="600" w:lineRule="exact"/>
        <w:ind w:firstLine="616" w:firstLineChars="196"/>
        <w:jc w:val="both"/>
        <w:rPr>
          <w:rFonts w:hint="eastAsia" w:ascii="仿宋_GB2312" w:hAnsi="黑体" w:eastAsia="仿宋_GB2312"/>
          <w:b/>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四</w:t>
      </w:r>
      <w:r>
        <w:rPr>
          <w:rFonts w:hint="eastAsia" w:ascii="仿宋_GB2312" w:hAnsi="黑体" w:eastAsia="仿宋_GB2312"/>
          <w:b/>
          <w:color w:val="auto"/>
          <w:sz w:val="32"/>
          <w:szCs w:val="32"/>
        </w:rPr>
        <w:t>、“三公”经费：</w:t>
      </w:r>
      <w:r>
        <w:rPr>
          <w:rFonts w:hint="eastAsia" w:ascii="仿宋_GB2312" w:hAnsi="黑体" w:eastAsia="仿宋_GB2312"/>
          <w:color w:val="auto"/>
          <w:sz w:val="32"/>
          <w:szCs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w:t>
      </w:r>
      <w:r>
        <w:rPr>
          <w:rFonts w:ascii="仿宋_GB2312" w:hAnsi="黑体" w:eastAsia="仿宋_GB2312"/>
          <w:color w:val="auto"/>
          <w:sz w:val="32"/>
          <w:szCs w:val="32"/>
        </w:rPr>
        <w:t>）</w:t>
      </w:r>
      <w:r>
        <w:rPr>
          <w:rFonts w:hint="eastAsia" w:ascii="仿宋_GB2312" w:hAnsi="黑体" w:eastAsia="仿宋_GB2312"/>
          <w:color w:val="auto"/>
          <w:sz w:val="32"/>
          <w:szCs w:val="32"/>
        </w:rPr>
        <w:t>支出。</w:t>
      </w:r>
    </w:p>
    <w:p>
      <w:pPr>
        <w:pStyle w:val="8"/>
        <w:spacing w:before="0" w:beforeAutospacing="0" w:after="0" w:afterAutospacing="0" w:line="600" w:lineRule="exact"/>
        <w:ind w:firstLine="616" w:firstLineChars="196"/>
        <w:jc w:val="both"/>
        <w:rPr>
          <w:rFonts w:hint="eastAsia" w:ascii="仿宋_GB2312" w:hAnsi="黑体" w:eastAsia="仿宋_GB2312"/>
          <w:b/>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五</w:t>
      </w:r>
      <w:r>
        <w:rPr>
          <w:rFonts w:hint="eastAsia" w:ascii="仿宋_GB2312" w:hAnsi="黑体" w:eastAsia="仿宋_GB2312"/>
          <w:b/>
          <w:color w:val="auto"/>
          <w:sz w:val="32"/>
          <w:szCs w:val="32"/>
        </w:rPr>
        <w:t>、机关运行经费</w:t>
      </w:r>
      <w:r>
        <w:rPr>
          <w:rFonts w:hint="eastAsia" w:ascii="仿宋_GB2312" w:hAnsi="黑体" w:eastAsia="仿宋_GB2312"/>
          <w:color w:val="auto"/>
          <w:sz w:val="32"/>
          <w:szCs w:val="32"/>
        </w:rPr>
        <w:t>：</w:t>
      </w:r>
      <w:r>
        <w:rPr>
          <w:rFonts w:hint="eastAsia" w:ascii="仿宋_GB2312" w:eastAsia="仿宋_GB2312"/>
          <w:color w:val="auto"/>
          <w:sz w:val="32"/>
          <w:szCs w:val="32"/>
        </w:rPr>
        <w:t>指为保障行政单位（含参照公务员法管理的事业单位）运行用于购买货物和服务的各项资金</w:t>
      </w:r>
      <w:r>
        <w:rPr>
          <w:rFonts w:hint="eastAsia" w:ascii="仿宋_GB2312" w:hAnsi="Times New Roman" w:eastAsia="仿宋_GB2312"/>
          <w:color w:val="auto"/>
          <w:kern w:val="2"/>
          <w:sz w:val="32"/>
          <w:szCs w:val="32"/>
        </w:rPr>
        <w:t>，包括办公及印刷费、邮电费、差旅费、会议费、福利费、日常维修费、专用材料费及一般设备购置费、办公用房水电费、办公用房取暖费、办公用房物业管理费、公务用车运行维护费以及其他费用。</w:t>
      </w:r>
    </w:p>
    <w:p>
      <w:pPr>
        <w:pStyle w:val="8"/>
        <w:spacing w:before="0" w:beforeAutospacing="0" w:after="0" w:afterAutospacing="0" w:line="600" w:lineRule="exact"/>
        <w:jc w:val="center"/>
        <w:rPr>
          <w:rFonts w:hint="eastAsia" w:ascii="楷体_GB2312" w:hAnsi="Times New Roman" w:eastAsia="楷体_GB2312"/>
          <w:color w:val="auto"/>
          <w:kern w:val="2"/>
          <w:sz w:val="32"/>
          <w:szCs w:val="32"/>
          <w:lang w:eastAsia="zh-CN"/>
        </w:rPr>
      </w:pPr>
    </w:p>
    <w:p>
      <w:pPr>
        <w:adjustRightInd w:val="0"/>
        <w:snapToGrid w:val="0"/>
        <w:spacing w:line="600" w:lineRule="exact"/>
        <w:ind w:firstLine="628" w:firstLineChars="200"/>
        <w:rPr>
          <w:rFonts w:hint="eastAsia" w:ascii="仿宋_GB2312" w:hAnsi="仿宋_GB2312" w:eastAsia="仿宋_GB2312" w:cs="仿宋_GB2312"/>
          <w:bCs/>
          <w:color w:val="auto"/>
          <w:sz w:val="32"/>
          <w:szCs w:val="32"/>
          <w:lang w:eastAsia="zh-CN"/>
        </w:rPr>
      </w:pPr>
      <w:bookmarkStart w:id="0" w:name="_GoBack"/>
      <w:bookmarkEnd w:id="0"/>
    </w:p>
    <w:p>
      <w:pPr>
        <w:adjustRightInd w:val="0"/>
        <w:snapToGrid w:val="0"/>
        <w:spacing w:line="600" w:lineRule="exact"/>
        <w:ind w:firstLine="628" w:firstLineChars="200"/>
        <w:rPr>
          <w:rFonts w:hint="eastAsia" w:ascii="仿宋_GB2312" w:hAnsi="仿宋_GB2312" w:eastAsia="仿宋_GB2312" w:cs="仿宋_GB2312"/>
          <w:bCs/>
          <w:color w:val="auto"/>
          <w:sz w:val="32"/>
          <w:szCs w:val="32"/>
          <w:lang w:val="en-US" w:eastAsia="zh-CN"/>
        </w:rPr>
      </w:pPr>
    </w:p>
    <w:p>
      <w:pPr>
        <w:spacing w:line="560" w:lineRule="exact"/>
        <w:ind w:firstLine="640"/>
        <w:rPr>
          <w:rFonts w:hint="eastAsia" w:ascii="宋体" w:hAnsi="宋体"/>
          <w:b/>
          <w:color w:val="auto"/>
          <w:sz w:val="36"/>
          <w:szCs w:val="36"/>
        </w:rPr>
      </w:pPr>
    </w:p>
    <w:p>
      <w:pPr>
        <w:ind w:left="1667" w:leftChars="250" w:hanging="882" w:hangingChars="249"/>
        <w:jc w:val="center"/>
        <w:rPr>
          <w:rFonts w:hint="eastAsia" w:ascii="宋体" w:hAnsi="宋体"/>
          <w:b/>
          <w:color w:val="auto"/>
          <w:sz w:val="36"/>
          <w:szCs w:val="36"/>
        </w:rPr>
      </w:pPr>
    </w:p>
    <w:p>
      <w:pPr>
        <w:ind w:left="1667" w:leftChars="250" w:hanging="882" w:hangingChars="249"/>
        <w:jc w:val="center"/>
        <w:rPr>
          <w:rFonts w:hint="eastAsia" w:ascii="宋体" w:hAnsi="宋体"/>
          <w:b/>
          <w:color w:val="auto"/>
          <w:sz w:val="36"/>
          <w:szCs w:val="36"/>
        </w:rPr>
      </w:pPr>
    </w:p>
    <w:p>
      <w:pPr>
        <w:pStyle w:val="3"/>
        <w:jc w:val="both"/>
        <w:rPr>
          <w:rFonts w:hint="eastAsia"/>
          <w:color w:val="auto"/>
        </w:rPr>
      </w:pPr>
    </w:p>
    <w:sectPr>
      <w:footerReference r:id="rId3" w:type="default"/>
      <w:footerReference r:id="rId4" w:type="even"/>
      <w:pgSz w:w="11906" w:h="16838"/>
      <w:pgMar w:top="2155" w:right="1531" w:bottom="1588" w:left="1588" w:header="0" w:footer="1588" w:gutter="0"/>
      <w:pgBorders>
        <w:top w:val="none" w:sz="0" w:space="0"/>
        <w:left w:val="none" w:sz="0" w:space="0"/>
        <w:bottom w:val="none" w:sz="0" w:space="0"/>
        <w:right w:val="none" w:sz="0" w:space="0"/>
      </w:pgBorders>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4"/>
        <w:rFonts w:ascii="仿宋_GB2312"/>
        <w:sz w:val="28"/>
      </w:rPr>
    </w:pPr>
    <w:r>
      <w:rPr>
        <w:rStyle w:val="14"/>
        <w:rFonts w:hint="eastAsia" w:ascii="仿宋_GB2312"/>
        <w:sz w:val="28"/>
      </w:rPr>
      <w:t>-</w:t>
    </w:r>
    <w:r>
      <w:rPr>
        <w:rFonts w:hint="eastAsia" w:ascii="仿宋_GB2312"/>
        <w:sz w:val="28"/>
        <w:szCs w:val="28"/>
      </w:rPr>
      <w:fldChar w:fldCharType="begin"/>
    </w:r>
    <w:r>
      <w:rPr>
        <w:rStyle w:val="14"/>
        <w:rFonts w:hint="eastAsia" w:ascii="仿宋_GB2312"/>
        <w:sz w:val="28"/>
        <w:szCs w:val="28"/>
      </w:rPr>
      <w:instrText xml:space="preserve"> PAGE </w:instrText>
    </w:r>
    <w:r>
      <w:rPr>
        <w:rFonts w:hint="eastAsia" w:ascii="仿宋_GB2312"/>
        <w:sz w:val="28"/>
        <w:szCs w:val="28"/>
      </w:rPr>
      <w:fldChar w:fldCharType="separate"/>
    </w:r>
    <w:r>
      <w:rPr>
        <w:rStyle w:val="14"/>
        <w:rFonts w:ascii="仿宋_GB2312"/>
        <w:sz w:val="28"/>
        <w:szCs w:val="28"/>
        <w:lang/>
      </w:rPr>
      <w:t>50</w:t>
    </w:r>
    <w:r>
      <w:rPr>
        <w:rFonts w:hint="eastAsia" w:ascii="仿宋_GB2312"/>
        <w:sz w:val="28"/>
        <w:szCs w:val="28"/>
      </w:rPr>
      <w:fldChar w:fldCharType="end"/>
    </w:r>
    <w:r>
      <w:rPr>
        <w:rStyle w:val="14"/>
        <w:rFonts w:hint="eastAsia" w:ascii="仿宋_GB2312"/>
        <w:sz w:val="28"/>
        <w:szCs w:val="28"/>
      </w:rPr>
      <w:t>-</w:t>
    </w:r>
  </w:p>
  <w:p>
    <w:pPr>
      <w:pStyle w:val="6"/>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4"/>
      </w:rPr>
    </w:pPr>
    <w:r>
      <w:fldChar w:fldCharType="begin"/>
    </w:r>
    <w:r>
      <w:rPr>
        <w:rStyle w:val="14"/>
      </w:rPr>
      <w:instrText xml:space="preserve">PAGE  </w:instrText>
    </w:r>
    <w:r>
      <w:fldChar w:fldCharType="separate"/>
    </w:r>
    <w:r>
      <w:rPr>
        <w:rStyle w:val="14"/>
        <w:lang/>
      </w:rPr>
      <w:t>1</w:t>
    </w:r>
    <w: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313"/>
  <w:drawingGridVerticalSpacing w:val="569"/>
  <w:displayHorizontalDrawingGridEvery w:val="1"/>
  <w:displayVerticalDrawingGridEvery w:val="1"/>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4MWZmOWIzMjNjYThhOWIzNDZhNWI5YzczMjdkZDIifQ=="/>
  </w:docVars>
  <w:rsids>
    <w:rsidRoot w:val="00172A27"/>
    <w:rsid w:val="00007CAB"/>
    <w:rsid w:val="00007F53"/>
    <w:rsid w:val="0001202C"/>
    <w:rsid w:val="000217E6"/>
    <w:rsid w:val="000223C6"/>
    <w:rsid w:val="00024795"/>
    <w:rsid w:val="00024B05"/>
    <w:rsid w:val="00026B4F"/>
    <w:rsid w:val="00033489"/>
    <w:rsid w:val="00035AC6"/>
    <w:rsid w:val="000412BB"/>
    <w:rsid w:val="00046B65"/>
    <w:rsid w:val="00055FBD"/>
    <w:rsid w:val="000618F5"/>
    <w:rsid w:val="00061C67"/>
    <w:rsid w:val="00062D67"/>
    <w:rsid w:val="000646BF"/>
    <w:rsid w:val="00067C61"/>
    <w:rsid w:val="00076DFE"/>
    <w:rsid w:val="00085DE8"/>
    <w:rsid w:val="00091BFC"/>
    <w:rsid w:val="00094E4D"/>
    <w:rsid w:val="000A1494"/>
    <w:rsid w:val="000A5136"/>
    <w:rsid w:val="000A51EF"/>
    <w:rsid w:val="000A7AB6"/>
    <w:rsid w:val="000B4329"/>
    <w:rsid w:val="000B53BD"/>
    <w:rsid w:val="000B5C36"/>
    <w:rsid w:val="000C6876"/>
    <w:rsid w:val="000D066A"/>
    <w:rsid w:val="000D3459"/>
    <w:rsid w:val="000E0598"/>
    <w:rsid w:val="000E0A36"/>
    <w:rsid w:val="000E6047"/>
    <w:rsid w:val="000E6C24"/>
    <w:rsid w:val="000F6748"/>
    <w:rsid w:val="000F787A"/>
    <w:rsid w:val="00105BA4"/>
    <w:rsid w:val="00105EFB"/>
    <w:rsid w:val="00111777"/>
    <w:rsid w:val="00111D90"/>
    <w:rsid w:val="00112AF4"/>
    <w:rsid w:val="001133DC"/>
    <w:rsid w:val="00114EA8"/>
    <w:rsid w:val="00120290"/>
    <w:rsid w:val="001214CF"/>
    <w:rsid w:val="00126ADB"/>
    <w:rsid w:val="00134307"/>
    <w:rsid w:val="00134FC3"/>
    <w:rsid w:val="00136ABF"/>
    <w:rsid w:val="00140D29"/>
    <w:rsid w:val="0014138E"/>
    <w:rsid w:val="0014166B"/>
    <w:rsid w:val="0014773B"/>
    <w:rsid w:val="001514CB"/>
    <w:rsid w:val="00156013"/>
    <w:rsid w:val="00161301"/>
    <w:rsid w:val="00171095"/>
    <w:rsid w:val="00173146"/>
    <w:rsid w:val="0018606D"/>
    <w:rsid w:val="001A3555"/>
    <w:rsid w:val="001A4987"/>
    <w:rsid w:val="001B7894"/>
    <w:rsid w:val="001C0AFA"/>
    <w:rsid w:val="001C4EC9"/>
    <w:rsid w:val="001C5AF2"/>
    <w:rsid w:val="001C74A7"/>
    <w:rsid w:val="001D36A0"/>
    <w:rsid w:val="001D3779"/>
    <w:rsid w:val="001D7DC1"/>
    <w:rsid w:val="001E4EE1"/>
    <w:rsid w:val="001F5D31"/>
    <w:rsid w:val="001F6ACD"/>
    <w:rsid w:val="001F6DDD"/>
    <w:rsid w:val="002028F1"/>
    <w:rsid w:val="002039C8"/>
    <w:rsid w:val="00213D49"/>
    <w:rsid w:val="002215BA"/>
    <w:rsid w:val="0022189D"/>
    <w:rsid w:val="00221929"/>
    <w:rsid w:val="00222101"/>
    <w:rsid w:val="002231DA"/>
    <w:rsid w:val="00223236"/>
    <w:rsid w:val="00234AB7"/>
    <w:rsid w:val="002361DC"/>
    <w:rsid w:val="00236C78"/>
    <w:rsid w:val="002370D4"/>
    <w:rsid w:val="002371EA"/>
    <w:rsid w:val="00242678"/>
    <w:rsid w:val="00242DA4"/>
    <w:rsid w:val="00244066"/>
    <w:rsid w:val="002478A7"/>
    <w:rsid w:val="00247D26"/>
    <w:rsid w:val="00250F29"/>
    <w:rsid w:val="00251545"/>
    <w:rsid w:val="002522F5"/>
    <w:rsid w:val="00260BCD"/>
    <w:rsid w:val="002636D0"/>
    <w:rsid w:val="00263B6F"/>
    <w:rsid w:val="002647AB"/>
    <w:rsid w:val="00266C66"/>
    <w:rsid w:val="00273C29"/>
    <w:rsid w:val="002741C2"/>
    <w:rsid w:val="00276ABD"/>
    <w:rsid w:val="00292278"/>
    <w:rsid w:val="002A4352"/>
    <w:rsid w:val="002A66C3"/>
    <w:rsid w:val="002A7568"/>
    <w:rsid w:val="002A7702"/>
    <w:rsid w:val="002B2B12"/>
    <w:rsid w:val="002B4B26"/>
    <w:rsid w:val="002B5CF7"/>
    <w:rsid w:val="002B5E93"/>
    <w:rsid w:val="002C0059"/>
    <w:rsid w:val="002C1E06"/>
    <w:rsid w:val="002C3E5F"/>
    <w:rsid w:val="002C54B1"/>
    <w:rsid w:val="002C59FB"/>
    <w:rsid w:val="002C7C11"/>
    <w:rsid w:val="002D12CA"/>
    <w:rsid w:val="002D33C1"/>
    <w:rsid w:val="002E2D02"/>
    <w:rsid w:val="002E468E"/>
    <w:rsid w:val="002F220B"/>
    <w:rsid w:val="002F49D3"/>
    <w:rsid w:val="002F6D0F"/>
    <w:rsid w:val="00301D9F"/>
    <w:rsid w:val="00302FD4"/>
    <w:rsid w:val="003033F7"/>
    <w:rsid w:val="003041BD"/>
    <w:rsid w:val="00310B3E"/>
    <w:rsid w:val="003111C7"/>
    <w:rsid w:val="003151F1"/>
    <w:rsid w:val="00315336"/>
    <w:rsid w:val="00321DF9"/>
    <w:rsid w:val="00321FD3"/>
    <w:rsid w:val="0033036C"/>
    <w:rsid w:val="00337480"/>
    <w:rsid w:val="00341E06"/>
    <w:rsid w:val="00343A85"/>
    <w:rsid w:val="00343B78"/>
    <w:rsid w:val="00347220"/>
    <w:rsid w:val="00352854"/>
    <w:rsid w:val="00354EE1"/>
    <w:rsid w:val="00355121"/>
    <w:rsid w:val="00356313"/>
    <w:rsid w:val="00356881"/>
    <w:rsid w:val="00361010"/>
    <w:rsid w:val="0036457F"/>
    <w:rsid w:val="00364CEB"/>
    <w:rsid w:val="003700A1"/>
    <w:rsid w:val="00381D7D"/>
    <w:rsid w:val="00382B7C"/>
    <w:rsid w:val="00384352"/>
    <w:rsid w:val="00390275"/>
    <w:rsid w:val="00392922"/>
    <w:rsid w:val="0039439B"/>
    <w:rsid w:val="003968F7"/>
    <w:rsid w:val="003A1AC7"/>
    <w:rsid w:val="003B746B"/>
    <w:rsid w:val="003C1BA2"/>
    <w:rsid w:val="003C1DAF"/>
    <w:rsid w:val="003D505D"/>
    <w:rsid w:val="003D6DA5"/>
    <w:rsid w:val="003E1A6C"/>
    <w:rsid w:val="003E1F6A"/>
    <w:rsid w:val="003E6A48"/>
    <w:rsid w:val="003F0FB5"/>
    <w:rsid w:val="003F6681"/>
    <w:rsid w:val="004011E8"/>
    <w:rsid w:val="00406E83"/>
    <w:rsid w:val="004118F8"/>
    <w:rsid w:val="00415DC3"/>
    <w:rsid w:val="0041748D"/>
    <w:rsid w:val="00420F3B"/>
    <w:rsid w:val="004248D2"/>
    <w:rsid w:val="004275D6"/>
    <w:rsid w:val="0043062C"/>
    <w:rsid w:val="00434763"/>
    <w:rsid w:val="00435ACD"/>
    <w:rsid w:val="00435C45"/>
    <w:rsid w:val="00451991"/>
    <w:rsid w:val="00456CB7"/>
    <w:rsid w:val="004679E9"/>
    <w:rsid w:val="00470E42"/>
    <w:rsid w:val="00471239"/>
    <w:rsid w:val="00472658"/>
    <w:rsid w:val="00473ABC"/>
    <w:rsid w:val="00480204"/>
    <w:rsid w:val="00487316"/>
    <w:rsid w:val="00487F6C"/>
    <w:rsid w:val="004940DE"/>
    <w:rsid w:val="004947E3"/>
    <w:rsid w:val="004A3D4D"/>
    <w:rsid w:val="004B3598"/>
    <w:rsid w:val="004B7422"/>
    <w:rsid w:val="004C28F9"/>
    <w:rsid w:val="004C5C25"/>
    <w:rsid w:val="004C640E"/>
    <w:rsid w:val="004D0A64"/>
    <w:rsid w:val="004D2875"/>
    <w:rsid w:val="004D354A"/>
    <w:rsid w:val="004D7A7A"/>
    <w:rsid w:val="004E5096"/>
    <w:rsid w:val="004E7B45"/>
    <w:rsid w:val="004F5DC7"/>
    <w:rsid w:val="00500806"/>
    <w:rsid w:val="00501AB0"/>
    <w:rsid w:val="00502CDE"/>
    <w:rsid w:val="005032C3"/>
    <w:rsid w:val="005100F0"/>
    <w:rsid w:val="00512596"/>
    <w:rsid w:val="005132AA"/>
    <w:rsid w:val="005140A0"/>
    <w:rsid w:val="00521E9E"/>
    <w:rsid w:val="00526F80"/>
    <w:rsid w:val="00527719"/>
    <w:rsid w:val="00527FB1"/>
    <w:rsid w:val="005309B7"/>
    <w:rsid w:val="005363F6"/>
    <w:rsid w:val="0053674F"/>
    <w:rsid w:val="0054357A"/>
    <w:rsid w:val="00547A3E"/>
    <w:rsid w:val="005557A1"/>
    <w:rsid w:val="00556DA0"/>
    <w:rsid w:val="00560D45"/>
    <w:rsid w:val="0056550E"/>
    <w:rsid w:val="0057054B"/>
    <w:rsid w:val="00570584"/>
    <w:rsid w:val="0057538F"/>
    <w:rsid w:val="00576F6C"/>
    <w:rsid w:val="005817CE"/>
    <w:rsid w:val="00590364"/>
    <w:rsid w:val="005906E5"/>
    <w:rsid w:val="005917C6"/>
    <w:rsid w:val="00591CA2"/>
    <w:rsid w:val="00592AD9"/>
    <w:rsid w:val="005A4CEE"/>
    <w:rsid w:val="005A61E1"/>
    <w:rsid w:val="005A6F99"/>
    <w:rsid w:val="005B073C"/>
    <w:rsid w:val="005B4491"/>
    <w:rsid w:val="005B7312"/>
    <w:rsid w:val="005C0655"/>
    <w:rsid w:val="005C7003"/>
    <w:rsid w:val="005D137A"/>
    <w:rsid w:val="005D4DA5"/>
    <w:rsid w:val="005D7391"/>
    <w:rsid w:val="005E3D16"/>
    <w:rsid w:val="005E3D67"/>
    <w:rsid w:val="005F21C2"/>
    <w:rsid w:val="005F45F5"/>
    <w:rsid w:val="005F4CB1"/>
    <w:rsid w:val="00600FB6"/>
    <w:rsid w:val="00601BD3"/>
    <w:rsid w:val="00602648"/>
    <w:rsid w:val="006060D7"/>
    <w:rsid w:val="006129D0"/>
    <w:rsid w:val="00614054"/>
    <w:rsid w:val="0061485A"/>
    <w:rsid w:val="006176B7"/>
    <w:rsid w:val="006256B0"/>
    <w:rsid w:val="00625FF5"/>
    <w:rsid w:val="0062770E"/>
    <w:rsid w:val="006311F8"/>
    <w:rsid w:val="00641450"/>
    <w:rsid w:val="0064256A"/>
    <w:rsid w:val="006454C1"/>
    <w:rsid w:val="00645DD0"/>
    <w:rsid w:val="006629B7"/>
    <w:rsid w:val="006645A4"/>
    <w:rsid w:val="0067018D"/>
    <w:rsid w:val="00672E53"/>
    <w:rsid w:val="00691B32"/>
    <w:rsid w:val="006930BA"/>
    <w:rsid w:val="00693354"/>
    <w:rsid w:val="006A65BB"/>
    <w:rsid w:val="006C1837"/>
    <w:rsid w:val="006C5A1E"/>
    <w:rsid w:val="006C7AD8"/>
    <w:rsid w:val="006D7347"/>
    <w:rsid w:val="006E5645"/>
    <w:rsid w:val="006F074D"/>
    <w:rsid w:val="006F1614"/>
    <w:rsid w:val="006F381B"/>
    <w:rsid w:val="006F4BF2"/>
    <w:rsid w:val="006F5B5C"/>
    <w:rsid w:val="007021E1"/>
    <w:rsid w:val="0070718B"/>
    <w:rsid w:val="00711FA0"/>
    <w:rsid w:val="007172EB"/>
    <w:rsid w:val="007211B0"/>
    <w:rsid w:val="007270DB"/>
    <w:rsid w:val="0073091F"/>
    <w:rsid w:val="00731666"/>
    <w:rsid w:val="00736B19"/>
    <w:rsid w:val="00741930"/>
    <w:rsid w:val="00741BAB"/>
    <w:rsid w:val="0074779F"/>
    <w:rsid w:val="00747E33"/>
    <w:rsid w:val="00747E76"/>
    <w:rsid w:val="00753AC3"/>
    <w:rsid w:val="007554F7"/>
    <w:rsid w:val="00760F11"/>
    <w:rsid w:val="007669BA"/>
    <w:rsid w:val="0077243A"/>
    <w:rsid w:val="00775C05"/>
    <w:rsid w:val="00776A37"/>
    <w:rsid w:val="00777E68"/>
    <w:rsid w:val="0078442E"/>
    <w:rsid w:val="00786257"/>
    <w:rsid w:val="00787780"/>
    <w:rsid w:val="00797048"/>
    <w:rsid w:val="00797AF5"/>
    <w:rsid w:val="007A1865"/>
    <w:rsid w:val="007A2997"/>
    <w:rsid w:val="007A34D0"/>
    <w:rsid w:val="007A3F30"/>
    <w:rsid w:val="007B2C83"/>
    <w:rsid w:val="007B4650"/>
    <w:rsid w:val="007C5CE7"/>
    <w:rsid w:val="007C5DE9"/>
    <w:rsid w:val="007C63F0"/>
    <w:rsid w:val="007D02C3"/>
    <w:rsid w:val="007F144E"/>
    <w:rsid w:val="007F1E7D"/>
    <w:rsid w:val="007F3A23"/>
    <w:rsid w:val="007F667C"/>
    <w:rsid w:val="008076E2"/>
    <w:rsid w:val="00810659"/>
    <w:rsid w:val="00811B92"/>
    <w:rsid w:val="00816244"/>
    <w:rsid w:val="0081786D"/>
    <w:rsid w:val="00820F0B"/>
    <w:rsid w:val="00831936"/>
    <w:rsid w:val="008338D0"/>
    <w:rsid w:val="00834BDD"/>
    <w:rsid w:val="00836B82"/>
    <w:rsid w:val="0083728B"/>
    <w:rsid w:val="00843AF7"/>
    <w:rsid w:val="00844B1D"/>
    <w:rsid w:val="00844DA4"/>
    <w:rsid w:val="00845AFB"/>
    <w:rsid w:val="00846E9D"/>
    <w:rsid w:val="00854155"/>
    <w:rsid w:val="00857A86"/>
    <w:rsid w:val="00860EE8"/>
    <w:rsid w:val="00862BDF"/>
    <w:rsid w:val="00864E5F"/>
    <w:rsid w:val="00866E18"/>
    <w:rsid w:val="008702BF"/>
    <w:rsid w:val="00872013"/>
    <w:rsid w:val="00872770"/>
    <w:rsid w:val="00874FF5"/>
    <w:rsid w:val="0088664E"/>
    <w:rsid w:val="00887266"/>
    <w:rsid w:val="00894016"/>
    <w:rsid w:val="008A20F0"/>
    <w:rsid w:val="008A2A87"/>
    <w:rsid w:val="008A7EA8"/>
    <w:rsid w:val="008B0F90"/>
    <w:rsid w:val="008B1DB6"/>
    <w:rsid w:val="008B2184"/>
    <w:rsid w:val="008B2795"/>
    <w:rsid w:val="008B3C62"/>
    <w:rsid w:val="008B686E"/>
    <w:rsid w:val="008D0195"/>
    <w:rsid w:val="008D25FD"/>
    <w:rsid w:val="008D5067"/>
    <w:rsid w:val="008E3755"/>
    <w:rsid w:val="008F74E4"/>
    <w:rsid w:val="00901A3B"/>
    <w:rsid w:val="009038F2"/>
    <w:rsid w:val="00907509"/>
    <w:rsid w:val="0091224B"/>
    <w:rsid w:val="00912781"/>
    <w:rsid w:val="00916E37"/>
    <w:rsid w:val="0092215B"/>
    <w:rsid w:val="009315EA"/>
    <w:rsid w:val="00933F38"/>
    <w:rsid w:val="00934597"/>
    <w:rsid w:val="00943DD8"/>
    <w:rsid w:val="009470B2"/>
    <w:rsid w:val="0095084D"/>
    <w:rsid w:val="00953828"/>
    <w:rsid w:val="009556B1"/>
    <w:rsid w:val="00961396"/>
    <w:rsid w:val="009642BA"/>
    <w:rsid w:val="00964ABD"/>
    <w:rsid w:val="009702FD"/>
    <w:rsid w:val="00974FEC"/>
    <w:rsid w:val="009757C4"/>
    <w:rsid w:val="00982D89"/>
    <w:rsid w:val="00983299"/>
    <w:rsid w:val="009934BE"/>
    <w:rsid w:val="00994607"/>
    <w:rsid w:val="009A204F"/>
    <w:rsid w:val="009A5DBE"/>
    <w:rsid w:val="009A6713"/>
    <w:rsid w:val="009B2D42"/>
    <w:rsid w:val="009C0491"/>
    <w:rsid w:val="009C0DAF"/>
    <w:rsid w:val="009C2717"/>
    <w:rsid w:val="009C74FF"/>
    <w:rsid w:val="009D0223"/>
    <w:rsid w:val="009D2BE8"/>
    <w:rsid w:val="009D5445"/>
    <w:rsid w:val="009D59FD"/>
    <w:rsid w:val="009E0B35"/>
    <w:rsid w:val="009E25AF"/>
    <w:rsid w:val="009E3FC2"/>
    <w:rsid w:val="009F08A3"/>
    <w:rsid w:val="009F6F2B"/>
    <w:rsid w:val="00A00858"/>
    <w:rsid w:val="00A02DE3"/>
    <w:rsid w:val="00A03702"/>
    <w:rsid w:val="00A05D2F"/>
    <w:rsid w:val="00A124D9"/>
    <w:rsid w:val="00A13765"/>
    <w:rsid w:val="00A16C0B"/>
    <w:rsid w:val="00A16C31"/>
    <w:rsid w:val="00A17D46"/>
    <w:rsid w:val="00A20417"/>
    <w:rsid w:val="00A21D92"/>
    <w:rsid w:val="00A23227"/>
    <w:rsid w:val="00A239D2"/>
    <w:rsid w:val="00A277EB"/>
    <w:rsid w:val="00A31050"/>
    <w:rsid w:val="00A326EC"/>
    <w:rsid w:val="00A34AB2"/>
    <w:rsid w:val="00A41E3D"/>
    <w:rsid w:val="00A508F3"/>
    <w:rsid w:val="00A54466"/>
    <w:rsid w:val="00A61016"/>
    <w:rsid w:val="00A66DF5"/>
    <w:rsid w:val="00A677CC"/>
    <w:rsid w:val="00A71B59"/>
    <w:rsid w:val="00A73AC3"/>
    <w:rsid w:val="00A76D03"/>
    <w:rsid w:val="00A825D1"/>
    <w:rsid w:val="00A85EA6"/>
    <w:rsid w:val="00A86564"/>
    <w:rsid w:val="00A8768C"/>
    <w:rsid w:val="00A9074F"/>
    <w:rsid w:val="00A93304"/>
    <w:rsid w:val="00A93C3F"/>
    <w:rsid w:val="00A978ED"/>
    <w:rsid w:val="00AA478D"/>
    <w:rsid w:val="00AA65BB"/>
    <w:rsid w:val="00AB1271"/>
    <w:rsid w:val="00AB2C05"/>
    <w:rsid w:val="00AB79DF"/>
    <w:rsid w:val="00AC2024"/>
    <w:rsid w:val="00AC2ABC"/>
    <w:rsid w:val="00AC2E25"/>
    <w:rsid w:val="00AC43D3"/>
    <w:rsid w:val="00AC7D9C"/>
    <w:rsid w:val="00AD4CA4"/>
    <w:rsid w:val="00AD57BB"/>
    <w:rsid w:val="00AE39C4"/>
    <w:rsid w:val="00AF6122"/>
    <w:rsid w:val="00B061F5"/>
    <w:rsid w:val="00B07BDC"/>
    <w:rsid w:val="00B10434"/>
    <w:rsid w:val="00B14E40"/>
    <w:rsid w:val="00B203FD"/>
    <w:rsid w:val="00B21512"/>
    <w:rsid w:val="00B22236"/>
    <w:rsid w:val="00B226BE"/>
    <w:rsid w:val="00B26488"/>
    <w:rsid w:val="00B27209"/>
    <w:rsid w:val="00B30E7F"/>
    <w:rsid w:val="00B3615E"/>
    <w:rsid w:val="00B40DEE"/>
    <w:rsid w:val="00B45BF9"/>
    <w:rsid w:val="00B45FF5"/>
    <w:rsid w:val="00B4688C"/>
    <w:rsid w:val="00B479B2"/>
    <w:rsid w:val="00B533D5"/>
    <w:rsid w:val="00B55771"/>
    <w:rsid w:val="00B67DAB"/>
    <w:rsid w:val="00B73557"/>
    <w:rsid w:val="00B75F99"/>
    <w:rsid w:val="00B77B0D"/>
    <w:rsid w:val="00B8032E"/>
    <w:rsid w:val="00B81279"/>
    <w:rsid w:val="00B85C02"/>
    <w:rsid w:val="00B95DBD"/>
    <w:rsid w:val="00BA0B79"/>
    <w:rsid w:val="00BA0E08"/>
    <w:rsid w:val="00BA2CC6"/>
    <w:rsid w:val="00BA41E8"/>
    <w:rsid w:val="00BA58C3"/>
    <w:rsid w:val="00BB0EF3"/>
    <w:rsid w:val="00BB2FE4"/>
    <w:rsid w:val="00BC6F43"/>
    <w:rsid w:val="00BD4C9C"/>
    <w:rsid w:val="00BD4EF8"/>
    <w:rsid w:val="00BD6D69"/>
    <w:rsid w:val="00BE16EC"/>
    <w:rsid w:val="00BE2BD6"/>
    <w:rsid w:val="00BE4188"/>
    <w:rsid w:val="00BE6E01"/>
    <w:rsid w:val="00BF057F"/>
    <w:rsid w:val="00BF58FE"/>
    <w:rsid w:val="00BF7747"/>
    <w:rsid w:val="00C01E3C"/>
    <w:rsid w:val="00C05039"/>
    <w:rsid w:val="00C06BFF"/>
    <w:rsid w:val="00C0717F"/>
    <w:rsid w:val="00C2059A"/>
    <w:rsid w:val="00C2277B"/>
    <w:rsid w:val="00C2312B"/>
    <w:rsid w:val="00C24394"/>
    <w:rsid w:val="00C251ED"/>
    <w:rsid w:val="00C256D2"/>
    <w:rsid w:val="00C27145"/>
    <w:rsid w:val="00C32EF3"/>
    <w:rsid w:val="00C34464"/>
    <w:rsid w:val="00C406BE"/>
    <w:rsid w:val="00C43AEF"/>
    <w:rsid w:val="00C44841"/>
    <w:rsid w:val="00C44A68"/>
    <w:rsid w:val="00C5213D"/>
    <w:rsid w:val="00C541A1"/>
    <w:rsid w:val="00C54CDF"/>
    <w:rsid w:val="00C54DBC"/>
    <w:rsid w:val="00C54F6F"/>
    <w:rsid w:val="00C55BA5"/>
    <w:rsid w:val="00C5797B"/>
    <w:rsid w:val="00C610CA"/>
    <w:rsid w:val="00C64E89"/>
    <w:rsid w:val="00C6629A"/>
    <w:rsid w:val="00C66C71"/>
    <w:rsid w:val="00C671FE"/>
    <w:rsid w:val="00C7277B"/>
    <w:rsid w:val="00C73CE7"/>
    <w:rsid w:val="00C75ADA"/>
    <w:rsid w:val="00C75CC2"/>
    <w:rsid w:val="00C762E8"/>
    <w:rsid w:val="00C77DE2"/>
    <w:rsid w:val="00C83B60"/>
    <w:rsid w:val="00C86F11"/>
    <w:rsid w:val="00C9341E"/>
    <w:rsid w:val="00C9433E"/>
    <w:rsid w:val="00CB41FF"/>
    <w:rsid w:val="00CB4740"/>
    <w:rsid w:val="00CB7DA4"/>
    <w:rsid w:val="00CC0A79"/>
    <w:rsid w:val="00CC3AE1"/>
    <w:rsid w:val="00CC4A14"/>
    <w:rsid w:val="00CC5DDE"/>
    <w:rsid w:val="00CC7D05"/>
    <w:rsid w:val="00CD1386"/>
    <w:rsid w:val="00CE0752"/>
    <w:rsid w:val="00CE0B8F"/>
    <w:rsid w:val="00CE0E8F"/>
    <w:rsid w:val="00CE7E37"/>
    <w:rsid w:val="00CF5474"/>
    <w:rsid w:val="00CF579F"/>
    <w:rsid w:val="00D056DB"/>
    <w:rsid w:val="00D05DC0"/>
    <w:rsid w:val="00D1232A"/>
    <w:rsid w:val="00D14812"/>
    <w:rsid w:val="00D17262"/>
    <w:rsid w:val="00D2288B"/>
    <w:rsid w:val="00D2601A"/>
    <w:rsid w:val="00D2790A"/>
    <w:rsid w:val="00D421C8"/>
    <w:rsid w:val="00D424D8"/>
    <w:rsid w:val="00D47CC7"/>
    <w:rsid w:val="00D51AE3"/>
    <w:rsid w:val="00D52E12"/>
    <w:rsid w:val="00D5372E"/>
    <w:rsid w:val="00D5756E"/>
    <w:rsid w:val="00D66266"/>
    <w:rsid w:val="00D720E7"/>
    <w:rsid w:val="00D72250"/>
    <w:rsid w:val="00D72B7F"/>
    <w:rsid w:val="00D747ED"/>
    <w:rsid w:val="00D76AA3"/>
    <w:rsid w:val="00D82431"/>
    <w:rsid w:val="00DA7F62"/>
    <w:rsid w:val="00DB189F"/>
    <w:rsid w:val="00DB46A2"/>
    <w:rsid w:val="00DB68AE"/>
    <w:rsid w:val="00DB7340"/>
    <w:rsid w:val="00DB7376"/>
    <w:rsid w:val="00DB7B62"/>
    <w:rsid w:val="00DC391E"/>
    <w:rsid w:val="00DC6771"/>
    <w:rsid w:val="00DD3AFD"/>
    <w:rsid w:val="00DD42E2"/>
    <w:rsid w:val="00DD68C5"/>
    <w:rsid w:val="00DD775E"/>
    <w:rsid w:val="00DE6159"/>
    <w:rsid w:val="00DE6A50"/>
    <w:rsid w:val="00DF156B"/>
    <w:rsid w:val="00DF2702"/>
    <w:rsid w:val="00DF30AE"/>
    <w:rsid w:val="00E01744"/>
    <w:rsid w:val="00E036DB"/>
    <w:rsid w:val="00E12924"/>
    <w:rsid w:val="00E201E7"/>
    <w:rsid w:val="00E202B3"/>
    <w:rsid w:val="00E23EE7"/>
    <w:rsid w:val="00E27AEB"/>
    <w:rsid w:val="00E30102"/>
    <w:rsid w:val="00E32E67"/>
    <w:rsid w:val="00E33EA6"/>
    <w:rsid w:val="00E367B6"/>
    <w:rsid w:val="00E37703"/>
    <w:rsid w:val="00E41868"/>
    <w:rsid w:val="00E428C3"/>
    <w:rsid w:val="00E4355A"/>
    <w:rsid w:val="00E44992"/>
    <w:rsid w:val="00E515ED"/>
    <w:rsid w:val="00E54E1E"/>
    <w:rsid w:val="00E551F0"/>
    <w:rsid w:val="00E552A3"/>
    <w:rsid w:val="00E5593A"/>
    <w:rsid w:val="00E55E45"/>
    <w:rsid w:val="00E577D9"/>
    <w:rsid w:val="00E6145F"/>
    <w:rsid w:val="00E72BCB"/>
    <w:rsid w:val="00E73176"/>
    <w:rsid w:val="00EA02D7"/>
    <w:rsid w:val="00EA1AA5"/>
    <w:rsid w:val="00EA370A"/>
    <w:rsid w:val="00EA58AD"/>
    <w:rsid w:val="00EA5C3B"/>
    <w:rsid w:val="00EB2A07"/>
    <w:rsid w:val="00EB3053"/>
    <w:rsid w:val="00EB4A01"/>
    <w:rsid w:val="00EB5555"/>
    <w:rsid w:val="00EB557F"/>
    <w:rsid w:val="00EB6D61"/>
    <w:rsid w:val="00EB7A14"/>
    <w:rsid w:val="00EC1363"/>
    <w:rsid w:val="00ED1E3C"/>
    <w:rsid w:val="00ED3E06"/>
    <w:rsid w:val="00EE0020"/>
    <w:rsid w:val="00EE72F6"/>
    <w:rsid w:val="00EF3B3E"/>
    <w:rsid w:val="00EF4B63"/>
    <w:rsid w:val="00EF4B7F"/>
    <w:rsid w:val="00EF5617"/>
    <w:rsid w:val="00EF7FC7"/>
    <w:rsid w:val="00F00DB1"/>
    <w:rsid w:val="00F02139"/>
    <w:rsid w:val="00F12AC4"/>
    <w:rsid w:val="00F12BD9"/>
    <w:rsid w:val="00F13A12"/>
    <w:rsid w:val="00F1523B"/>
    <w:rsid w:val="00F25727"/>
    <w:rsid w:val="00F25C57"/>
    <w:rsid w:val="00F31AF5"/>
    <w:rsid w:val="00F31FE3"/>
    <w:rsid w:val="00F32974"/>
    <w:rsid w:val="00F36309"/>
    <w:rsid w:val="00F50D7E"/>
    <w:rsid w:val="00F51412"/>
    <w:rsid w:val="00F51CB8"/>
    <w:rsid w:val="00F541A1"/>
    <w:rsid w:val="00F54DF4"/>
    <w:rsid w:val="00F550DD"/>
    <w:rsid w:val="00F6040D"/>
    <w:rsid w:val="00F6358F"/>
    <w:rsid w:val="00F73F1A"/>
    <w:rsid w:val="00F77498"/>
    <w:rsid w:val="00F77C9D"/>
    <w:rsid w:val="00F869C1"/>
    <w:rsid w:val="00FA2319"/>
    <w:rsid w:val="00FA7B06"/>
    <w:rsid w:val="00FB0251"/>
    <w:rsid w:val="00FB3EE8"/>
    <w:rsid w:val="00FB3F7C"/>
    <w:rsid w:val="00FB62CF"/>
    <w:rsid w:val="00FC2853"/>
    <w:rsid w:val="00FC78CD"/>
    <w:rsid w:val="00FD4EB0"/>
    <w:rsid w:val="00FD6A94"/>
    <w:rsid w:val="00FE1814"/>
    <w:rsid w:val="00FE7737"/>
    <w:rsid w:val="00FF5E8D"/>
    <w:rsid w:val="00FF6ACD"/>
    <w:rsid w:val="01672E69"/>
    <w:rsid w:val="01735DA2"/>
    <w:rsid w:val="019E2AB2"/>
    <w:rsid w:val="01C2149D"/>
    <w:rsid w:val="020C78E7"/>
    <w:rsid w:val="02662F8E"/>
    <w:rsid w:val="03745165"/>
    <w:rsid w:val="037A78EF"/>
    <w:rsid w:val="037F5610"/>
    <w:rsid w:val="03AC558F"/>
    <w:rsid w:val="03CD24C5"/>
    <w:rsid w:val="044D62C3"/>
    <w:rsid w:val="048C1429"/>
    <w:rsid w:val="04CB6713"/>
    <w:rsid w:val="04F11782"/>
    <w:rsid w:val="050644EF"/>
    <w:rsid w:val="05107947"/>
    <w:rsid w:val="055A2324"/>
    <w:rsid w:val="05640107"/>
    <w:rsid w:val="057E23CB"/>
    <w:rsid w:val="05962D64"/>
    <w:rsid w:val="05973710"/>
    <w:rsid w:val="061012E4"/>
    <w:rsid w:val="06277CEB"/>
    <w:rsid w:val="062D447B"/>
    <w:rsid w:val="06427E28"/>
    <w:rsid w:val="069778EC"/>
    <w:rsid w:val="06A51684"/>
    <w:rsid w:val="07DD656C"/>
    <w:rsid w:val="07FC008A"/>
    <w:rsid w:val="08434438"/>
    <w:rsid w:val="08D46349"/>
    <w:rsid w:val="09DB740D"/>
    <w:rsid w:val="09F33E95"/>
    <w:rsid w:val="0A186CBD"/>
    <w:rsid w:val="0A8C1C58"/>
    <w:rsid w:val="0B0F6BF7"/>
    <w:rsid w:val="0BDD2C26"/>
    <w:rsid w:val="0BE1796C"/>
    <w:rsid w:val="0C0B5D4D"/>
    <w:rsid w:val="0C286334"/>
    <w:rsid w:val="0C3278C1"/>
    <w:rsid w:val="0C3F7926"/>
    <w:rsid w:val="0C9762BE"/>
    <w:rsid w:val="0D1E5918"/>
    <w:rsid w:val="0D501516"/>
    <w:rsid w:val="0D8E3CBA"/>
    <w:rsid w:val="0DFA4095"/>
    <w:rsid w:val="0F3D1675"/>
    <w:rsid w:val="0F6B66D0"/>
    <w:rsid w:val="0F904DDC"/>
    <w:rsid w:val="0FAE2A12"/>
    <w:rsid w:val="10EE56CF"/>
    <w:rsid w:val="11065185"/>
    <w:rsid w:val="11577FA5"/>
    <w:rsid w:val="11943190"/>
    <w:rsid w:val="11AF0379"/>
    <w:rsid w:val="123C33BF"/>
    <w:rsid w:val="12543D06"/>
    <w:rsid w:val="128B1777"/>
    <w:rsid w:val="12B57350"/>
    <w:rsid w:val="132B4F3A"/>
    <w:rsid w:val="134F75B9"/>
    <w:rsid w:val="13A45AAA"/>
    <w:rsid w:val="13AF3EFF"/>
    <w:rsid w:val="13C81C57"/>
    <w:rsid w:val="13F62541"/>
    <w:rsid w:val="1402167D"/>
    <w:rsid w:val="143141DF"/>
    <w:rsid w:val="14B55A66"/>
    <w:rsid w:val="15B97529"/>
    <w:rsid w:val="15D057AA"/>
    <w:rsid w:val="15E90DA2"/>
    <w:rsid w:val="161A15EA"/>
    <w:rsid w:val="165E4699"/>
    <w:rsid w:val="16CA24C3"/>
    <w:rsid w:val="170F06E0"/>
    <w:rsid w:val="1741472D"/>
    <w:rsid w:val="178F0BF6"/>
    <w:rsid w:val="17AC4E12"/>
    <w:rsid w:val="181D17B9"/>
    <w:rsid w:val="18733B97"/>
    <w:rsid w:val="19062B2E"/>
    <w:rsid w:val="195101D3"/>
    <w:rsid w:val="19D329F1"/>
    <w:rsid w:val="1A3737A7"/>
    <w:rsid w:val="1A6C68D0"/>
    <w:rsid w:val="1B211ABA"/>
    <w:rsid w:val="1B373A1F"/>
    <w:rsid w:val="1B7B2521"/>
    <w:rsid w:val="1BDC1930"/>
    <w:rsid w:val="1C064AEF"/>
    <w:rsid w:val="1C8328DB"/>
    <w:rsid w:val="1CAF37C7"/>
    <w:rsid w:val="1CF94AE5"/>
    <w:rsid w:val="1DAC54DB"/>
    <w:rsid w:val="1DB52ABD"/>
    <w:rsid w:val="1E062E3E"/>
    <w:rsid w:val="1E722670"/>
    <w:rsid w:val="1E9D4D6B"/>
    <w:rsid w:val="1EFE52E4"/>
    <w:rsid w:val="1F497106"/>
    <w:rsid w:val="1F765E61"/>
    <w:rsid w:val="1FD113B2"/>
    <w:rsid w:val="20D047CD"/>
    <w:rsid w:val="212D7667"/>
    <w:rsid w:val="21320A0C"/>
    <w:rsid w:val="21536A92"/>
    <w:rsid w:val="217331A3"/>
    <w:rsid w:val="21777CA3"/>
    <w:rsid w:val="21952169"/>
    <w:rsid w:val="21B44D47"/>
    <w:rsid w:val="22431ECC"/>
    <w:rsid w:val="224E633E"/>
    <w:rsid w:val="22847CED"/>
    <w:rsid w:val="23384753"/>
    <w:rsid w:val="234A2530"/>
    <w:rsid w:val="234E5DAA"/>
    <w:rsid w:val="23C734E4"/>
    <w:rsid w:val="23E92FF0"/>
    <w:rsid w:val="244C7382"/>
    <w:rsid w:val="24AC24F9"/>
    <w:rsid w:val="24D142EB"/>
    <w:rsid w:val="24DA285F"/>
    <w:rsid w:val="25054DA3"/>
    <w:rsid w:val="25AC2D77"/>
    <w:rsid w:val="25FE363B"/>
    <w:rsid w:val="2618501B"/>
    <w:rsid w:val="262B342F"/>
    <w:rsid w:val="26991482"/>
    <w:rsid w:val="26C7206F"/>
    <w:rsid w:val="27D44A08"/>
    <w:rsid w:val="28026729"/>
    <w:rsid w:val="283106F7"/>
    <w:rsid w:val="288805CC"/>
    <w:rsid w:val="28E911D2"/>
    <w:rsid w:val="28EF4019"/>
    <w:rsid w:val="28F54A8B"/>
    <w:rsid w:val="2910428A"/>
    <w:rsid w:val="29B57C40"/>
    <w:rsid w:val="2A9C1949"/>
    <w:rsid w:val="2B1050A4"/>
    <w:rsid w:val="2B6023F9"/>
    <w:rsid w:val="2BB534E2"/>
    <w:rsid w:val="2C022ECC"/>
    <w:rsid w:val="2C572ACC"/>
    <w:rsid w:val="2C754E45"/>
    <w:rsid w:val="2C9121A0"/>
    <w:rsid w:val="2CE00C6B"/>
    <w:rsid w:val="2CEC5763"/>
    <w:rsid w:val="2D366AA8"/>
    <w:rsid w:val="2D674EEC"/>
    <w:rsid w:val="2DB2590F"/>
    <w:rsid w:val="2DC101FE"/>
    <w:rsid w:val="2DDE101F"/>
    <w:rsid w:val="2E0F140F"/>
    <w:rsid w:val="2E483DE0"/>
    <w:rsid w:val="2E7E069E"/>
    <w:rsid w:val="2F2B13EB"/>
    <w:rsid w:val="2FE40D78"/>
    <w:rsid w:val="2FEB0310"/>
    <w:rsid w:val="301A10C3"/>
    <w:rsid w:val="306731C7"/>
    <w:rsid w:val="30B82E73"/>
    <w:rsid w:val="31710A09"/>
    <w:rsid w:val="327B1336"/>
    <w:rsid w:val="32C26F69"/>
    <w:rsid w:val="33704DE7"/>
    <w:rsid w:val="33904A9E"/>
    <w:rsid w:val="353B5DF8"/>
    <w:rsid w:val="35413998"/>
    <w:rsid w:val="35451FBD"/>
    <w:rsid w:val="3555360A"/>
    <w:rsid w:val="35F967F9"/>
    <w:rsid w:val="363213D2"/>
    <w:rsid w:val="363E3967"/>
    <w:rsid w:val="365C63D1"/>
    <w:rsid w:val="36BA7671"/>
    <w:rsid w:val="36E80841"/>
    <w:rsid w:val="36FA5AAD"/>
    <w:rsid w:val="372613F6"/>
    <w:rsid w:val="37D206DE"/>
    <w:rsid w:val="37DB33F8"/>
    <w:rsid w:val="37F52655"/>
    <w:rsid w:val="382A650A"/>
    <w:rsid w:val="383A12CA"/>
    <w:rsid w:val="38926FF9"/>
    <w:rsid w:val="38E538D0"/>
    <w:rsid w:val="38EB5892"/>
    <w:rsid w:val="39166122"/>
    <w:rsid w:val="392F0E52"/>
    <w:rsid w:val="39FE0A16"/>
    <w:rsid w:val="3A025824"/>
    <w:rsid w:val="3A194B71"/>
    <w:rsid w:val="3A572246"/>
    <w:rsid w:val="3A814868"/>
    <w:rsid w:val="3A8A52C4"/>
    <w:rsid w:val="3B20036E"/>
    <w:rsid w:val="3B9D0BF6"/>
    <w:rsid w:val="3C0C00C1"/>
    <w:rsid w:val="3C4736F3"/>
    <w:rsid w:val="3C66585F"/>
    <w:rsid w:val="3C803331"/>
    <w:rsid w:val="3C8B37B4"/>
    <w:rsid w:val="3CBE1AB7"/>
    <w:rsid w:val="3D3C3BAB"/>
    <w:rsid w:val="3D7109F9"/>
    <w:rsid w:val="3DA52830"/>
    <w:rsid w:val="3DBA7F9C"/>
    <w:rsid w:val="3E1B5EA8"/>
    <w:rsid w:val="3E81779D"/>
    <w:rsid w:val="3E9A01AE"/>
    <w:rsid w:val="3EC00426"/>
    <w:rsid w:val="3ECE5BB1"/>
    <w:rsid w:val="3F6D0E09"/>
    <w:rsid w:val="40A3236D"/>
    <w:rsid w:val="40B04939"/>
    <w:rsid w:val="41537D93"/>
    <w:rsid w:val="416B005E"/>
    <w:rsid w:val="41B500C6"/>
    <w:rsid w:val="41DC5F52"/>
    <w:rsid w:val="431A2371"/>
    <w:rsid w:val="4371561D"/>
    <w:rsid w:val="43E26C03"/>
    <w:rsid w:val="43F77D7C"/>
    <w:rsid w:val="43FB445F"/>
    <w:rsid w:val="454315C4"/>
    <w:rsid w:val="45783803"/>
    <w:rsid w:val="464210EF"/>
    <w:rsid w:val="46962F96"/>
    <w:rsid w:val="46AE4710"/>
    <w:rsid w:val="46BC2BE0"/>
    <w:rsid w:val="471269E3"/>
    <w:rsid w:val="472D13C4"/>
    <w:rsid w:val="47682A1B"/>
    <w:rsid w:val="47D41C59"/>
    <w:rsid w:val="48032D90"/>
    <w:rsid w:val="486A049D"/>
    <w:rsid w:val="486F55AC"/>
    <w:rsid w:val="4887656A"/>
    <w:rsid w:val="490E3B23"/>
    <w:rsid w:val="49A13C1D"/>
    <w:rsid w:val="49C26AFB"/>
    <w:rsid w:val="49FC14B9"/>
    <w:rsid w:val="49FF3464"/>
    <w:rsid w:val="4A5463E0"/>
    <w:rsid w:val="4A9816CD"/>
    <w:rsid w:val="4A9B58BD"/>
    <w:rsid w:val="4AB2325F"/>
    <w:rsid w:val="4AB73EEE"/>
    <w:rsid w:val="4ABF7B76"/>
    <w:rsid w:val="4B0F33F1"/>
    <w:rsid w:val="4B4D6079"/>
    <w:rsid w:val="4B4D70C4"/>
    <w:rsid w:val="4B985075"/>
    <w:rsid w:val="4BED077C"/>
    <w:rsid w:val="4C8D32F1"/>
    <w:rsid w:val="4DF76E98"/>
    <w:rsid w:val="4E991FAA"/>
    <w:rsid w:val="4ED36FD8"/>
    <w:rsid w:val="51724461"/>
    <w:rsid w:val="525D7324"/>
    <w:rsid w:val="52606CB4"/>
    <w:rsid w:val="527741E6"/>
    <w:rsid w:val="527C26D4"/>
    <w:rsid w:val="528F76AD"/>
    <w:rsid w:val="52A90350"/>
    <w:rsid w:val="53816B17"/>
    <w:rsid w:val="53A45EDC"/>
    <w:rsid w:val="53FB14D6"/>
    <w:rsid w:val="5401170C"/>
    <w:rsid w:val="541E61C1"/>
    <w:rsid w:val="55112116"/>
    <w:rsid w:val="55C35CEE"/>
    <w:rsid w:val="55D86451"/>
    <w:rsid w:val="568C79B1"/>
    <w:rsid w:val="56E42731"/>
    <w:rsid w:val="570B0B9B"/>
    <w:rsid w:val="57160598"/>
    <w:rsid w:val="57556065"/>
    <w:rsid w:val="5788228F"/>
    <w:rsid w:val="57DB53EB"/>
    <w:rsid w:val="580F624C"/>
    <w:rsid w:val="58473994"/>
    <w:rsid w:val="58890CE5"/>
    <w:rsid w:val="588C747E"/>
    <w:rsid w:val="58901A0E"/>
    <w:rsid w:val="58D66304"/>
    <w:rsid w:val="58E66C42"/>
    <w:rsid w:val="5A302F0A"/>
    <w:rsid w:val="5AE5097C"/>
    <w:rsid w:val="5AF2705B"/>
    <w:rsid w:val="5B75018A"/>
    <w:rsid w:val="5B8C1ADC"/>
    <w:rsid w:val="5C852632"/>
    <w:rsid w:val="5CAD21A3"/>
    <w:rsid w:val="5DC547EE"/>
    <w:rsid w:val="5DE55039"/>
    <w:rsid w:val="5E664A71"/>
    <w:rsid w:val="5ECA2F7A"/>
    <w:rsid w:val="5F35103B"/>
    <w:rsid w:val="5F4C21C0"/>
    <w:rsid w:val="5F85706F"/>
    <w:rsid w:val="5FCB310E"/>
    <w:rsid w:val="5FDB54AC"/>
    <w:rsid w:val="5FFA5271"/>
    <w:rsid w:val="6019389F"/>
    <w:rsid w:val="60325328"/>
    <w:rsid w:val="60622983"/>
    <w:rsid w:val="6091004E"/>
    <w:rsid w:val="60B40102"/>
    <w:rsid w:val="60B47D57"/>
    <w:rsid w:val="61031365"/>
    <w:rsid w:val="610331CE"/>
    <w:rsid w:val="610F56D3"/>
    <w:rsid w:val="612B48C4"/>
    <w:rsid w:val="61DB4A59"/>
    <w:rsid w:val="61F219A1"/>
    <w:rsid w:val="6220265E"/>
    <w:rsid w:val="62726493"/>
    <w:rsid w:val="62B32BBD"/>
    <w:rsid w:val="62CA2CFC"/>
    <w:rsid w:val="636042BC"/>
    <w:rsid w:val="636E3262"/>
    <w:rsid w:val="63A616EE"/>
    <w:rsid w:val="63CB09BF"/>
    <w:rsid w:val="64904533"/>
    <w:rsid w:val="64E17DAC"/>
    <w:rsid w:val="652C4E40"/>
    <w:rsid w:val="659006BC"/>
    <w:rsid w:val="65F96DBB"/>
    <w:rsid w:val="66773E88"/>
    <w:rsid w:val="66A73DB0"/>
    <w:rsid w:val="66BC6E35"/>
    <w:rsid w:val="66D07B67"/>
    <w:rsid w:val="67157A05"/>
    <w:rsid w:val="67261304"/>
    <w:rsid w:val="672D2805"/>
    <w:rsid w:val="67EC4A85"/>
    <w:rsid w:val="688153A0"/>
    <w:rsid w:val="68F60279"/>
    <w:rsid w:val="69981510"/>
    <w:rsid w:val="69B444CA"/>
    <w:rsid w:val="6A4554CD"/>
    <w:rsid w:val="6AB41369"/>
    <w:rsid w:val="6B5B46B5"/>
    <w:rsid w:val="6B846973"/>
    <w:rsid w:val="6B95581E"/>
    <w:rsid w:val="6BAC02C1"/>
    <w:rsid w:val="6C0C0F8B"/>
    <w:rsid w:val="6CDE0529"/>
    <w:rsid w:val="6CE448A1"/>
    <w:rsid w:val="6CEB6587"/>
    <w:rsid w:val="6D1D5FE5"/>
    <w:rsid w:val="6D305FAD"/>
    <w:rsid w:val="6D5A4C2A"/>
    <w:rsid w:val="6D5C7C80"/>
    <w:rsid w:val="6E125AE1"/>
    <w:rsid w:val="6E3840D1"/>
    <w:rsid w:val="6E3B6C77"/>
    <w:rsid w:val="6E5421AF"/>
    <w:rsid w:val="6F864FF3"/>
    <w:rsid w:val="6F8B25D8"/>
    <w:rsid w:val="6FE86FA0"/>
    <w:rsid w:val="71606008"/>
    <w:rsid w:val="7164146B"/>
    <w:rsid w:val="719162F8"/>
    <w:rsid w:val="71BA7104"/>
    <w:rsid w:val="72350773"/>
    <w:rsid w:val="72614288"/>
    <w:rsid w:val="72A1539A"/>
    <w:rsid w:val="72CE24AC"/>
    <w:rsid w:val="731B4F30"/>
    <w:rsid w:val="733E644D"/>
    <w:rsid w:val="73F80770"/>
    <w:rsid w:val="740742C5"/>
    <w:rsid w:val="742601FF"/>
    <w:rsid w:val="746554E6"/>
    <w:rsid w:val="74AA5AA4"/>
    <w:rsid w:val="74CF1DC8"/>
    <w:rsid w:val="755B1F9F"/>
    <w:rsid w:val="75886F46"/>
    <w:rsid w:val="75A621CB"/>
    <w:rsid w:val="761F7357"/>
    <w:rsid w:val="7638131F"/>
    <w:rsid w:val="76405F47"/>
    <w:rsid w:val="77372834"/>
    <w:rsid w:val="778F3CF8"/>
    <w:rsid w:val="77BF4814"/>
    <w:rsid w:val="784754C9"/>
    <w:rsid w:val="789371DD"/>
    <w:rsid w:val="78A33B0F"/>
    <w:rsid w:val="78EB7EDA"/>
    <w:rsid w:val="79CF54C3"/>
    <w:rsid w:val="79FA76E1"/>
    <w:rsid w:val="7A014C0C"/>
    <w:rsid w:val="7A162CED"/>
    <w:rsid w:val="7ACC7553"/>
    <w:rsid w:val="7B85158D"/>
    <w:rsid w:val="7B923902"/>
    <w:rsid w:val="7B974D3C"/>
    <w:rsid w:val="7BBC12E9"/>
    <w:rsid w:val="7BF43F4E"/>
    <w:rsid w:val="7C7C2595"/>
    <w:rsid w:val="7C9B5B8F"/>
    <w:rsid w:val="7CA70FE8"/>
    <w:rsid w:val="7CD65F06"/>
    <w:rsid w:val="7CD81C71"/>
    <w:rsid w:val="7CE562F3"/>
    <w:rsid w:val="7D781589"/>
    <w:rsid w:val="7DC037B5"/>
    <w:rsid w:val="7DFE7585"/>
    <w:rsid w:val="7E087C15"/>
    <w:rsid w:val="7E2D2157"/>
    <w:rsid w:val="7E8B7880"/>
    <w:rsid w:val="7EFB616A"/>
    <w:rsid w:val="7F180C8F"/>
    <w:rsid w:val="7F32010C"/>
    <w:rsid w:val="7F495CD6"/>
    <w:rsid w:val="7F8B6497"/>
    <w:rsid w:val="7FAC31AB"/>
    <w:rsid w:val="7FF641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kern w:val="2"/>
      <w:sz w:val="32"/>
      <w:lang w:val="en-US" w:eastAsia="zh-CN" w:bidi="ar-SA"/>
    </w:rPr>
  </w:style>
  <w:style w:type="character" w:default="1" w:styleId="12">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customStyle="1" w:styleId="2">
    <w:name w:val="_Style 2"/>
    <w:basedOn w:val="1"/>
    <w:qFormat/>
    <w:uiPriority w:val="99"/>
    <w:pPr>
      <w:spacing w:line="351" w:lineRule="atLeast"/>
      <w:ind w:firstLine="623"/>
      <w:textAlignment w:val="baseline"/>
    </w:pPr>
    <w:rPr>
      <w:color w:val="000000"/>
      <w:sz w:val="31"/>
      <w:szCs w:val="31"/>
    </w:rPr>
  </w:style>
  <w:style w:type="paragraph" w:styleId="3">
    <w:name w:val="Body Text"/>
    <w:basedOn w:val="1"/>
    <w:uiPriority w:val="0"/>
    <w:pPr>
      <w:jc w:val="center"/>
    </w:pPr>
    <w:rPr>
      <w:rFonts w:eastAsia="黑体"/>
      <w:sz w:val="36"/>
    </w:rPr>
  </w:style>
  <w:style w:type="paragraph" w:styleId="4">
    <w:name w:val="Body Text Indent"/>
    <w:basedOn w:val="1"/>
    <w:uiPriority w:val="0"/>
    <w:pPr>
      <w:spacing w:after="120" w:afterLines="0" w:afterAutospacing="0"/>
      <w:ind w:left="420" w:leftChars="200"/>
    </w:p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rPr>
  </w:style>
  <w:style w:type="paragraph" w:styleId="8">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4"/>
    <w:uiPriority w:val="0"/>
    <w:pPr>
      <w:ind w:firstLine="420" w:firstLineChars="200"/>
    </w:pPr>
  </w:style>
  <w:style w:type="table" w:styleId="11">
    <w:name w:val="Table Grid"/>
    <w:basedOn w:val="10"/>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uiPriority w:val="0"/>
  </w:style>
  <w:style w:type="character" w:styleId="15">
    <w:name w:val="annotation reference"/>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8.emf"/><Relationship Id="rId12" Type="http://schemas.openxmlformats.org/officeDocument/2006/relationships/image" Target="media/image7.emf"/><Relationship Id="rId11" Type="http://schemas.openxmlformats.org/officeDocument/2006/relationships/image" Target="media/image6.emf"/><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9306</Words>
  <Characters>10169</Characters>
  <Lines>168</Lines>
  <Paragraphs>47</Paragraphs>
  <TotalTime>0</TotalTime>
  <ScaleCrop>false</ScaleCrop>
  <LinksUpToDate>false</LinksUpToDate>
  <CharactersWithSpaces>10648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2018-08-07T07:03:00Z</dcterms:created>
  <dc:creator>杨丽</dc:creator>
  <cp:lastModifiedBy>可心</cp:lastModifiedBy>
  <cp:lastPrinted>2023-08-04T00:34:29Z</cp:lastPrinted>
  <dcterms:modified xsi:type="dcterms:W3CDTF">2023-10-10T14:01:41Z</dcterms:modified>
  <dc:title>财〔2002〕号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DDD995B7A6DF4586ADAFE3DF13990E14_13</vt:lpwstr>
  </property>
</Properties>
</file>