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sz w:val="36"/>
          <w:szCs w:val="36"/>
        </w:rPr>
      </w:pPr>
    </w:p>
    <w:p>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keepNext w:val="0"/>
        <w:keepLines w:val="0"/>
        <w:pageBreakBefore w:val="0"/>
        <w:widowControl w:val="0"/>
        <w:kinsoku/>
        <w:wordWrap/>
        <w:overflowPunct/>
        <w:topLinePunct w:val="0"/>
        <w:autoSpaceDE/>
        <w:autoSpaceDN/>
        <w:bidi w:val="0"/>
        <w:adjustRightInd w:val="0"/>
        <w:snapToGrid w:val="0"/>
        <w:spacing w:before="192" w:beforeLines="80" w:line="240" w:lineRule="auto"/>
        <w:ind w:firstLine="0" w:firstLineChars="0"/>
        <w:jc w:val="center"/>
        <w:textAlignment w:val="auto"/>
        <w:rPr>
          <w:rFonts w:hint="eastAsia" w:ascii="楷体_GB2312" w:eastAsia="楷体_GB2312"/>
          <w:bCs/>
          <w:sz w:val="48"/>
          <w:szCs w:val="48"/>
        </w:rPr>
      </w:pPr>
      <w:r>
        <w:rPr>
          <w:rFonts w:hint="eastAsia" w:ascii="楷体_GB2312" w:eastAsia="楷体_GB2312"/>
          <w:bCs/>
          <w:sz w:val="48"/>
          <w:szCs w:val="48"/>
        </w:rPr>
        <w:t>（污染影响类）</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outlineLvl w:val="0"/>
        <w:rPr>
          <w:rFonts w:ascii="华文仿宋" w:hAnsi="华文仿宋" w:eastAsia="华文仿宋" w:cs="华文仿宋"/>
          <w:color w:val="000000"/>
          <w:kern w:val="44"/>
          <w:sz w:val="44"/>
          <w:szCs w:val="44"/>
        </w:rPr>
      </w:pP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eastAsia="仿宋"/>
          <w:sz w:val="52"/>
          <w:szCs w:val="5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仿宋"/>
          <w:sz w:val="44"/>
          <w:szCs w:val="44"/>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仿宋"/>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仿宋"/>
          <w:sz w:val="44"/>
          <w:szCs w:val="44"/>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仿宋_GB2312" w:eastAsia="仿宋_GB2312"/>
          <w:sz w:val="36"/>
          <w:szCs w:val="36"/>
          <w:u w:val="single"/>
          <w:lang w:eastAsia="zh-CN"/>
        </w:rPr>
      </w:pPr>
      <w:r>
        <w:rPr>
          <w:rFonts w:hint="eastAsia" w:ascii="仿宋_GB2312" w:eastAsia="仿宋_GB2312"/>
          <w:sz w:val="36"/>
          <w:szCs w:val="36"/>
        </w:rPr>
        <w:t>项目名称：</w:t>
      </w:r>
      <w:r>
        <w:rPr>
          <w:rFonts w:hint="eastAsia" w:ascii="仿宋_GB2312" w:eastAsia="仿宋_GB2312"/>
          <w:i w:val="0"/>
          <w:iCs w:val="0"/>
          <w:sz w:val="36"/>
          <w:szCs w:val="36"/>
          <w:u w:val="single"/>
          <w:lang w:val="en-US" w:eastAsia="zh-CN"/>
        </w:rPr>
        <w:t xml:space="preserve"> </w:t>
      </w:r>
      <w:r>
        <w:rPr>
          <w:rFonts w:hint="eastAsia" w:ascii="仿宋_GB2312" w:eastAsia="仿宋_GB2312"/>
          <w:sz w:val="36"/>
          <w:szCs w:val="36"/>
          <w:u w:val="single"/>
        </w:rPr>
        <w:t>年产10万套缝纫机台板智能喷漆生产线项目</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仿宋_GB2312" w:eastAsia="仿宋_GB2312"/>
          <w:sz w:val="36"/>
          <w:szCs w:val="36"/>
          <w:u w:val="single"/>
          <w:lang w:val="en-US" w:eastAsia="zh-CN"/>
        </w:rPr>
      </w:pPr>
      <w:r>
        <w:rPr>
          <w:rFonts w:hint="eastAsia" w:ascii="仿宋_GB2312" w:eastAsia="仿宋_GB2312"/>
          <w:sz w:val="36"/>
          <w:szCs w:val="36"/>
        </w:rPr>
        <w:t>建设单位（盖章）：</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安徽省泗县多多乐板业制造厂</w:t>
      </w:r>
      <w:r>
        <w:rPr>
          <w:rFonts w:hint="eastAsia" w:ascii="仿宋_GB2312" w:eastAsia="仿宋_GB2312"/>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仿宋_GB2312" w:eastAsia="仿宋_GB2312"/>
          <w:sz w:val="36"/>
          <w:szCs w:val="36"/>
          <w:u w:val="single"/>
          <w:lang w:val="en-US" w:eastAsia="zh-CN"/>
        </w:rPr>
      </w:pPr>
      <w:r>
        <w:rPr>
          <w:rFonts w:hint="eastAsia" w:ascii="仿宋_GB2312" w:eastAsia="仿宋_GB2312"/>
          <w:sz w:val="36"/>
          <w:szCs w:val="36"/>
        </w:rPr>
        <w:t>编制日期：</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202</w:t>
      </w:r>
      <w:r>
        <w:rPr>
          <w:rFonts w:hint="eastAsia" w:ascii="仿宋_GB2312" w:eastAsia="仿宋_GB2312"/>
          <w:sz w:val="36"/>
          <w:szCs w:val="36"/>
          <w:u w:val="single"/>
          <w:lang w:val="en-US" w:eastAsia="zh-CN"/>
        </w:rPr>
        <w:t>3</w:t>
      </w:r>
      <w:r>
        <w:rPr>
          <w:rFonts w:hint="eastAsia" w:ascii="仿宋_GB2312" w:eastAsia="仿宋_GB2312"/>
          <w:sz w:val="36"/>
          <w:szCs w:val="36"/>
          <w:u w:val="single"/>
        </w:rPr>
        <w:t>年</w:t>
      </w:r>
      <w:r>
        <w:rPr>
          <w:rFonts w:hint="eastAsia" w:ascii="仿宋_GB2312" w:eastAsia="仿宋_GB2312"/>
          <w:sz w:val="36"/>
          <w:szCs w:val="36"/>
          <w:u w:val="single"/>
          <w:lang w:val="en-US" w:eastAsia="zh-CN"/>
        </w:rPr>
        <w:t>10</w:t>
      </w:r>
      <w:r>
        <w:rPr>
          <w:rFonts w:hint="eastAsia" w:ascii="仿宋_GB2312" w:eastAsia="仿宋_GB2312"/>
          <w:sz w:val="36"/>
          <w:szCs w:val="36"/>
          <w:u w:val="single"/>
        </w:rPr>
        <w:t>月</w:t>
      </w:r>
      <w:r>
        <w:rPr>
          <w:rFonts w:hint="eastAsia" w:ascii="仿宋_GB2312" w:eastAsia="仿宋_GB2312"/>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仿宋_GB2312" w:eastAsia="仿宋_GB2312"/>
          <w:sz w:val="36"/>
          <w:szCs w:val="36"/>
          <w:u w:val="single"/>
        </w:rPr>
      </w:pPr>
      <w:bookmarkStart w:id="0" w:name="_Hlk57884087"/>
    </w:p>
    <w:p>
      <w:pPr>
        <w:keepNext w:val="0"/>
        <w:keepLines w:val="0"/>
        <w:pageBreakBefore w:val="0"/>
        <w:widowControl w:val="0"/>
        <w:kinsoku/>
        <w:wordWrap/>
        <w:overflowPunct/>
        <w:topLinePunct w:val="0"/>
        <w:autoSpaceDE/>
        <w:autoSpaceDN/>
        <w:bidi w:val="0"/>
        <w:adjustRightInd w:val="0"/>
        <w:snapToGrid w:val="0"/>
        <w:spacing w:line="288" w:lineRule="auto"/>
        <w:ind w:firstLine="1040"/>
        <w:textAlignment w:val="auto"/>
        <w:rPr>
          <w:rFonts w:ascii="仿宋_GB2312" w:eastAsia="仿宋_GB2312"/>
          <w:sz w:val="36"/>
          <w:szCs w:val="36"/>
        </w:rPr>
      </w:pPr>
    </w:p>
    <w:p>
      <w:pPr>
        <w:pStyle w:val="12"/>
        <w:keepNext w:val="0"/>
        <w:keepLines w:val="0"/>
        <w:pageBreakBefore w:val="0"/>
        <w:widowControl w:val="0"/>
        <w:kinsoku/>
        <w:wordWrap/>
        <w:overflowPunct/>
        <w:topLinePunct w:val="0"/>
        <w:autoSpaceDE/>
        <w:autoSpaceDN/>
        <w:bidi w:val="0"/>
        <w:spacing w:line="288" w:lineRule="auto"/>
        <w:textAlignment w:val="auto"/>
      </w:pPr>
    </w:p>
    <w:p>
      <w:pPr>
        <w:keepNext w:val="0"/>
        <w:keepLines w:val="0"/>
        <w:pageBreakBefore w:val="0"/>
        <w:widowControl w:val="0"/>
        <w:kinsoku/>
        <w:wordWrap/>
        <w:overflowPunct/>
        <w:topLinePunct w:val="0"/>
        <w:autoSpaceDE/>
        <w:autoSpaceDN/>
        <w:bidi w:val="0"/>
        <w:adjustRightInd w:val="0"/>
        <w:snapToGrid w:val="0"/>
        <w:spacing w:line="288" w:lineRule="auto"/>
        <w:ind w:firstLine="1040"/>
        <w:textAlignment w:val="auto"/>
        <w:rPr>
          <w:rFonts w:ascii="仿宋_GB2312" w:eastAsia="仿宋_GB2312"/>
          <w:sz w:val="36"/>
          <w:szCs w:val="36"/>
        </w:rPr>
      </w:pPr>
    </w:p>
    <w:p>
      <w:pPr>
        <w:keepNext w:val="0"/>
        <w:keepLines w:val="0"/>
        <w:pageBreakBefore w:val="0"/>
        <w:widowControl w:val="0"/>
        <w:kinsoku/>
        <w:wordWrap/>
        <w:overflowPunct/>
        <w:topLinePunct w:val="0"/>
        <w:autoSpaceDE/>
        <w:autoSpaceDN/>
        <w:bidi w:val="0"/>
        <w:adjustRightInd w:val="0"/>
        <w:snapToGrid w:val="0"/>
        <w:spacing w:line="288" w:lineRule="auto"/>
        <w:ind w:firstLine="1040"/>
        <w:textAlignment w:val="auto"/>
        <w:rPr>
          <w:rFonts w:hint="eastAsia"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5" w:type="default"/>
          <w:footerReference r:id="rId6" w:type="even"/>
          <w:pgSz w:w="11905" w:h="16838"/>
          <w:pgMar w:top="1440" w:right="1417" w:bottom="1440" w:left="1417" w:header="851" w:footer="850" w:gutter="0"/>
          <w:pgNumType w:start="3"/>
          <w:cols w:space="0" w:num="1"/>
          <w:rtlGutter w:val="0"/>
          <w:docGrid w:type="lines" w:linePitch="312" w:charSpace="0"/>
        </w:sectPr>
      </w:pP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20"/>
        <w:tblW w:w="90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22"/>
        <w:gridCol w:w="2097"/>
        <w:gridCol w:w="2212"/>
        <w:gridCol w:w="28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2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建设项目名称</w:t>
            </w:r>
          </w:p>
        </w:tc>
        <w:tc>
          <w:tcPr>
            <w:tcW w:w="7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年产10万套缝纫机台板智能喷漆生产线项目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2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项目代码</w:t>
            </w:r>
          </w:p>
        </w:tc>
        <w:tc>
          <w:tcPr>
            <w:tcW w:w="7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2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建设单位联系人</w:t>
            </w:r>
          </w:p>
        </w:tc>
        <w:tc>
          <w:tcPr>
            <w:tcW w:w="20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p>
        </w:tc>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联系方式</w:t>
            </w: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bookmarkStart w:id="3" w:name="_GoBack"/>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2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建设地点</w:t>
            </w:r>
          </w:p>
        </w:tc>
        <w:tc>
          <w:tcPr>
            <w:tcW w:w="7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u w:val="none"/>
                <w:lang w:eastAsia="zh-CN"/>
              </w:rPr>
              <w:t>安徽</w:t>
            </w:r>
            <w:r>
              <w:rPr>
                <w:rFonts w:hint="default" w:ascii="Times New Roman" w:hAnsi="Times New Roman" w:cs="Times New Roman" w:eastAsiaTheme="minorEastAsia"/>
                <w:sz w:val="24"/>
                <w:szCs w:val="24"/>
                <w:u w:val="none"/>
              </w:rPr>
              <w:t>省</w:t>
            </w:r>
            <w:r>
              <w:rPr>
                <w:rFonts w:hint="default" w:ascii="Times New Roman" w:hAnsi="Times New Roman" w:cs="Times New Roman" w:eastAsiaTheme="minorEastAsia"/>
                <w:sz w:val="24"/>
                <w:szCs w:val="24"/>
                <w:u w:val="none"/>
                <w:lang w:eastAsia="zh-CN"/>
              </w:rPr>
              <w:t>宿州</w:t>
            </w:r>
            <w:r>
              <w:rPr>
                <w:rFonts w:hint="default" w:ascii="Times New Roman" w:hAnsi="Times New Roman" w:cs="Times New Roman" w:eastAsiaTheme="minorEastAsia"/>
                <w:sz w:val="24"/>
                <w:szCs w:val="24"/>
                <w:u w:val="none"/>
              </w:rPr>
              <w:t>市</w:t>
            </w:r>
            <w:r>
              <w:rPr>
                <w:rFonts w:hint="default" w:ascii="Times New Roman" w:hAnsi="Times New Roman" w:cs="Times New Roman" w:eastAsiaTheme="minorEastAsia"/>
                <w:sz w:val="24"/>
                <w:szCs w:val="24"/>
                <w:u w:val="none"/>
                <w:lang w:eastAsia="zh-CN"/>
              </w:rPr>
              <w:t>泗</w:t>
            </w:r>
            <w:r>
              <w:rPr>
                <w:rFonts w:hint="default" w:ascii="Times New Roman" w:hAnsi="Times New Roman" w:cs="Times New Roman" w:eastAsiaTheme="minorEastAsia"/>
                <w:sz w:val="24"/>
                <w:szCs w:val="24"/>
                <w:u w:val="none"/>
              </w:rPr>
              <w:t>县</w:t>
            </w:r>
            <w:r>
              <w:rPr>
                <w:rFonts w:hint="default" w:ascii="Times New Roman" w:hAnsi="Times New Roman" w:cs="Times New Roman" w:eastAsiaTheme="minorEastAsia"/>
                <w:sz w:val="24"/>
                <w:szCs w:val="24"/>
                <w:u w:val="none"/>
                <w:lang w:eastAsia="zh-CN"/>
              </w:rPr>
              <w:t>大庄镇工业园区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2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地理坐标</w:t>
            </w:r>
          </w:p>
        </w:tc>
        <w:tc>
          <w:tcPr>
            <w:tcW w:w="7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u w:val="single"/>
                <w:lang w:val="en-US" w:eastAsia="zh-CN"/>
              </w:rPr>
              <w:t>117</w:t>
            </w:r>
            <w:r>
              <w:rPr>
                <w:rFonts w:hint="default" w:ascii="Times New Roman" w:hAnsi="Times New Roman" w:cs="Times New Roman" w:eastAsiaTheme="minorEastAsia"/>
                <w:sz w:val="24"/>
                <w:szCs w:val="24"/>
              </w:rPr>
              <w:t>度</w:t>
            </w:r>
            <w:r>
              <w:rPr>
                <w:rFonts w:hint="default" w:ascii="Times New Roman" w:hAnsi="Times New Roman" w:cs="Times New Roman" w:eastAsiaTheme="minorEastAsia"/>
                <w:sz w:val="24"/>
                <w:szCs w:val="24"/>
                <w:u w:val="single"/>
                <w:lang w:val="en-US" w:eastAsia="zh-CN"/>
              </w:rPr>
              <w:t>52</w:t>
            </w:r>
            <w:r>
              <w:rPr>
                <w:rFonts w:hint="default" w:ascii="Times New Roman" w:hAnsi="Times New Roman" w:cs="Times New Roman" w:eastAsiaTheme="minorEastAsia"/>
                <w:sz w:val="24"/>
                <w:szCs w:val="24"/>
              </w:rPr>
              <w:t>分</w:t>
            </w:r>
            <w:r>
              <w:rPr>
                <w:rFonts w:hint="default" w:ascii="Times New Roman" w:hAnsi="Times New Roman" w:cs="Times New Roman" w:eastAsiaTheme="minorEastAsia"/>
                <w:sz w:val="24"/>
                <w:szCs w:val="24"/>
                <w:u w:val="single"/>
                <w:lang w:val="en-US" w:eastAsia="zh-CN"/>
              </w:rPr>
              <w:t>28.771</w:t>
            </w:r>
            <w:r>
              <w:rPr>
                <w:rFonts w:hint="default" w:ascii="Times New Roman" w:hAnsi="Times New Roman" w:cs="Times New Roman" w:eastAsiaTheme="minorEastAsia"/>
                <w:sz w:val="24"/>
                <w:szCs w:val="24"/>
              </w:rPr>
              <w:t>秒，</w:t>
            </w:r>
            <w:r>
              <w:rPr>
                <w:rFonts w:hint="default" w:ascii="Times New Roman" w:hAnsi="Times New Roman" w:cs="Times New Roman" w:eastAsiaTheme="minorEastAsia"/>
                <w:sz w:val="24"/>
                <w:szCs w:val="24"/>
                <w:u w:val="single"/>
                <w:lang w:val="en-US" w:eastAsia="zh-CN"/>
              </w:rPr>
              <w:t>33</w:t>
            </w:r>
            <w:r>
              <w:rPr>
                <w:rFonts w:hint="default" w:ascii="Times New Roman" w:hAnsi="Times New Roman" w:cs="Times New Roman" w:eastAsiaTheme="minorEastAsia"/>
                <w:sz w:val="24"/>
                <w:szCs w:val="24"/>
              </w:rPr>
              <w:t>度</w:t>
            </w:r>
            <w:r>
              <w:rPr>
                <w:rFonts w:hint="default" w:ascii="Times New Roman" w:hAnsi="Times New Roman" w:cs="Times New Roman" w:eastAsiaTheme="minorEastAsia"/>
                <w:sz w:val="24"/>
                <w:szCs w:val="24"/>
                <w:u w:val="single"/>
                <w:lang w:val="en-US" w:eastAsia="zh-CN"/>
              </w:rPr>
              <w:t>41</w:t>
            </w:r>
            <w:r>
              <w:rPr>
                <w:rFonts w:hint="default" w:ascii="Times New Roman" w:hAnsi="Times New Roman" w:cs="Times New Roman" w:eastAsiaTheme="minorEastAsia"/>
                <w:sz w:val="24"/>
                <w:szCs w:val="24"/>
              </w:rPr>
              <w:t>分</w:t>
            </w:r>
            <w:r>
              <w:rPr>
                <w:rFonts w:hint="default" w:ascii="Times New Roman" w:hAnsi="Times New Roman" w:cs="Times New Roman" w:eastAsiaTheme="minorEastAsia"/>
                <w:sz w:val="24"/>
                <w:szCs w:val="24"/>
                <w:u w:val="single"/>
                <w:lang w:val="en-US" w:eastAsia="zh-CN"/>
              </w:rPr>
              <w:t>13.620</w:t>
            </w:r>
            <w:r>
              <w:rPr>
                <w:rFonts w:hint="default" w:ascii="Times New Roman" w:hAnsi="Times New Roman" w:cs="Times New Roman" w:eastAsiaTheme="minorEastAsia"/>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2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国民经济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行业类别</w:t>
            </w:r>
          </w:p>
        </w:tc>
        <w:tc>
          <w:tcPr>
            <w:tcW w:w="20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C2021胶合板制造</w:t>
            </w:r>
          </w:p>
        </w:tc>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bookmarkStart w:id="1" w:name="_Hlk49843745"/>
            <w:r>
              <w:rPr>
                <w:rFonts w:hint="default" w:ascii="Times New Roman" w:hAnsi="Times New Roman" w:cs="Times New Roman" w:eastAsiaTheme="minorEastAsia"/>
                <w:sz w:val="24"/>
                <w:szCs w:val="24"/>
              </w:rPr>
              <w:t>建设项目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行业类别</w:t>
            </w:r>
            <w:bookmarkEnd w:id="1"/>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eastAsiaTheme="minorEastAsia"/>
                <w:sz w:val="24"/>
                <w:szCs w:val="24"/>
                <w:lang w:eastAsia="zh-CN"/>
              </w:rPr>
            </w:pPr>
            <w:r>
              <w:rPr>
                <w:rFonts w:hint="eastAsia"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十七、木材加工和木、竹、藤、棕、草制品业，33、木制品制造203，年用溶剂型涂料（含稀释剂）10吨以下的，或年用非溶剂型低VOCs含量涂料10吨及以上的；含木片烘干、水煮、染色等工艺的</w:t>
            </w:r>
            <w:r>
              <w:rPr>
                <w:rFonts w:hint="eastAsia" w:cs="Times New Roman" w:eastAsiaTheme="minorEastAsia"/>
                <w:kern w:val="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2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建设性质</w:t>
            </w:r>
          </w:p>
        </w:tc>
        <w:tc>
          <w:tcPr>
            <w:tcW w:w="20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eastAsia="zh-CN"/>
              </w:rPr>
              <w:sym w:font="Wingdings 2" w:char="00A3"/>
            </w:r>
            <w:r>
              <w:rPr>
                <w:rFonts w:hint="default" w:ascii="Times New Roman" w:hAnsi="Times New Roman" w:cs="Times New Roman" w:eastAsiaTheme="minorEastAsia"/>
                <w:sz w:val="24"/>
                <w:szCs w:val="24"/>
              </w:rPr>
              <w:t>新建（迁建）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eastAsia="zh-CN"/>
              </w:rPr>
              <w:sym w:font="Wingdings 2" w:char="00A3"/>
            </w:r>
            <w:r>
              <w:rPr>
                <w:rFonts w:hint="default" w:ascii="Times New Roman" w:hAnsi="Times New Roman" w:cs="Times New Roman" w:eastAsiaTheme="minorEastAsia"/>
                <w:sz w:val="24"/>
                <w:szCs w:val="24"/>
              </w:rPr>
              <w:t>改建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eastAsia="zh-CN"/>
              </w:rPr>
              <w:sym w:font="Wingdings 2" w:char="0052"/>
            </w:r>
            <w:r>
              <w:rPr>
                <w:rFonts w:hint="default" w:ascii="Times New Roman" w:hAnsi="Times New Roman" w:cs="Times New Roman" w:eastAsiaTheme="minorEastAsia"/>
                <w:sz w:val="24"/>
                <w:szCs w:val="24"/>
              </w:rPr>
              <w:t>扩建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eastAsia="zh-CN"/>
              </w:rPr>
              <w:sym w:font="Wingdings 2" w:char="00A3"/>
            </w:r>
            <w:r>
              <w:rPr>
                <w:rFonts w:hint="default" w:ascii="Times New Roman" w:hAnsi="Times New Roman" w:cs="Times New Roman" w:eastAsiaTheme="minorEastAsia"/>
                <w:sz w:val="24"/>
                <w:szCs w:val="24"/>
              </w:rPr>
              <w:t>技术改造</w:t>
            </w:r>
          </w:p>
        </w:tc>
        <w:tc>
          <w:tcPr>
            <w:tcW w:w="2212" w:type="dxa"/>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建设项目</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申报情形</w:t>
            </w: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sym w:font="Wingdings 2" w:char="0052"/>
            </w:r>
            <w:r>
              <w:rPr>
                <w:rFonts w:hint="default" w:ascii="Times New Roman" w:hAnsi="Times New Roman" w:cs="Times New Roman" w:eastAsiaTheme="minorEastAsia"/>
                <w:sz w:val="24"/>
                <w:szCs w:val="24"/>
              </w:rPr>
              <w:t>首次申报项目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eastAsia="zh-CN"/>
              </w:rPr>
              <w:sym w:font="Wingdings 2" w:char="00A3"/>
            </w:r>
            <w:r>
              <w:rPr>
                <w:rFonts w:hint="default" w:ascii="Times New Roman" w:hAnsi="Times New Roman" w:cs="Times New Roman" w:eastAsiaTheme="minorEastAsia"/>
                <w:sz w:val="24"/>
                <w:szCs w:val="24"/>
              </w:rPr>
              <w:t>不予批准后再次申报项目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sym w:font="Wingdings 2" w:char="00A3"/>
            </w:r>
            <w:r>
              <w:rPr>
                <w:rFonts w:hint="default" w:ascii="Times New Roman" w:hAnsi="Times New Roman" w:cs="Times New Roman" w:eastAsiaTheme="minorEastAsia"/>
                <w:sz w:val="24"/>
                <w:szCs w:val="24"/>
              </w:rPr>
              <w:t>超五年重新审核项目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eastAsia="zh-CN"/>
              </w:rPr>
              <w:sym w:font="Wingdings 2" w:char="00A3"/>
            </w:r>
            <w:r>
              <w:rPr>
                <w:rFonts w:hint="default" w:ascii="Times New Roman" w:hAnsi="Times New Roman" w:cs="Times New Roman" w:eastAsiaTheme="minorEastAsia"/>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2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项目审批（核准/</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备案）部门（选填）</w:t>
            </w:r>
          </w:p>
        </w:tc>
        <w:tc>
          <w:tcPr>
            <w:tcW w:w="2097" w:type="dxa"/>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泗县经济和信息化委员会</w:t>
            </w:r>
          </w:p>
        </w:tc>
        <w:tc>
          <w:tcPr>
            <w:tcW w:w="2212" w:type="dxa"/>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项目审批（核准/</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备案）文号（选填）</w:t>
            </w:r>
          </w:p>
        </w:tc>
        <w:tc>
          <w:tcPr>
            <w:tcW w:w="2809" w:type="dxa"/>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rPr>
            </w:pPr>
            <w:r>
              <w:rPr>
                <w:rFonts w:hint="eastAsia"/>
                <w:sz w:val="24"/>
                <w:szCs w:val="24"/>
              </w:rPr>
              <w:t>泗经技</w:t>
            </w:r>
            <w:r>
              <w:rPr>
                <w:rFonts w:hint="eastAsia" w:ascii="宋体" w:hAnsi="宋体" w:eastAsia="宋体" w:cs="宋体"/>
                <w:sz w:val="24"/>
                <w:szCs w:val="24"/>
              </w:rPr>
              <w:t>﹝</w:t>
            </w:r>
            <w:r>
              <w:rPr>
                <w:rFonts w:hint="eastAsia"/>
                <w:sz w:val="24"/>
                <w:szCs w:val="24"/>
              </w:rPr>
              <w:t>20</w:t>
            </w:r>
            <w:r>
              <w:rPr>
                <w:rFonts w:hint="eastAsia"/>
                <w:sz w:val="24"/>
                <w:szCs w:val="24"/>
                <w:lang w:val="en-US" w:eastAsia="zh-CN"/>
              </w:rPr>
              <w:t>23</w:t>
            </w:r>
            <w:r>
              <w:rPr>
                <w:rFonts w:hint="eastAsia" w:ascii="宋体" w:hAnsi="宋体" w:eastAsia="宋体" w:cs="宋体"/>
                <w:sz w:val="24"/>
                <w:szCs w:val="24"/>
              </w:rPr>
              <w:t>﹞</w:t>
            </w:r>
            <w:r>
              <w:rPr>
                <w:rFonts w:hint="eastAsia"/>
                <w:sz w:val="24"/>
                <w:szCs w:val="24"/>
              </w:rPr>
              <w:t>11号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2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总投资（万元）</w:t>
            </w:r>
          </w:p>
        </w:tc>
        <w:tc>
          <w:tcPr>
            <w:tcW w:w="2097" w:type="dxa"/>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200</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环保投资（万元）</w:t>
            </w:r>
          </w:p>
        </w:tc>
        <w:tc>
          <w:tcPr>
            <w:tcW w:w="2809" w:type="dxa"/>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highlight w:val="none"/>
              </w:rPr>
            </w:pPr>
            <w:r>
              <w:rPr>
                <w:rFonts w:hint="eastAsia"/>
                <w:sz w:val="24"/>
                <w:szCs w:val="24"/>
                <w:highlight w:val="none"/>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2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环保投资占比（%）</w:t>
            </w:r>
          </w:p>
        </w:tc>
        <w:tc>
          <w:tcPr>
            <w:tcW w:w="2097" w:type="dxa"/>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b/>
                <w:bCs/>
                <w:sz w:val="24"/>
                <w:szCs w:val="24"/>
                <w:highlight w:val="none"/>
              </w:rPr>
            </w:pPr>
            <w:r>
              <w:rPr>
                <w:rFonts w:hint="eastAsia"/>
                <w:sz w:val="24"/>
                <w:szCs w:val="24"/>
                <w:highlight w:val="none"/>
                <w:lang w:val="en-US" w:eastAsia="zh-CN"/>
              </w:rPr>
              <w:t>8.5</w:t>
            </w:r>
            <w:r>
              <w:rPr>
                <w:rFonts w:hint="eastAsia"/>
                <w:sz w:val="24"/>
                <w:szCs w:val="24"/>
                <w:highlight w:val="none"/>
              </w:rPr>
              <w:t>%</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施工工期</w:t>
            </w:r>
          </w:p>
        </w:tc>
        <w:tc>
          <w:tcPr>
            <w:tcW w:w="2809" w:type="dxa"/>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2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是否开工建设</w:t>
            </w:r>
          </w:p>
        </w:tc>
        <w:tc>
          <w:tcPr>
            <w:tcW w:w="2097" w:type="dxa"/>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4"/>
                <w:szCs w:val="24"/>
                <w:highlight w:val="none"/>
              </w:rPr>
            </w:pPr>
            <w:r>
              <w:rPr>
                <w:rFonts w:hint="eastAsia" w:ascii="Times New Roman" w:hAnsi="Times New Roman" w:cs="Times New Roman" w:eastAsiaTheme="minorEastAsia"/>
                <w:sz w:val="24"/>
                <w:szCs w:val="24"/>
                <w:highlight w:val="none"/>
                <w:lang w:eastAsia="zh-CN"/>
              </w:rPr>
              <w:sym w:font="Wingdings 2" w:char="0052"/>
            </w:r>
            <w:r>
              <w:rPr>
                <w:rFonts w:hint="default" w:ascii="Times New Roman" w:hAnsi="Times New Roman" w:cs="Times New Roman" w:eastAsiaTheme="minorEastAsia"/>
                <w:sz w:val="24"/>
                <w:szCs w:val="24"/>
                <w:highlight w:val="none"/>
              </w:rPr>
              <w:t>否</w:t>
            </w:r>
          </w:p>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eastAsiaTheme="minorEastAsia"/>
                <w:sz w:val="24"/>
                <w:szCs w:val="24"/>
                <w:highlight w:val="none"/>
                <w:lang w:eastAsia="zh-CN"/>
              </w:rPr>
              <w:sym w:font="Wingdings 2" w:char="00A3"/>
            </w:r>
            <w:r>
              <w:rPr>
                <w:rFonts w:hint="default" w:ascii="Times New Roman" w:hAnsi="Times New Roman" w:cs="Times New Roman" w:eastAsiaTheme="minorEastAsia"/>
                <w:sz w:val="24"/>
                <w:szCs w:val="24"/>
                <w:highlight w:val="none"/>
              </w:rPr>
              <w:t>是：</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用地（用海）</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面积（m</w:t>
            </w:r>
            <w:r>
              <w:rPr>
                <w:rFonts w:hint="default" w:ascii="Times New Roman" w:hAnsi="Times New Roman" w:cs="Times New Roman" w:eastAsiaTheme="minorEastAsia"/>
                <w:sz w:val="24"/>
                <w:szCs w:val="24"/>
                <w:highlight w:val="none"/>
                <w:vertAlign w:val="superscript"/>
              </w:rPr>
              <w:t>2</w:t>
            </w:r>
            <w:r>
              <w:rPr>
                <w:rFonts w:hint="default" w:ascii="Times New Roman" w:hAnsi="Times New Roman" w:cs="Times New Roman" w:eastAsiaTheme="minorEastAsia"/>
                <w:sz w:val="24"/>
                <w:szCs w:val="24"/>
                <w:highlight w:val="none"/>
              </w:rPr>
              <w:t>）</w:t>
            </w:r>
          </w:p>
        </w:tc>
        <w:tc>
          <w:tcPr>
            <w:tcW w:w="2809" w:type="dxa"/>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15</w:t>
            </w:r>
            <w:r>
              <w:rPr>
                <w:rFonts w:hint="eastAsia" w:ascii="Times New Roman" w:hAnsi="Times New Roman" w:cs="Times New Roman" w:eastAsiaTheme="minorEastAsia"/>
                <w:sz w:val="24"/>
                <w:szCs w:val="24"/>
                <w:highlight w:val="none"/>
                <w:lang w:val="en-US" w:eastAsia="zh-CN"/>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4"/>
                <w:szCs w:val="24"/>
                <w:highlight w:val="none"/>
              </w:rPr>
            </w:pPr>
            <w:r>
              <w:rPr>
                <w:rFonts w:hint="default" w:ascii="Times New Roman" w:hAnsi="Times New Roman" w:cs="Times New Roman" w:eastAsiaTheme="minorEastAsia"/>
                <w:kern w:val="0"/>
                <w:sz w:val="24"/>
                <w:szCs w:val="24"/>
                <w:highlight w:val="none"/>
              </w:rPr>
              <w:t>专项评价设置情况</w:t>
            </w:r>
          </w:p>
        </w:tc>
        <w:tc>
          <w:tcPr>
            <w:tcW w:w="7118" w:type="dxa"/>
            <w:gridSpan w:val="3"/>
            <w:noWrap w:val="0"/>
            <w:vAlign w:val="center"/>
          </w:tcPr>
          <w:p>
            <w:pPr>
              <w:bidi w:val="0"/>
              <w:rPr>
                <w:rFonts w:hint="eastAsia"/>
                <w:highlight w:val="none"/>
                <w:lang w:eastAsia="zh-CN"/>
              </w:rPr>
            </w:pPr>
            <w:r>
              <w:rPr>
                <w:rFonts w:hint="eastAsia"/>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4"/>
                <w:szCs w:val="24"/>
                <w:highlight w:val="none"/>
              </w:rPr>
            </w:pPr>
            <w:r>
              <w:rPr>
                <w:rFonts w:hint="default" w:ascii="Times New Roman" w:hAnsi="Times New Roman" w:cs="Times New Roman" w:eastAsiaTheme="minorEastAsia"/>
                <w:sz w:val="24"/>
                <w:szCs w:val="24"/>
                <w:highlight w:val="none"/>
              </w:rPr>
              <w:t>规划情况</w:t>
            </w:r>
          </w:p>
        </w:tc>
        <w:tc>
          <w:tcPr>
            <w:tcW w:w="7118" w:type="dxa"/>
            <w:gridSpan w:val="3"/>
            <w:noWrap w:val="0"/>
            <w:vAlign w:val="center"/>
          </w:tcPr>
          <w:p>
            <w:pPr>
              <w:bidi w:val="0"/>
              <w:rPr>
                <w:rFonts w:hint="eastAsia"/>
                <w:highlight w:val="none"/>
                <w:lang w:eastAsia="zh-CN"/>
              </w:rPr>
            </w:pPr>
            <w:r>
              <w:rPr>
                <w:rFonts w:hint="eastAsia"/>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4"/>
                <w:szCs w:val="24"/>
                <w:highlight w:val="none"/>
              </w:rPr>
            </w:pPr>
            <w:r>
              <w:rPr>
                <w:rFonts w:hint="default" w:ascii="Times New Roman" w:hAnsi="Times New Roman" w:cs="Times New Roman" w:eastAsiaTheme="minorEastAsia"/>
                <w:kern w:val="0"/>
                <w:sz w:val="24"/>
                <w:szCs w:val="24"/>
                <w:highlight w:val="none"/>
              </w:rPr>
              <w:t>规划环境影响评价情况</w:t>
            </w:r>
          </w:p>
        </w:tc>
        <w:tc>
          <w:tcPr>
            <w:tcW w:w="7118" w:type="dxa"/>
            <w:gridSpan w:val="3"/>
            <w:noWrap w:val="0"/>
            <w:vAlign w:val="center"/>
          </w:tcPr>
          <w:p>
            <w:pPr>
              <w:bidi w:val="0"/>
              <w:rPr>
                <w:rFonts w:hint="eastAsia"/>
                <w:highlight w:val="none"/>
                <w:lang w:eastAsia="zh-CN"/>
              </w:rPr>
            </w:pPr>
            <w:r>
              <w:rPr>
                <w:rFonts w:hint="eastAsia"/>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4"/>
                <w:szCs w:val="24"/>
                <w:highlight w:val="none"/>
              </w:rPr>
            </w:pPr>
            <w:r>
              <w:rPr>
                <w:rFonts w:hint="default" w:ascii="Times New Roman" w:hAnsi="Times New Roman" w:cs="Times New Roman" w:eastAsiaTheme="minorEastAsia"/>
                <w:kern w:val="0"/>
                <w:sz w:val="24"/>
                <w:szCs w:val="24"/>
                <w:highlight w:val="none"/>
              </w:rPr>
              <w:t>规划及规划环境影响评价符合性分析</w:t>
            </w:r>
          </w:p>
        </w:tc>
        <w:tc>
          <w:tcPr>
            <w:tcW w:w="7118"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kern w:val="0"/>
                <w:sz w:val="24"/>
                <w:szCs w:val="24"/>
                <w:highlight w:val="none"/>
              </w:rPr>
            </w:pPr>
            <w:r>
              <w:rPr>
                <w:rFonts w:hint="eastAsia" w:cs="Times New Roman" w:eastAsiaTheme="minorEastAsia"/>
                <w:b w:val="0"/>
                <w:bCs w:val="0"/>
                <w:kern w:val="0"/>
                <w:sz w:val="24"/>
                <w:szCs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22" w:type="dxa"/>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其他符合性分析</w:t>
            </w:r>
          </w:p>
        </w:tc>
        <w:tc>
          <w:tcPr>
            <w:tcW w:w="7118"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cs="Times New Roman" w:eastAsiaTheme="minorEastAsia"/>
                <w:b/>
                <w:bCs/>
                <w:kern w:val="0"/>
                <w:sz w:val="24"/>
                <w:szCs w:val="24"/>
                <w:highlight w:val="none"/>
              </w:rPr>
            </w:pPr>
            <w:r>
              <w:rPr>
                <w:rFonts w:hint="default" w:ascii="Times New Roman" w:hAnsi="Times New Roman" w:cs="Times New Roman" w:eastAsiaTheme="minorEastAsia"/>
                <w:b/>
                <w:bCs/>
                <w:kern w:val="0"/>
                <w:sz w:val="24"/>
                <w:szCs w:val="24"/>
                <w:highlight w:val="none"/>
              </w:rPr>
              <w:t>1、产业政策符合性分析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eastAsiaTheme="minorEastAsia"/>
                <w:kern w:val="0"/>
                <w:sz w:val="24"/>
                <w:szCs w:val="24"/>
                <w:highlight w:val="none"/>
              </w:rPr>
            </w:pPr>
            <w:r>
              <w:rPr>
                <w:rFonts w:hint="eastAsia" w:cs="Times New Roman" w:eastAsiaTheme="minorEastAsia"/>
                <w:kern w:val="0"/>
                <w:sz w:val="24"/>
                <w:szCs w:val="24"/>
                <w:highlight w:val="none"/>
                <w:lang w:eastAsia="zh-CN"/>
              </w:rPr>
              <w:t>本项目生产缝纫机台板，属于胶合板制造，</w:t>
            </w:r>
            <w:r>
              <w:rPr>
                <w:rFonts w:hint="default" w:ascii="Times New Roman" w:hAnsi="Times New Roman" w:cs="Times New Roman" w:eastAsiaTheme="minorEastAsia"/>
                <w:kern w:val="0"/>
                <w:sz w:val="24"/>
                <w:szCs w:val="24"/>
                <w:highlight w:val="none"/>
              </w:rPr>
              <w:t>根据《产业结构调整指导目录（2019年本）》</w:t>
            </w:r>
            <w:r>
              <w:rPr>
                <w:rFonts w:hint="eastAsia"/>
                <w:color w:val="auto"/>
                <w:highlight w:val="none"/>
              </w:rPr>
              <w:t>及修改（2021年第49号令）</w:t>
            </w:r>
            <w:r>
              <w:rPr>
                <w:rFonts w:hint="default" w:ascii="Times New Roman" w:hAnsi="Times New Roman" w:cs="Times New Roman" w:eastAsiaTheme="minorEastAsia"/>
                <w:kern w:val="0"/>
                <w:sz w:val="24"/>
                <w:szCs w:val="24"/>
                <w:highlight w:val="none"/>
              </w:rPr>
              <w:t>，本项目不属于鼓励类、限制类和淘汰类，属于允许类项目。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eastAsiaTheme="minorEastAsia"/>
                <w:kern w:val="0"/>
                <w:sz w:val="24"/>
                <w:szCs w:val="24"/>
                <w:highlight w:val="none"/>
              </w:rPr>
            </w:pPr>
            <w:r>
              <w:rPr>
                <w:rFonts w:hint="default" w:ascii="Times New Roman" w:hAnsi="Times New Roman" w:cs="Times New Roman" w:eastAsiaTheme="minorEastAsia"/>
                <w:kern w:val="0"/>
                <w:sz w:val="24"/>
                <w:szCs w:val="24"/>
                <w:highlight w:val="none"/>
              </w:rPr>
              <w:t>本项目已于20</w:t>
            </w:r>
            <w:r>
              <w:rPr>
                <w:rFonts w:hint="eastAsia" w:cs="Times New Roman" w:eastAsiaTheme="minorEastAsia"/>
                <w:kern w:val="0"/>
                <w:sz w:val="24"/>
                <w:szCs w:val="24"/>
                <w:highlight w:val="none"/>
                <w:lang w:val="en-US" w:eastAsia="zh-CN"/>
              </w:rPr>
              <w:t>23</w:t>
            </w:r>
            <w:r>
              <w:rPr>
                <w:rFonts w:hint="default" w:ascii="Times New Roman" w:hAnsi="Times New Roman" w:cs="Times New Roman" w:eastAsiaTheme="minorEastAsia"/>
                <w:kern w:val="0"/>
                <w:sz w:val="24"/>
                <w:szCs w:val="24"/>
                <w:highlight w:val="none"/>
              </w:rPr>
              <w:t>年</w:t>
            </w:r>
            <w:r>
              <w:rPr>
                <w:rFonts w:hint="eastAsia" w:cs="Times New Roman" w:eastAsiaTheme="minorEastAsia"/>
                <w:kern w:val="0"/>
                <w:sz w:val="24"/>
                <w:szCs w:val="24"/>
                <w:highlight w:val="none"/>
                <w:lang w:val="en-US" w:eastAsia="zh-CN"/>
              </w:rPr>
              <w:t>11</w:t>
            </w:r>
            <w:r>
              <w:rPr>
                <w:rFonts w:hint="default" w:ascii="Times New Roman" w:hAnsi="Times New Roman" w:cs="Times New Roman" w:eastAsiaTheme="minorEastAsia"/>
                <w:kern w:val="0"/>
                <w:sz w:val="24"/>
                <w:szCs w:val="24"/>
                <w:highlight w:val="none"/>
              </w:rPr>
              <w:t>月</w:t>
            </w:r>
            <w:r>
              <w:rPr>
                <w:rFonts w:hint="eastAsia" w:cs="Times New Roman" w:eastAsiaTheme="minorEastAsia"/>
                <w:kern w:val="0"/>
                <w:sz w:val="24"/>
                <w:szCs w:val="24"/>
                <w:highlight w:val="none"/>
                <w:lang w:val="en-US" w:eastAsia="zh-CN"/>
              </w:rPr>
              <w:t>1</w:t>
            </w:r>
            <w:r>
              <w:rPr>
                <w:rFonts w:hint="default" w:ascii="Times New Roman" w:hAnsi="Times New Roman" w:cs="Times New Roman" w:eastAsiaTheme="minorEastAsia"/>
                <w:kern w:val="0"/>
                <w:sz w:val="24"/>
                <w:szCs w:val="24"/>
                <w:highlight w:val="none"/>
              </w:rPr>
              <w:t>日由泗县</w:t>
            </w:r>
            <w:r>
              <w:rPr>
                <w:rFonts w:hint="eastAsia" w:cs="Times New Roman" w:eastAsiaTheme="minorEastAsia"/>
                <w:kern w:val="0"/>
                <w:sz w:val="24"/>
                <w:szCs w:val="24"/>
                <w:highlight w:val="none"/>
                <w:lang w:eastAsia="zh-CN"/>
              </w:rPr>
              <w:t>经济和信息化局</w:t>
            </w:r>
            <w:r>
              <w:rPr>
                <w:rFonts w:hint="default" w:ascii="Times New Roman" w:hAnsi="Times New Roman" w:cs="Times New Roman" w:eastAsiaTheme="minorEastAsia"/>
                <w:kern w:val="0"/>
                <w:sz w:val="24"/>
                <w:szCs w:val="24"/>
                <w:highlight w:val="none"/>
              </w:rPr>
              <w:t>以泗</w:t>
            </w:r>
            <w:r>
              <w:rPr>
                <w:rFonts w:hint="eastAsia" w:cs="Times New Roman" w:eastAsiaTheme="minorEastAsia"/>
                <w:kern w:val="0"/>
                <w:sz w:val="24"/>
                <w:szCs w:val="24"/>
                <w:highlight w:val="none"/>
                <w:lang w:eastAsia="zh-CN"/>
              </w:rPr>
              <w:t>经技</w:t>
            </w:r>
            <w:r>
              <w:rPr>
                <w:rFonts w:hint="eastAsia" w:ascii="宋体" w:hAnsi="宋体" w:eastAsia="宋体" w:cs="宋体"/>
                <w:kern w:val="0"/>
                <w:sz w:val="24"/>
                <w:szCs w:val="24"/>
                <w:highlight w:val="none"/>
                <w:lang w:eastAsia="zh-CN"/>
              </w:rPr>
              <w:t>﹝</w:t>
            </w:r>
            <w:r>
              <w:rPr>
                <w:rFonts w:hint="eastAsia" w:cs="Times New Roman" w:eastAsiaTheme="minorEastAsia"/>
                <w:kern w:val="0"/>
                <w:sz w:val="24"/>
                <w:szCs w:val="24"/>
                <w:highlight w:val="none"/>
                <w:lang w:eastAsia="zh-CN"/>
              </w:rPr>
              <w:t>20</w:t>
            </w:r>
            <w:r>
              <w:rPr>
                <w:rFonts w:hint="eastAsia" w:cs="Times New Roman" w:eastAsiaTheme="minorEastAsia"/>
                <w:kern w:val="0"/>
                <w:sz w:val="24"/>
                <w:szCs w:val="24"/>
                <w:highlight w:val="none"/>
                <w:lang w:val="en-US" w:eastAsia="zh-CN"/>
              </w:rPr>
              <w:t>23</w:t>
            </w:r>
            <w:r>
              <w:rPr>
                <w:rFonts w:hint="eastAsia" w:ascii="宋体" w:hAnsi="宋体" w:eastAsia="宋体" w:cs="宋体"/>
                <w:kern w:val="0"/>
                <w:sz w:val="24"/>
                <w:szCs w:val="24"/>
                <w:highlight w:val="none"/>
                <w:lang w:eastAsia="zh-CN"/>
              </w:rPr>
              <w:t>﹞</w:t>
            </w:r>
            <w:r>
              <w:rPr>
                <w:rFonts w:hint="eastAsia" w:cs="Times New Roman" w:eastAsiaTheme="minorEastAsia"/>
                <w:kern w:val="0"/>
                <w:sz w:val="24"/>
                <w:szCs w:val="24"/>
                <w:highlight w:val="none"/>
                <w:lang w:val="en-US" w:eastAsia="zh-CN"/>
              </w:rPr>
              <w:t>11</w:t>
            </w:r>
            <w:r>
              <w:rPr>
                <w:rFonts w:hint="eastAsia" w:cs="Times New Roman" w:eastAsiaTheme="minorEastAsia"/>
                <w:kern w:val="0"/>
                <w:sz w:val="24"/>
                <w:szCs w:val="24"/>
                <w:highlight w:val="none"/>
                <w:lang w:eastAsia="zh-CN"/>
              </w:rPr>
              <w:t>号</w:t>
            </w:r>
            <w:r>
              <w:rPr>
                <w:rFonts w:hint="default" w:ascii="Times New Roman" w:hAnsi="Times New Roman" w:cs="Times New Roman" w:eastAsiaTheme="minorEastAsia"/>
                <w:kern w:val="0"/>
                <w:sz w:val="24"/>
                <w:szCs w:val="24"/>
                <w:highlight w:val="none"/>
              </w:rPr>
              <w:t>。因此，本项目的建设符合国家和地方相关产业政策要求。</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cs="Times New Roman" w:eastAsiaTheme="minorEastAsia"/>
                <w:b/>
                <w:bCs/>
                <w:kern w:val="0"/>
                <w:sz w:val="24"/>
                <w:szCs w:val="24"/>
                <w:highlight w:val="none"/>
              </w:rPr>
            </w:pPr>
            <w:r>
              <w:rPr>
                <w:rFonts w:hint="default" w:ascii="Times New Roman" w:hAnsi="Times New Roman" w:cs="Times New Roman" w:eastAsiaTheme="minorEastAsia"/>
                <w:b/>
                <w:bCs/>
                <w:kern w:val="0"/>
                <w:sz w:val="24"/>
                <w:szCs w:val="24"/>
                <w:highlight w:val="none"/>
              </w:rPr>
              <w:t>选址的符合性分析</w:t>
            </w:r>
          </w:p>
          <w:p>
            <w:pPr>
              <w:bidi w:val="0"/>
              <w:rPr>
                <w:rFonts w:hint="default" w:eastAsia="宋体"/>
                <w:highlight w:val="none"/>
                <w:lang w:val="en-US" w:eastAsia="zh-CN"/>
              </w:rPr>
            </w:pPr>
            <w:r>
              <w:rPr>
                <w:rFonts w:hint="eastAsia"/>
                <w:highlight w:val="none"/>
                <w:lang w:eastAsia="zh-CN"/>
              </w:rPr>
              <w:t>本</w:t>
            </w:r>
            <w:r>
              <w:rPr>
                <w:rFonts w:hint="default"/>
                <w:highlight w:val="none"/>
              </w:rPr>
              <w:t>项目位于安徽省宿州市泗县大庄镇工业园区，租赁安徽省泗县友前木片餐盒有限公司一间建筑面积为</w:t>
            </w:r>
            <w:r>
              <w:rPr>
                <w:rFonts w:hint="eastAsia"/>
                <w:highlight w:val="none"/>
                <w:lang w:val="en-US" w:eastAsia="zh-CN"/>
              </w:rPr>
              <w:t>15</w:t>
            </w:r>
            <w:r>
              <w:rPr>
                <w:rFonts w:hint="default"/>
                <w:highlight w:val="none"/>
              </w:rPr>
              <w:t>00m</w:t>
            </w:r>
            <w:r>
              <w:rPr>
                <w:rFonts w:hint="default"/>
                <w:highlight w:val="none"/>
                <w:vertAlign w:val="superscript"/>
              </w:rPr>
              <w:t>2</w:t>
            </w:r>
            <w:r>
              <w:rPr>
                <w:rFonts w:hint="default"/>
                <w:highlight w:val="none"/>
              </w:rPr>
              <w:t>的现有厂房建设</w:t>
            </w:r>
            <w:r>
              <w:rPr>
                <w:rFonts w:hint="eastAsia"/>
                <w:highlight w:val="none"/>
                <w:lang w:eastAsia="zh-CN"/>
              </w:rPr>
              <w:t>“</w:t>
            </w:r>
            <w:r>
              <w:rPr>
                <w:rFonts w:hint="default"/>
                <w:highlight w:val="none"/>
              </w:rPr>
              <w:t>年产10万套缝纫机台板智能喷漆生产线项目</w:t>
            </w:r>
            <w:r>
              <w:rPr>
                <w:rFonts w:hint="eastAsia"/>
                <w:highlight w:val="none"/>
                <w:lang w:eastAsia="zh-CN"/>
              </w:rPr>
              <w:t>”</w:t>
            </w:r>
            <w:r>
              <w:rPr>
                <w:rFonts w:hint="default"/>
                <w:highlight w:val="none"/>
              </w:rPr>
              <w:t>，</w:t>
            </w:r>
            <w:r>
              <w:rPr>
                <w:rFonts w:hint="eastAsia"/>
                <w:highlight w:val="none"/>
                <w:lang w:eastAsia="zh-CN"/>
              </w:rPr>
              <w:t>项目东侧为安徽乐儿达婴童用品有限公司（生产玩具童车厂），南侧为空置厂房，西侧为</w:t>
            </w:r>
            <w:r>
              <w:rPr>
                <w:rFonts w:hint="eastAsia"/>
                <w:highlight w:val="none"/>
                <w:lang w:val="en-US" w:eastAsia="zh-CN"/>
              </w:rPr>
              <w:t>G104，北侧为泗县康中木业有限公司。厂界周边饮用水源、自然保护区等环境特殊敏感区。根据泗县大庄镇人民政府出具的证明，本项目所在地为工业用地，符合用地规划。根据泗县国土空间规划“三区三线”成果图，本项目位置位于城镇开发边界内，详见附件6。</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cs="Times New Roman" w:eastAsiaTheme="minorEastAsia"/>
                <w:b/>
                <w:bCs/>
                <w:kern w:val="0"/>
                <w:sz w:val="24"/>
                <w:szCs w:val="24"/>
                <w:highlight w:val="none"/>
              </w:rPr>
            </w:pPr>
            <w:r>
              <w:rPr>
                <w:rFonts w:hint="eastAsia" w:cs="Times New Roman" w:eastAsiaTheme="minorEastAsia"/>
                <w:b/>
                <w:bCs/>
                <w:kern w:val="0"/>
                <w:sz w:val="24"/>
                <w:szCs w:val="24"/>
                <w:highlight w:val="none"/>
                <w:lang w:val="en-US" w:eastAsia="zh-CN"/>
              </w:rPr>
              <w:t>“</w:t>
            </w:r>
            <w:r>
              <w:rPr>
                <w:rFonts w:hint="eastAsia" w:ascii="Times New Roman" w:hAnsi="Times New Roman" w:cs="Times New Roman" w:eastAsiaTheme="minorEastAsia"/>
                <w:b/>
                <w:bCs/>
                <w:kern w:val="0"/>
                <w:sz w:val="24"/>
                <w:szCs w:val="24"/>
                <w:highlight w:val="none"/>
                <w:lang w:val="en-US" w:eastAsia="zh-CN"/>
              </w:rPr>
              <w:t>三线一单</w:t>
            </w:r>
            <w:r>
              <w:rPr>
                <w:rFonts w:hint="eastAsia" w:cs="Times New Roman" w:eastAsiaTheme="minorEastAsia"/>
                <w:b/>
                <w:bCs/>
                <w:kern w:val="0"/>
                <w:sz w:val="24"/>
                <w:szCs w:val="24"/>
                <w:highlight w:val="none"/>
                <w:lang w:val="en-US" w:eastAsia="zh-CN"/>
              </w:rPr>
              <w:t>”</w:t>
            </w:r>
            <w:r>
              <w:rPr>
                <w:rFonts w:hint="eastAsia" w:ascii="Times New Roman" w:hAnsi="Times New Roman" w:cs="Times New Roman" w:eastAsiaTheme="minorEastAsia"/>
                <w:b/>
                <w:bCs/>
                <w:kern w:val="0"/>
                <w:sz w:val="24"/>
                <w:szCs w:val="24"/>
                <w:highlight w:val="none"/>
                <w:lang w:val="en-US" w:eastAsia="zh-CN"/>
              </w:rPr>
              <w:t>符合性分析：</w:t>
            </w:r>
          </w:p>
          <w:p>
            <w:pPr>
              <w:bidi w:val="0"/>
              <w:rPr>
                <w:rFonts w:hint="default"/>
                <w:highlight w:val="none"/>
              </w:rPr>
            </w:pPr>
            <w:r>
              <w:rPr>
                <w:rFonts w:hint="default"/>
                <w:highlight w:val="none"/>
              </w:rPr>
              <w:t>（1）生态保护红线</w:t>
            </w:r>
          </w:p>
          <w:p>
            <w:pPr>
              <w:bidi w:val="0"/>
              <w:rPr>
                <w:rFonts w:hint="default"/>
                <w:highlight w:val="none"/>
              </w:rPr>
            </w:pPr>
            <w:r>
              <w:rPr>
                <w:rFonts w:hint="eastAsia"/>
                <w:highlight w:val="none"/>
              </w:rPr>
              <w:t>根据《安徽省人民政府关于发布安徽省生态保护红线的通知》（皖政秘【2018】120号）和《安徽省生态保护红线划定技术指南》，宿州市辖区生态红线主要位于皇藏峪及周边；其中生物多样性维护生态保护红线位于砀山县、萧县和宿州市埇桥区的北部；水土保持生态红线区域位于宿州市的东南</w:t>
            </w:r>
            <w:r>
              <w:rPr>
                <w:rFonts w:hint="eastAsia"/>
                <w:highlight w:val="none"/>
                <w:lang w:eastAsia="zh-CN"/>
              </w:rPr>
              <w:t>。</w:t>
            </w:r>
            <w:r>
              <w:rPr>
                <w:rFonts w:hint="default"/>
                <w:highlight w:val="none"/>
              </w:rPr>
              <w:t>本项目位于安徽省宿州市泗县大庄镇工业园区，不在生态红线范围内，详见附图</w:t>
            </w:r>
            <w:r>
              <w:rPr>
                <w:rFonts w:hint="eastAsia"/>
                <w:highlight w:val="none"/>
                <w:lang w:val="en-US" w:eastAsia="zh-CN"/>
              </w:rPr>
              <w:t>7</w:t>
            </w:r>
            <w:r>
              <w:rPr>
                <w:rFonts w:hint="default"/>
                <w:highlight w:val="none"/>
              </w:rPr>
              <w:t>。因此，本项目的建设符合宿州市生态保护红线的要求。</w:t>
            </w:r>
          </w:p>
          <w:p>
            <w:pPr>
              <w:bidi w:val="0"/>
              <w:rPr>
                <w:rFonts w:hint="default"/>
                <w:highlight w:val="none"/>
              </w:rPr>
            </w:pPr>
            <w:r>
              <w:rPr>
                <w:rFonts w:hint="default"/>
                <w:highlight w:val="none"/>
              </w:rPr>
              <w:t>（2）环境质量底线</w:t>
            </w:r>
          </w:p>
          <w:p>
            <w:pPr>
              <w:bidi w:val="0"/>
              <w:rPr>
                <w:rFonts w:hint="eastAsia"/>
                <w:highlight w:val="none"/>
                <w:lang w:eastAsia="zh-CN"/>
              </w:rPr>
            </w:pPr>
            <w:r>
              <w:rPr>
                <w:rFonts w:hint="default"/>
                <w:highlight w:val="none"/>
              </w:rPr>
              <w:t>项目区域大气环境质量不满足《环境空气质量标准》（GB3095-2012）二级标准，为改善环境空气质量情况，宿州市通过优化产业结构和布局，严格控制高耗能、高污染项目建设，对</w:t>
            </w:r>
            <w:r>
              <w:rPr>
                <w:rFonts w:hint="eastAsia"/>
                <w:highlight w:val="none"/>
                <w:lang w:eastAsia="zh-CN"/>
              </w:rPr>
              <w:t>“</w:t>
            </w:r>
            <w:r>
              <w:rPr>
                <w:rFonts w:hint="default"/>
                <w:highlight w:val="none"/>
              </w:rPr>
              <w:t>散乱污</w:t>
            </w:r>
            <w:r>
              <w:rPr>
                <w:rFonts w:hint="eastAsia"/>
                <w:highlight w:val="none"/>
                <w:lang w:eastAsia="zh-CN"/>
              </w:rPr>
              <w:t>”</w:t>
            </w:r>
            <w:r>
              <w:rPr>
                <w:rFonts w:hint="default"/>
                <w:highlight w:val="none"/>
              </w:rPr>
              <w:t>企业进行综合整治，加强扬尘综合整治，严格控制污染物新增排放量，大力发展清洁能源，加强区域工业废气的收集和处理，大力淘汰老旧车辆，加强区域联防联控，以及严格要求和管理企业，减少移动污染源的排放，严格施工和道路扬尘监管，则本地区的环境空气质量将逐渐得到改善。声环境质量可以满足区域声环境质量标准《声环境质量标准》</w:t>
            </w:r>
            <w:r>
              <w:rPr>
                <w:rFonts w:hint="eastAsia"/>
                <w:highlight w:val="none"/>
                <w:lang w:eastAsia="zh-CN"/>
              </w:rPr>
              <w:t>（</w:t>
            </w:r>
            <w:r>
              <w:rPr>
                <w:rFonts w:hint="default"/>
                <w:highlight w:val="none"/>
              </w:rPr>
              <w:t>GB3096-2008</w:t>
            </w:r>
            <w:r>
              <w:rPr>
                <w:rFonts w:hint="eastAsia"/>
                <w:highlight w:val="none"/>
                <w:lang w:eastAsia="zh-CN"/>
              </w:rPr>
              <w:t>）</w:t>
            </w:r>
            <w:r>
              <w:rPr>
                <w:rFonts w:hint="default"/>
                <w:highlight w:val="none"/>
              </w:rPr>
              <w:t>中3类标准。</w:t>
            </w:r>
            <w:r>
              <w:rPr>
                <w:rFonts w:hint="eastAsia"/>
                <w:highlight w:val="none"/>
                <w:lang w:eastAsia="zh-CN"/>
              </w:rPr>
              <w:t>附近</w:t>
            </w:r>
            <w:r>
              <w:rPr>
                <w:rFonts w:hint="default"/>
                <w:highlight w:val="none"/>
              </w:rPr>
              <w:t>水体为杨庄沟满足《地表水环境质量标准》（GB3838-2002）中Ⅳ类标准水质要求。固体废物分类收集，分类处置，均可得到合理处置。本项目产生的污染物均得到合理处置，不会触碰区域环境质量底线</w:t>
            </w:r>
            <w:r>
              <w:rPr>
                <w:rFonts w:hint="eastAsia"/>
                <w:highlight w:val="none"/>
                <w:lang w:eastAsia="zh-CN"/>
              </w:rPr>
              <w:t>。</w:t>
            </w:r>
          </w:p>
          <w:p>
            <w:pPr>
              <w:bidi w:val="0"/>
              <w:rPr>
                <w:rFonts w:hint="default"/>
                <w:highlight w:val="none"/>
              </w:rPr>
            </w:pPr>
            <w:r>
              <w:rPr>
                <w:rFonts w:hint="default"/>
                <w:highlight w:val="none"/>
              </w:rPr>
              <w:t>（3）资源利用上线</w:t>
            </w:r>
          </w:p>
          <w:p>
            <w:pPr>
              <w:bidi w:val="0"/>
              <w:rPr>
                <w:rFonts w:hint="eastAsia"/>
                <w:highlight w:val="none"/>
                <w:lang w:eastAsia="zh-CN"/>
              </w:rPr>
            </w:pPr>
            <w:r>
              <w:rPr>
                <w:rFonts w:hint="default"/>
                <w:highlight w:val="none"/>
              </w:rPr>
              <w:t>本项目所在地不属于资源、能源紧缺区域，且本项目用地性质为工业用地。从资源角度，本项目的建设充分利用了现有土地资源，减少了土地资源的浪费。从能源角度，本项目消耗能源主要为电、水，不消耗煤炭、天然气等资源，不突破当地资源利用上限要求</w:t>
            </w:r>
            <w:r>
              <w:rPr>
                <w:rFonts w:hint="eastAsia"/>
                <w:highlight w:val="none"/>
                <w:lang w:eastAsia="zh-CN"/>
              </w:rPr>
              <w:t>。</w:t>
            </w:r>
          </w:p>
          <w:p>
            <w:pPr>
              <w:bidi w:val="0"/>
              <w:rPr>
                <w:rFonts w:hint="default"/>
                <w:highlight w:val="none"/>
              </w:rPr>
            </w:pPr>
            <w:r>
              <w:rPr>
                <w:rFonts w:hint="default"/>
                <w:highlight w:val="none"/>
              </w:rPr>
              <w:t>（4）依据环境准入负面清单</w:t>
            </w:r>
          </w:p>
          <w:p>
            <w:pPr>
              <w:pStyle w:val="24"/>
              <w:bidi w:val="0"/>
              <w:rPr>
                <w:rFonts w:hint="default"/>
                <w:highlight w:val="none"/>
              </w:rPr>
            </w:pPr>
            <w:r>
              <w:rPr>
                <w:rFonts w:hint="default"/>
                <w:highlight w:val="none"/>
              </w:rPr>
              <w:t>表1-</w:t>
            </w:r>
            <w:r>
              <w:rPr>
                <w:rFonts w:hint="eastAsia"/>
                <w:highlight w:val="none"/>
                <w:lang w:val="en-US" w:eastAsia="zh-CN"/>
              </w:rPr>
              <w:t>1</w:t>
            </w:r>
            <w:r>
              <w:rPr>
                <w:rFonts w:hint="default"/>
                <w:highlight w:val="none"/>
              </w:rPr>
              <w:t xml:space="preserve"> </w:t>
            </w:r>
            <w:r>
              <w:rPr>
                <w:rFonts w:hint="eastAsia"/>
                <w:highlight w:val="none"/>
                <w:lang w:val="en-US" w:eastAsia="zh-CN"/>
              </w:rPr>
              <w:t xml:space="preserve"> </w:t>
            </w:r>
            <w:r>
              <w:rPr>
                <w:rFonts w:hint="default"/>
                <w:highlight w:val="none"/>
              </w:rPr>
              <w:t>环境准入负面清单</w:t>
            </w:r>
          </w:p>
          <w:tbl>
            <w:tblPr>
              <w:tblStyle w:val="21"/>
              <w:tblW w:w="6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844"/>
              <w:gridCol w:w="2355"/>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64" w:type="dxa"/>
                  <w:vAlign w:val="center"/>
                </w:tcPr>
                <w:p>
                  <w:pPr>
                    <w:pStyle w:val="25"/>
                    <w:bidi w:val="0"/>
                    <w:rPr>
                      <w:rFonts w:hint="default"/>
                      <w:highlight w:val="none"/>
                      <w:lang w:eastAsia="zh-CN"/>
                    </w:rPr>
                  </w:pPr>
                  <w:r>
                    <w:rPr>
                      <w:rFonts w:hint="default"/>
                      <w:highlight w:val="none"/>
                      <w:lang w:eastAsia="zh-CN"/>
                    </w:rPr>
                    <w:t>序号</w:t>
                  </w:r>
                </w:p>
              </w:tc>
              <w:tc>
                <w:tcPr>
                  <w:tcW w:w="2844" w:type="dxa"/>
                  <w:vAlign w:val="center"/>
                </w:tcPr>
                <w:p>
                  <w:pPr>
                    <w:pStyle w:val="25"/>
                    <w:bidi w:val="0"/>
                    <w:rPr>
                      <w:rFonts w:hint="default"/>
                      <w:highlight w:val="none"/>
                      <w:lang w:eastAsia="zh-CN"/>
                    </w:rPr>
                  </w:pPr>
                  <w:r>
                    <w:rPr>
                      <w:rFonts w:hint="default"/>
                      <w:highlight w:val="none"/>
                      <w:lang w:eastAsia="zh-CN"/>
                    </w:rPr>
                    <w:t>内容</w:t>
                  </w:r>
                </w:p>
              </w:tc>
              <w:tc>
                <w:tcPr>
                  <w:tcW w:w="2355" w:type="dxa"/>
                  <w:vAlign w:val="center"/>
                </w:tcPr>
                <w:p>
                  <w:pPr>
                    <w:pStyle w:val="25"/>
                    <w:bidi w:val="0"/>
                    <w:rPr>
                      <w:rFonts w:hint="default"/>
                      <w:highlight w:val="none"/>
                      <w:lang w:eastAsia="zh-CN"/>
                    </w:rPr>
                  </w:pPr>
                  <w:r>
                    <w:rPr>
                      <w:rFonts w:hint="default"/>
                      <w:highlight w:val="none"/>
                      <w:lang w:eastAsia="zh-CN"/>
                    </w:rPr>
                    <w:t>项目情况</w:t>
                  </w:r>
                </w:p>
              </w:tc>
              <w:tc>
                <w:tcPr>
                  <w:tcW w:w="875" w:type="dxa"/>
                  <w:vAlign w:val="center"/>
                </w:tcPr>
                <w:p>
                  <w:pPr>
                    <w:pStyle w:val="25"/>
                    <w:bidi w:val="0"/>
                    <w:rPr>
                      <w:rFonts w:hint="default"/>
                      <w:highlight w:val="none"/>
                      <w:lang w:eastAsia="zh-CN"/>
                    </w:rPr>
                  </w:pPr>
                  <w:r>
                    <w:rPr>
                      <w:rFonts w:hint="default"/>
                      <w:highlight w:val="none"/>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664" w:type="dxa"/>
                  <w:vAlign w:val="center"/>
                </w:tcPr>
                <w:p>
                  <w:pPr>
                    <w:pStyle w:val="25"/>
                    <w:bidi w:val="0"/>
                    <w:rPr>
                      <w:rFonts w:hint="default"/>
                      <w:highlight w:val="none"/>
                      <w:lang w:val="en-US" w:eastAsia="zh-CN"/>
                    </w:rPr>
                  </w:pPr>
                  <w:r>
                    <w:rPr>
                      <w:rFonts w:hint="default"/>
                      <w:highlight w:val="none"/>
                      <w:lang w:val="en-US" w:eastAsia="zh-CN"/>
                    </w:rPr>
                    <w:t>1</w:t>
                  </w:r>
                </w:p>
              </w:tc>
              <w:tc>
                <w:tcPr>
                  <w:tcW w:w="2844" w:type="dxa"/>
                  <w:vAlign w:val="center"/>
                </w:tcPr>
                <w:p>
                  <w:pPr>
                    <w:pStyle w:val="25"/>
                    <w:bidi w:val="0"/>
                    <w:rPr>
                      <w:rFonts w:hint="default"/>
                      <w:highlight w:val="none"/>
                    </w:rPr>
                  </w:pPr>
                  <w:r>
                    <w:rPr>
                      <w:rFonts w:hint="default"/>
                      <w:highlight w:val="none"/>
                    </w:rPr>
                    <w:t>引进项目必须符合国家的产业技术政策，其中属于国家、安徽省的有关政策，《产业结构调整指导目录（2019 年本）》中淘汰类项目禁止进</w:t>
                  </w:r>
                </w:p>
              </w:tc>
              <w:tc>
                <w:tcPr>
                  <w:tcW w:w="2355" w:type="dxa"/>
                  <w:vAlign w:val="center"/>
                </w:tcPr>
                <w:p>
                  <w:pPr>
                    <w:pStyle w:val="25"/>
                    <w:bidi w:val="0"/>
                    <w:rPr>
                      <w:rFonts w:hint="default"/>
                      <w:highlight w:val="none"/>
                    </w:rPr>
                  </w:pPr>
                  <w:r>
                    <w:rPr>
                      <w:rFonts w:hint="default"/>
                      <w:highlight w:val="none"/>
                    </w:rPr>
                    <w:t>本项目不属于《产业结构调整指导目录（2019 年本）》</w:t>
                  </w:r>
                  <w:r>
                    <w:rPr>
                      <w:rFonts w:hint="eastAsia"/>
                      <w:color w:val="auto"/>
                      <w:highlight w:val="none"/>
                    </w:rPr>
                    <w:t>及修改（2021年第49号令）</w:t>
                  </w:r>
                  <w:r>
                    <w:rPr>
                      <w:rFonts w:hint="default"/>
                      <w:highlight w:val="none"/>
                    </w:rPr>
                    <w:t>中淘汰类项目，为允许类</w:t>
                  </w:r>
                </w:p>
              </w:tc>
              <w:tc>
                <w:tcPr>
                  <w:tcW w:w="875" w:type="dxa"/>
                  <w:vAlign w:val="center"/>
                </w:tcPr>
                <w:p>
                  <w:pPr>
                    <w:pStyle w:val="25"/>
                    <w:bidi w:val="0"/>
                    <w:rPr>
                      <w:rFonts w:hint="default"/>
                      <w:highlight w:val="none"/>
                      <w:lang w:eastAsia="zh-CN"/>
                    </w:rPr>
                  </w:pPr>
                  <w:r>
                    <w:rPr>
                      <w:rFonts w:hint="default"/>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4" w:type="dxa"/>
                  <w:vAlign w:val="center"/>
                </w:tcPr>
                <w:p>
                  <w:pPr>
                    <w:pStyle w:val="25"/>
                    <w:bidi w:val="0"/>
                    <w:rPr>
                      <w:rFonts w:hint="default"/>
                      <w:highlight w:val="none"/>
                      <w:lang w:val="en-US" w:eastAsia="zh-CN"/>
                    </w:rPr>
                  </w:pPr>
                  <w:r>
                    <w:rPr>
                      <w:rFonts w:hint="default"/>
                      <w:highlight w:val="none"/>
                      <w:lang w:val="en-US" w:eastAsia="zh-CN"/>
                    </w:rPr>
                    <w:t>2</w:t>
                  </w:r>
                </w:p>
              </w:tc>
              <w:tc>
                <w:tcPr>
                  <w:tcW w:w="2844" w:type="dxa"/>
                  <w:vAlign w:val="center"/>
                </w:tcPr>
                <w:p>
                  <w:pPr>
                    <w:pStyle w:val="25"/>
                    <w:bidi w:val="0"/>
                    <w:rPr>
                      <w:rFonts w:hint="default"/>
                      <w:highlight w:val="none"/>
                    </w:rPr>
                  </w:pPr>
                  <w:r>
                    <w:rPr>
                      <w:rFonts w:hint="default"/>
                      <w:highlight w:val="none"/>
                    </w:rPr>
                    <w:t>禁止进入规模效益差、能源资源消耗大、环境影响严重的企业</w:t>
                  </w:r>
                </w:p>
              </w:tc>
              <w:tc>
                <w:tcPr>
                  <w:tcW w:w="2355" w:type="dxa"/>
                  <w:vAlign w:val="center"/>
                </w:tcPr>
                <w:p>
                  <w:pPr>
                    <w:pStyle w:val="25"/>
                    <w:bidi w:val="0"/>
                    <w:rPr>
                      <w:rFonts w:hint="default"/>
                      <w:highlight w:val="none"/>
                    </w:rPr>
                  </w:pPr>
                  <w:r>
                    <w:rPr>
                      <w:rFonts w:hint="default"/>
                      <w:highlight w:val="none"/>
                    </w:rPr>
                    <w:t>本项目不属于规模效益差、能源资源消耗大、环境影响严重的企业</w:t>
                  </w:r>
                </w:p>
              </w:tc>
              <w:tc>
                <w:tcPr>
                  <w:tcW w:w="875" w:type="dxa"/>
                  <w:vAlign w:val="center"/>
                </w:tcPr>
                <w:p>
                  <w:pPr>
                    <w:pStyle w:val="25"/>
                    <w:bidi w:val="0"/>
                    <w:rPr>
                      <w:rFonts w:hint="default"/>
                      <w:highlight w:val="none"/>
                      <w:lang w:eastAsia="zh-CN"/>
                    </w:rPr>
                  </w:pPr>
                  <w:r>
                    <w:rPr>
                      <w:rFonts w:hint="default"/>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664" w:type="dxa"/>
                  <w:vAlign w:val="center"/>
                </w:tcPr>
                <w:p>
                  <w:pPr>
                    <w:pStyle w:val="25"/>
                    <w:bidi w:val="0"/>
                    <w:rPr>
                      <w:rFonts w:hint="default"/>
                      <w:highlight w:val="none"/>
                      <w:lang w:val="en-US" w:eastAsia="zh-CN"/>
                    </w:rPr>
                  </w:pPr>
                  <w:r>
                    <w:rPr>
                      <w:rFonts w:hint="default"/>
                      <w:highlight w:val="none"/>
                      <w:lang w:val="en-US" w:eastAsia="zh-CN"/>
                    </w:rPr>
                    <w:t>3</w:t>
                  </w:r>
                </w:p>
              </w:tc>
              <w:tc>
                <w:tcPr>
                  <w:tcW w:w="2844" w:type="dxa"/>
                  <w:vAlign w:val="center"/>
                </w:tcPr>
                <w:p>
                  <w:pPr>
                    <w:pStyle w:val="25"/>
                    <w:bidi w:val="0"/>
                    <w:rPr>
                      <w:rFonts w:hint="default"/>
                      <w:highlight w:val="none"/>
                    </w:rPr>
                  </w:pPr>
                  <w:r>
                    <w:rPr>
                      <w:rFonts w:hint="default"/>
                      <w:highlight w:val="none"/>
                    </w:rPr>
                    <w:t>禁止新建化学纸浆造纸企业；止新建印染、制革、化工、电镀、酿造等污染严重的企业；禁止引入专门从事贮存、运输有毒有害危险化学品的项目</w:t>
                  </w:r>
                </w:p>
              </w:tc>
              <w:tc>
                <w:tcPr>
                  <w:tcW w:w="2355" w:type="dxa"/>
                  <w:vAlign w:val="center"/>
                </w:tcPr>
                <w:p>
                  <w:pPr>
                    <w:pStyle w:val="25"/>
                    <w:bidi w:val="0"/>
                    <w:rPr>
                      <w:rFonts w:hint="default"/>
                      <w:highlight w:val="none"/>
                    </w:rPr>
                  </w:pPr>
                  <w:r>
                    <w:rPr>
                      <w:rFonts w:hint="default"/>
                      <w:highlight w:val="none"/>
                    </w:rPr>
                    <w:t>本项目不属于上述禁止入区企业</w:t>
                  </w:r>
                </w:p>
              </w:tc>
              <w:tc>
                <w:tcPr>
                  <w:tcW w:w="875" w:type="dxa"/>
                  <w:vAlign w:val="center"/>
                </w:tcPr>
                <w:p>
                  <w:pPr>
                    <w:pStyle w:val="25"/>
                    <w:bidi w:val="0"/>
                    <w:rPr>
                      <w:rFonts w:hint="default"/>
                      <w:highlight w:val="none"/>
                      <w:lang w:eastAsia="zh-CN"/>
                    </w:rPr>
                  </w:pPr>
                  <w:r>
                    <w:rPr>
                      <w:rFonts w:hint="default"/>
                      <w:highlight w:val="none"/>
                      <w:lang w:eastAsia="zh-CN"/>
                    </w:rPr>
                    <w:t>符合</w:t>
                  </w:r>
                </w:p>
              </w:tc>
            </w:tr>
          </w:tbl>
          <w:p>
            <w:pPr>
              <w:pStyle w:val="12"/>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highlight w:val="none"/>
              </w:rPr>
            </w:pPr>
            <w:r>
              <w:rPr>
                <w:rFonts w:hint="default"/>
                <w:highlight w:val="none"/>
              </w:rPr>
              <w:t>因此，本项目不属于环境准入负面清单。</w:t>
            </w:r>
          </w:p>
          <w:p>
            <w:pPr>
              <w:bidi w:val="0"/>
              <w:rPr>
                <w:rFonts w:hint="default"/>
                <w:highlight w:val="none"/>
              </w:rPr>
            </w:pPr>
            <w:r>
              <w:rPr>
                <w:rFonts w:hint="default"/>
                <w:highlight w:val="none"/>
              </w:rPr>
              <w:t>综上分析，本项目建设符合</w:t>
            </w:r>
            <w:r>
              <w:rPr>
                <w:rFonts w:hint="eastAsia"/>
                <w:highlight w:val="none"/>
                <w:lang w:eastAsia="zh-CN"/>
              </w:rPr>
              <w:t>“</w:t>
            </w:r>
            <w:r>
              <w:rPr>
                <w:rFonts w:hint="default"/>
                <w:highlight w:val="none"/>
              </w:rPr>
              <w:t>三线一单</w:t>
            </w:r>
            <w:r>
              <w:rPr>
                <w:rFonts w:hint="eastAsia"/>
                <w:highlight w:val="none"/>
                <w:lang w:eastAsia="zh-CN"/>
              </w:rPr>
              <w:t>”</w:t>
            </w:r>
            <w:r>
              <w:rPr>
                <w:rFonts w:hint="default"/>
                <w:highlight w:val="none"/>
              </w:rPr>
              <w:t>的要求。</w:t>
            </w:r>
          </w:p>
          <w:p>
            <w:pPr>
              <w:bidi w:val="0"/>
              <w:rPr>
                <w:rFonts w:hint="eastAsia"/>
                <w:highlight w:val="none"/>
                <w:lang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lang w:val="en-US" w:eastAsia="zh-CN"/>
              </w:rPr>
              <w:t>生态环境分区管控相符性分析</w:t>
            </w:r>
          </w:p>
          <w:p>
            <w:pPr>
              <w:bidi w:val="0"/>
              <w:rPr>
                <w:rFonts w:hint="default"/>
                <w:highlight w:val="none"/>
                <w:lang w:val="en-US" w:eastAsia="zh-CN"/>
              </w:rPr>
            </w:pPr>
            <w:r>
              <w:rPr>
                <w:rFonts w:hint="default"/>
                <w:color w:val="auto"/>
                <w:highlight w:val="none"/>
                <w:lang w:val="en-US" w:eastAsia="zh-CN"/>
              </w:rPr>
              <w:t>根据《</w:t>
            </w:r>
            <w:r>
              <w:rPr>
                <w:rFonts w:hint="eastAsia"/>
                <w:color w:val="auto"/>
                <w:highlight w:val="none"/>
                <w:lang w:val="en-US" w:eastAsia="zh-CN"/>
              </w:rPr>
              <w:t>宿</w:t>
            </w:r>
            <w:r>
              <w:rPr>
                <w:rFonts w:hint="default"/>
                <w:color w:val="auto"/>
                <w:highlight w:val="none"/>
                <w:lang w:val="en-US" w:eastAsia="zh-CN"/>
              </w:rPr>
              <w:t>州市</w:t>
            </w:r>
            <w:r>
              <w:rPr>
                <w:rFonts w:hint="eastAsia"/>
                <w:color w:val="auto"/>
                <w:highlight w:val="none"/>
                <w:lang w:val="en-US" w:eastAsia="zh-CN"/>
              </w:rPr>
              <w:t>“</w:t>
            </w:r>
            <w:r>
              <w:rPr>
                <w:rFonts w:hint="default"/>
                <w:color w:val="auto"/>
                <w:highlight w:val="none"/>
                <w:lang w:val="en-US" w:eastAsia="zh-CN"/>
              </w:rPr>
              <w:t>三线一单</w:t>
            </w:r>
            <w:r>
              <w:rPr>
                <w:rFonts w:hint="eastAsia"/>
                <w:color w:val="auto"/>
                <w:highlight w:val="none"/>
                <w:lang w:val="en-US" w:eastAsia="zh-CN"/>
              </w:rPr>
              <w:t>”</w:t>
            </w:r>
            <w:r>
              <w:rPr>
                <w:rFonts w:hint="default"/>
                <w:color w:val="auto"/>
                <w:highlight w:val="none"/>
                <w:lang w:val="en-US" w:eastAsia="zh-CN"/>
              </w:rPr>
              <w:t>》</w:t>
            </w:r>
            <w:r>
              <w:rPr>
                <w:rFonts w:hint="eastAsia"/>
                <w:color w:val="auto"/>
                <w:highlight w:val="none"/>
                <w:lang w:val="en-US" w:eastAsia="zh-CN"/>
              </w:rPr>
              <w:t>，宿州</w:t>
            </w:r>
            <w:r>
              <w:rPr>
                <w:rFonts w:hint="default"/>
                <w:color w:val="auto"/>
                <w:highlight w:val="none"/>
                <w:lang w:val="en-US" w:eastAsia="zh-CN"/>
              </w:rPr>
              <w:t>市共划定重点管控单元</w:t>
            </w:r>
            <w:r>
              <w:rPr>
                <w:rFonts w:hint="eastAsia"/>
                <w:color w:val="auto"/>
                <w:highlight w:val="none"/>
                <w:lang w:val="en-US" w:eastAsia="zh-CN"/>
              </w:rPr>
              <w:t>22</w:t>
            </w:r>
            <w:r>
              <w:rPr>
                <w:rFonts w:hint="default"/>
                <w:color w:val="auto"/>
                <w:highlight w:val="none"/>
                <w:lang w:val="en-US" w:eastAsia="zh-CN"/>
              </w:rPr>
              <w:t>个，</w:t>
            </w:r>
            <w:r>
              <w:rPr>
                <w:rFonts w:hint="eastAsia"/>
                <w:color w:val="auto"/>
                <w:highlight w:val="none"/>
                <w:lang w:val="en-US" w:eastAsia="zh-CN"/>
              </w:rPr>
              <w:t>面积为1641.71平方公里，占全市国土面积的16.52%，一般管控单元5个，面积为7225.23平方公里，占全市国土面积的72.7%</w:t>
            </w:r>
            <w:r>
              <w:rPr>
                <w:rFonts w:hint="default"/>
                <w:color w:val="auto"/>
                <w:highlight w:val="none"/>
                <w:lang w:val="en-US" w:eastAsia="zh-CN"/>
              </w:rPr>
              <w:t>。</w:t>
            </w:r>
            <w:r>
              <w:rPr>
                <w:rFonts w:hint="eastAsia"/>
                <w:color w:val="auto"/>
                <w:highlight w:val="none"/>
                <w:lang w:val="en-US" w:eastAsia="zh-CN"/>
              </w:rPr>
              <w:t>本项目建设地点为大气环境重点管控区中的受体敏感重点管控区、水环境重点管控区中的城镇生活污水重点管控区以及土壤一般管控区，与宿州市分区管控要求分析内容见下表。</w:t>
            </w:r>
          </w:p>
          <w:p>
            <w:pPr>
              <w:pStyle w:val="24"/>
              <w:bidi w:val="0"/>
              <w:rPr>
                <w:rFonts w:hint="default"/>
                <w:highlight w:val="none"/>
                <w:lang w:val="en-US" w:eastAsia="zh-CN"/>
              </w:rPr>
            </w:pPr>
            <w:r>
              <w:rPr>
                <w:highlight w:val="none"/>
              </w:rPr>
              <w:t>表1</w:t>
            </w:r>
            <w:r>
              <w:rPr>
                <w:rFonts w:hint="eastAsia"/>
                <w:highlight w:val="none"/>
                <w:lang w:val="en-US" w:eastAsia="zh-CN"/>
              </w:rPr>
              <w:t>-2</w:t>
            </w:r>
            <w:r>
              <w:rPr>
                <w:rFonts w:hint="eastAsia"/>
                <w:highlight w:val="none"/>
              </w:rPr>
              <w:t xml:space="preserve">  </w:t>
            </w:r>
            <w:r>
              <w:rPr>
                <w:rFonts w:hint="eastAsia"/>
                <w:highlight w:val="none"/>
                <w:lang w:val="en-US" w:eastAsia="zh-CN"/>
              </w:rPr>
              <w:t>本项目涉及“三线一单”管控单元及管控要求</w:t>
            </w:r>
          </w:p>
          <w:tbl>
            <w:tblPr>
              <w:tblStyle w:val="21"/>
              <w:tblW w:w="6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787"/>
              <w:gridCol w:w="736"/>
              <w:gridCol w:w="4327"/>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23" w:type="dxa"/>
                  <w:vAlign w:val="center"/>
                </w:tcPr>
                <w:p>
                  <w:pPr>
                    <w:pStyle w:val="25"/>
                    <w:bidi w:val="0"/>
                    <w:rPr>
                      <w:rFonts w:hint="default"/>
                      <w:highlight w:val="none"/>
                      <w:lang w:val="en-US" w:eastAsia="zh-CN"/>
                    </w:rPr>
                  </w:pPr>
                  <w:r>
                    <w:rPr>
                      <w:rFonts w:hint="eastAsia"/>
                      <w:highlight w:val="none"/>
                      <w:lang w:val="en-US" w:eastAsia="zh-CN"/>
                    </w:rPr>
                    <w:t>序号</w:t>
                  </w:r>
                </w:p>
              </w:tc>
              <w:tc>
                <w:tcPr>
                  <w:tcW w:w="787" w:type="dxa"/>
                  <w:vAlign w:val="center"/>
                </w:tcPr>
                <w:p>
                  <w:pPr>
                    <w:pStyle w:val="25"/>
                    <w:bidi w:val="0"/>
                    <w:rPr>
                      <w:rFonts w:hint="default"/>
                      <w:highlight w:val="none"/>
                      <w:lang w:val="en-US" w:eastAsia="zh-CN"/>
                    </w:rPr>
                  </w:pPr>
                  <w:r>
                    <w:rPr>
                      <w:rFonts w:hint="eastAsia"/>
                      <w:highlight w:val="none"/>
                      <w:lang w:val="en-US" w:eastAsia="zh-CN"/>
                    </w:rPr>
                    <w:t>管控单元名称</w:t>
                  </w:r>
                </w:p>
              </w:tc>
              <w:tc>
                <w:tcPr>
                  <w:tcW w:w="5063" w:type="dxa"/>
                  <w:gridSpan w:val="2"/>
                  <w:vAlign w:val="center"/>
                </w:tcPr>
                <w:p>
                  <w:pPr>
                    <w:pStyle w:val="25"/>
                    <w:bidi w:val="0"/>
                    <w:rPr>
                      <w:rFonts w:hint="default"/>
                      <w:highlight w:val="none"/>
                      <w:lang w:val="en-US" w:eastAsia="zh-CN"/>
                    </w:rPr>
                  </w:pPr>
                  <w:r>
                    <w:rPr>
                      <w:rFonts w:hint="eastAsia"/>
                      <w:highlight w:val="none"/>
                      <w:lang w:val="en-US" w:eastAsia="zh-CN"/>
                    </w:rPr>
                    <w:t>管控要求</w:t>
                  </w:r>
                </w:p>
              </w:tc>
              <w:tc>
                <w:tcPr>
                  <w:tcW w:w="684" w:type="dxa"/>
                  <w:vAlign w:val="center"/>
                </w:tcPr>
                <w:p>
                  <w:pPr>
                    <w:pStyle w:val="25"/>
                    <w:bidi w:val="0"/>
                    <w:rPr>
                      <w:rFonts w:hint="default"/>
                      <w:highlight w:val="none"/>
                      <w:lang w:val="en-US" w:eastAsia="zh-CN"/>
                    </w:rPr>
                  </w:pPr>
                  <w:r>
                    <w:rPr>
                      <w:rFonts w:hint="eastAsia"/>
                      <w:highlight w:val="none"/>
                      <w:lang w:val="en-US" w:eastAsia="zh-CN"/>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423" w:type="dxa"/>
                  <w:vAlign w:val="center"/>
                </w:tcPr>
                <w:p>
                  <w:pPr>
                    <w:pStyle w:val="25"/>
                    <w:bidi w:val="0"/>
                    <w:rPr>
                      <w:rFonts w:hint="default"/>
                      <w:highlight w:val="none"/>
                      <w:lang w:val="en-US" w:eastAsia="zh-CN"/>
                    </w:rPr>
                  </w:pPr>
                  <w:r>
                    <w:rPr>
                      <w:rFonts w:hint="eastAsia"/>
                      <w:highlight w:val="none"/>
                      <w:lang w:val="en-US" w:eastAsia="zh-CN"/>
                    </w:rPr>
                    <w:t>1</w:t>
                  </w:r>
                </w:p>
              </w:tc>
              <w:tc>
                <w:tcPr>
                  <w:tcW w:w="787" w:type="dxa"/>
                  <w:vMerge w:val="restart"/>
                  <w:vAlign w:val="center"/>
                </w:tcPr>
                <w:p>
                  <w:pPr>
                    <w:pStyle w:val="25"/>
                    <w:bidi w:val="0"/>
                    <w:rPr>
                      <w:rFonts w:hint="default"/>
                      <w:highlight w:val="none"/>
                      <w:lang w:val="en-US" w:eastAsia="zh-CN"/>
                    </w:rPr>
                  </w:pPr>
                  <w:r>
                    <w:rPr>
                      <w:rFonts w:hint="eastAsia"/>
                      <w:highlight w:val="none"/>
                      <w:lang w:val="en-US" w:eastAsia="zh-CN"/>
                    </w:rPr>
                    <w:t>重点管控单元</w:t>
                  </w:r>
                </w:p>
              </w:tc>
              <w:tc>
                <w:tcPr>
                  <w:tcW w:w="736" w:type="dxa"/>
                  <w:vAlign w:val="center"/>
                </w:tcPr>
                <w:p>
                  <w:pPr>
                    <w:pStyle w:val="25"/>
                    <w:bidi w:val="0"/>
                    <w:rPr>
                      <w:rFonts w:hint="default"/>
                      <w:highlight w:val="none"/>
                      <w:lang w:val="en-US" w:eastAsia="zh-CN"/>
                    </w:rPr>
                  </w:pPr>
                  <w:r>
                    <w:rPr>
                      <w:rFonts w:hint="eastAsia"/>
                      <w:highlight w:val="none"/>
                      <w:lang w:val="en-US" w:eastAsia="zh-CN"/>
                    </w:rPr>
                    <w:t>大气环境-受体敏感重点管控区</w:t>
                  </w:r>
                </w:p>
              </w:tc>
              <w:tc>
                <w:tcPr>
                  <w:tcW w:w="4327" w:type="dxa"/>
                  <w:vAlign w:val="center"/>
                </w:tcPr>
                <w:p>
                  <w:pPr>
                    <w:pStyle w:val="25"/>
                    <w:bidi w:val="0"/>
                    <w:rPr>
                      <w:rFonts w:hint="default"/>
                      <w:highlight w:val="none"/>
                      <w:lang w:val="en-US" w:eastAsia="zh-CN"/>
                    </w:rPr>
                  </w:pPr>
                  <w:r>
                    <w:rPr>
                      <w:rFonts w:hint="eastAsia"/>
                      <w:highlight w:val="none"/>
                      <w:lang w:val="en-US" w:eastAsia="zh-CN"/>
                    </w:rPr>
                    <w:t>1.</w:t>
                  </w:r>
                  <w:r>
                    <w:rPr>
                      <w:highlight w:val="none"/>
                    </w:rPr>
                    <w:t>在城市城区及其近郊禁止新建、扩建钢铁、有色、石化、水泥、化工等重污染企业</w:t>
                  </w:r>
                  <w:r>
                    <w:rPr>
                      <w:rFonts w:hint="eastAsia"/>
                      <w:highlight w:val="none"/>
                    </w:rPr>
                    <w:t>。</w:t>
                  </w:r>
                  <w:r>
                    <w:rPr>
                      <w:rFonts w:hint="eastAsia"/>
                      <w:highlight w:val="none"/>
                      <w:lang w:val="en-US" w:eastAsia="zh-CN"/>
                    </w:rPr>
                    <w:t>2.</w:t>
                  </w:r>
                  <w:r>
                    <w:rPr>
                      <w:rFonts w:hint="eastAsia"/>
                      <w:highlight w:val="none"/>
                    </w:rPr>
                    <w:t>禁止新建燃料类煤气发生炉（园区现有企业统一建设的清洁煤制气中心除外）。</w:t>
                  </w:r>
                  <w:r>
                    <w:rPr>
                      <w:rFonts w:hint="eastAsia"/>
                      <w:highlight w:val="none"/>
                      <w:lang w:val="en-US" w:eastAsia="zh-CN"/>
                    </w:rPr>
                    <w:t>3.</w:t>
                  </w:r>
                  <w:r>
                    <w:rPr>
                      <w:rFonts w:hint="eastAsia"/>
                      <w:highlight w:val="none"/>
                    </w:rPr>
                    <w:t>严禁新增钢铁、焦化、电解铝、铸造、水泥和平板玻璃等产能；严格执行钢铁、水泥、平板玻璃等行业产能置换实施办法。</w:t>
                  </w:r>
                  <w:r>
                    <w:rPr>
                      <w:rFonts w:hint="eastAsia"/>
                      <w:highlight w:val="none"/>
                      <w:lang w:val="en-US" w:eastAsia="zh-CN"/>
                    </w:rPr>
                    <w:t>4.</w:t>
                  </w:r>
                  <w:r>
                    <w:rPr>
                      <w:rFonts w:hint="eastAsia"/>
                      <w:highlight w:val="none"/>
                    </w:rPr>
                    <w:t>禁止建设生产和使用高</w:t>
                  </w:r>
                  <w:r>
                    <w:rPr>
                      <w:highlight w:val="none"/>
                    </w:rPr>
                    <w:t>VOCs</w:t>
                  </w:r>
                  <w:r>
                    <w:rPr>
                      <w:rFonts w:hint="eastAsia"/>
                      <w:highlight w:val="none"/>
                    </w:rPr>
                    <w:t>含量的溶剂型涂料、油墨、胶粘剂等项目。</w:t>
                  </w:r>
                  <w:r>
                    <w:rPr>
                      <w:rFonts w:hint="eastAsia"/>
                      <w:highlight w:val="none"/>
                      <w:lang w:val="en-US" w:eastAsia="zh-CN"/>
                    </w:rPr>
                    <w:t>5.</w:t>
                  </w:r>
                  <w:r>
                    <w:rPr>
                      <w:rFonts w:hint="eastAsia"/>
                      <w:highlight w:val="none"/>
                    </w:rPr>
                    <w:t>禁止建设生产和使用高</w:t>
                  </w:r>
                  <w:r>
                    <w:rPr>
                      <w:highlight w:val="none"/>
                    </w:rPr>
                    <w:t>VOCs</w:t>
                  </w:r>
                  <w:r>
                    <w:rPr>
                      <w:rFonts w:hint="eastAsia"/>
                      <w:highlight w:val="none"/>
                    </w:rPr>
                    <w:t>含量的溶剂型涂料、油墨、胶粘剂等项目。</w:t>
                  </w:r>
                  <w:r>
                    <w:rPr>
                      <w:rFonts w:hint="eastAsia"/>
                      <w:highlight w:val="none"/>
                      <w:lang w:val="en-US" w:eastAsia="zh-CN"/>
                    </w:rPr>
                    <w:t>6.</w:t>
                  </w:r>
                  <w:r>
                    <w:rPr>
                      <w:rFonts w:hint="eastAsia"/>
                      <w:highlight w:val="none"/>
                    </w:rPr>
                    <w:t>禁止新增</w:t>
                  </w:r>
                  <w:r>
                    <w:rPr>
                      <w:highlight w:val="none"/>
                    </w:rPr>
                    <w:t>化工园区。</w:t>
                  </w:r>
                  <w:r>
                    <w:rPr>
                      <w:rFonts w:hint="eastAsia"/>
                      <w:highlight w:val="none"/>
                    </w:rPr>
                    <w:t>原则上禁止新建露天矿山建设项目。</w:t>
                  </w:r>
                  <w:r>
                    <w:rPr>
                      <w:rFonts w:hint="eastAsia"/>
                      <w:highlight w:val="none"/>
                      <w:lang w:val="en-US" w:eastAsia="zh-CN"/>
                    </w:rPr>
                    <w:t>7.</w:t>
                  </w:r>
                  <w:r>
                    <w:rPr>
                      <w:rFonts w:hint="eastAsia"/>
                      <w:highlight w:val="none"/>
                    </w:rPr>
                    <w:t>非电行业新建项目，禁止配套建设自备纯凝、抽凝燃煤电站。</w:t>
                  </w:r>
                  <w:r>
                    <w:rPr>
                      <w:rFonts w:hint="eastAsia"/>
                      <w:highlight w:val="none"/>
                      <w:lang w:val="en-US" w:eastAsia="zh-CN"/>
                    </w:rPr>
                    <w:t>8.</w:t>
                  </w:r>
                  <w:r>
                    <w:rPr>
                      <w:rFonts w:hint="eastAsia"/>
                      <w:highlight w:val="none"/>
                    </w:rPr>
                    <w:t>在城市建成区及居民区、医院、学校等环境敏感区域，严禁现场露天灰土拌合。9</w:t>
                  </w:r>
                  <w:r>
                    <w:rPr>
                      <w:rFonts w:hint="eastAsia"/>
                      <w:highlight w:val="none"/>
                      <w:lang w:val="en-US" w:eastAsia="zh-CN"/>
                    </w:rPr>
                    <w:t>.</w:t>
                  </w:r>
                  <w:r>
                    <w:rPr>
                      <w:rFonts w:hint="eastAsia"/>
                      <w:highlight w:val="none"/>
                    </w:rPr>
                    <w:t>在城市规划区内禁止新建、扩建大气污染严重的建设项目。10</w:t>
                  </w:r>
                  <w:r>
                    <w:rPr>
                      <w:rFonts w:hint="eastAsia"/>
                      <w:highlight w:val="none"/>
                      <w:lang w:val="en-US" w:eastAsia="zh-CN"/>
                    </w:rPr>
                    <w:t>.</w:t>
                  </w:r>
                  <w:r>
                    <w:rPr>
                      <w:rFonts w:hint="eastAsia"/>
                      <w:highlight w:val="none"/>
                    </w:rPr>
                    <w:t>禁止高灰分、高硫分煤炭进入市场。新建煤矿应当同步建设煤炭洗选设施，已建成的煤矿所采煤炭属于高灰分、高硫分的，应当在国家和省规定的期限内建成配套的煤炭洗选设施，使煤炭中的灰分、硫分达到规定的标准。11</w:t>
                  </w:r>
                  <w:r>
                    <w:rPr>
                      <w:rFonts w:hint="eastAsia"/>
                      <w:highlight w:val="none"/>
                      <w:lang w:val="en-US" w:eastAsia="zh-CN"/>
                    </w:rPr>
                    <w:t>.</w:t>
                  </w:r>
                  <w:r>
                    <w:rPr>
                      <w:rFonts w:hint="eastAsia"/>
                      <w:highlight w:val="none"/>
                    </w:rPr>
                    <w:t>禁止在人口集中地区、机场周围、交通干线附近以及当地人民政府划定的区域露天焚烧秸杆、落叶、垃圾等产生烟尘污染的物质。12</w:t>
                  </w:r>
                  <w:r>
                    <w:rPr>
                      <w:rFonts w:hint="eastAsia"/>
                      <w:highlight w:val="none"/>
                      <w:lang w:val="en-US" w:eastAsia="zh-CN"/>
                    </w:rPr>
                    <w:t>.</w:t>
                  </w:r>
                  <w:r>
                    <w:rPr>
                      <w:rFonts w:hint="eastAsia"/>
                      <w:highlight w:val="none"/>
                    </w:rPr>
                    <w:t>在燃气管网和集中供热管网覆盖的区域，不得新建、扩建、改建燃烧煤炭、重油、渣油的供热设施；原有分散的中小型燃煤供热锅炉应当限期拆除。13</w:t>
                  </w:r>
                  <w:r>
                    <w:rPr>
                      <w:rFonts w:hint="eastAsia"/>
                      <w:highlight w:val="none"/>
                      <w:lang w:val="en-US" w:eastAsia="zh-CN"/>
                    </w:rPr>
                    <w:t>.</w:t>
                  </w:r>
                  <w:r>
                    <w:rPr>
                      <w:rFonts w:hint="eastAsia"/>
                      <w:highlight w:val="none"/>
                    </w:rPr>
                    <w:t>禁止在居民住宅楼、未配套设立专用烟道的商住综合楼、商住综合楼内与居住层相邻的商业楼层内新建、改建、扩建产生油烟、异味、废气的饮食服务项目。14</w:t>
                  </w:r>
                  <w:r>
                    <w:rPr>
                      <w:rFonts w:hint="eastAsia"/>
                      <w:highlight w:val="none"/>
                      <w:lang w:val="en-US" w:eastAsia="zh-CN"/>
                    </w:rPr>
                    <w:t>.</w:t>
                  </w:r>
                  <w:r>
                    <w:rPr>
                      <w:rFonts w:hint="eastAsia"/>
                      <w:highlight w:val="none"/>
                    </w:rPr>
                    <w:t>任何单位和个人不得在政府划定的禁止露天烧烤区域内露天烧烤食品或者为露天烧烤食品提供场地。15</w:t>
                  </w:r>
                  <w:r>
                    <w:rPr>
                      <w:rFonts w:hint="eastAsia"/>
                      <w:highlight w:val="none"/>
                      <w:lang w:val="en-US" w:eastAsia="zh-CN"/>
                    </w:rPr>
                    <w:t>.</w:t>
                  </w:r>
                  <w:r>
                    <w:rPr>
                      <w:rFonts w:hint="eastAsia"/>
                      <w:highlight w:val="none"/>
                    </w:rPr>
                    <w:t>在机关、学校、医院、居民住宅区等人口集中地区和其他依法需要特殊保护的区域内，禁止从事下列生产活动：（1）橡胶制品生产、经营性喷漆、制骨胶、制骨粉、屠宰、畜禽养殖、生物发酵等产生恶臭、有毒有害气体的生产经营活动；（2）露天焚烧油毡、沥青、橡胶、塑料、皮革、垃圾或者其他可能产生恶臭、有毒有害气体的活动。16</w:t>
                  </w:r>
                  <w:r>
                    <w:rPr>
                      <w:rFonts w:hint="eastAsia"/>
                      <w:highlight w:val="none"/>
                      <w:lang w:val="en-US" w:eastAsia="zh-CN"/>
                    </w:rPr>
                    <w:t>.</w:t>
                  </w:r>
                  <w:r>
                    <w:rPr>
                      <w:rFonts w:hint="eastAsia"/>
                      <w:highlight w:val="none"/>
                    </w:rPr>
                    <w:t>严禁钢铁、水泥、电解铝、平板玻璃等行业新增产能，对确有必要新建的必须实施等量或减量置换。17</w:t>
                  </w:r>
                  <w:r>
                    <w:rPr>
                      <w:rFonts w:hint="eastAsia"/>
                      <w:highlight w:val="none"/>
                      <w:lang w:val="en-US" w:eastAsia="zh-CN"/>
                    </w:rPr>
                    <w:t>.</w:t>
                  </w:r>
                  <w:r>
                    <w:rPr>
                      <w:rFonts w:hint="eastAsia"/>
                      <w:highlight w:val="none"/>
                    </w:rPr>
                    <w:t>禁止淘汰落后类的产业进入开发区。18</w:t>
                  </w:r>
                  <w:r>
                    <w:rPr>
                      <w:rFonts w:hint="eastAsia"/>
                      <w:highlight w:val="none"/>
                      <w:lang w:val="en-US" w:eastAsia="zh-CN"/>
                    </w:rPr>
                    <w:t>.</w:t>
                  </w:r>
                  <w:r>
                    <w:rPr>
                      <w:rFonts w:hint="eastAsia"/>
                      <w:highlight w:val="none"/>
                    </w:rPr>
                    <w:t>在城市建成区，禁止新建VOCs高污染企业。19</w:t>
                  </w:r>
                  <w:r>
                    <w:rPr>
                      <w:rFonts w:hint="eastAsia"/>
                      <w:highlight w:val="none"/>
                      <w:lang w:val="en-US" w:eastAsia="zh-CN"/>
                    </w:rPr>
                    <w:t>.</w:t>
                  </w:r>
                  <w:r>
                    <w:rPr>
                      <w:rFonts w:hint="eastAsia"/>
                      <w:highlight w:val="none"/>
                    </w:rPr>
                    <w:t>加大钢铁、铸造、炼焦、建材、电解铝等产能压减力度。20</w:t>
                  </w:r>
                  <w:r>
                    <w:rPr>
                      <w:rFonts w:hint="eastAsia"/>
                      <w:highlight w:val="none"/>
                      <w:lang w:val="en-US" w:eastAsia="zh-CN"/>
                    </w:rPr>
                    <w:t>.</w:t>
                  </w:r>
                  <w:r>
                    <w:rPr>
                      <w:rFonts w:hint="eastAsia"/>
                      <w:highlight w:val="none"/>
                    </w:rPr>
                    <w:t>严格资源节约和环保准入门槛，转入项目必须符合国家产业政策、资源节约和污染物排放强度要求，避免产业转移中的资源浪费和污染扩散。21</w:t>
                  </w:r>
                  <w:r>
                    <w:rPr>
                      <w:rFonts w:hint="eastAsia"/>
                      <w:highlight w:val="none"/>
                      <w:lang w:val="en-US" w:eastAsia="zh-CN"/>
                    </w:rPr>
                    <w:t>.</w:t>
                  </w:r>
                  <w:r>
                    <w:rPr>
                      <w:rFonts w:hint="eastAsia"/>
                      <w:highlight w:val="none"/>
                    </w:rPr>
                    <w:t>对污染治理不规范的露天矿山，依法责令停产整治，整治完成并经相关部门组织验收合格后方可恢复生产。22</w:t>
                  </w:r>
                  <w:r>
                    <w:rPr>
                      <w:rFonts w:hint="eastAsia"/>
                      <w:highlight w:val="none"/>
                      <w:lang w:val="en-US" w:eastAsia="zh-CN"/>
                    </w:rPr>
                    <w:t>.</w:t>
                  </w:r>
                  <w:r>
                    <w:rPr>
                      <w:rFonts w:hint="eastAsia"/>
                      <w:highlight w:val="none"/>
                    </w:rPr>
                    <w:t>加大落后产能淘汰和过剩产能压减力度。严防</w:t>
                  </w:r>
                  <w:r>
                    <w:rPr>
                      <w:rFonts w:hint="eastAsia"/>
                      <w:highlight w:val="none"/>
                      <w:lang w:eastAsia="zh-CN"/>
                    </w:rPr>
                    <w:t>“</w:t>
                  </w:r>
                  <w:r>
                    <w:rPr>
                      <w:rFonts w:hint="eastAsia"/>
                      <w:highlight w:val="none"/>
                    </w:rPr>
                    <w:t>地条钢</w:t>
                  </w:r>
                  <w:r>
                    <w:rPr>
                      <w:rFonts w:hint="eastAsia"/>
                      <w:highlight w:val="none"/>
                      <w:lang w:eastAsia="zh-CN"/>
                    </w:rPr>
                    <w:t>”</w:t>
                  </w:r>
                  <w:r>
                    <w:rPr>
                      <w:rFonts w:hint="eastAsia"/>
                      <w:highlight w:val="none"/>
                    </w:rPr>
                    <w:t>死灰复燃。</w:t>
                  </w:r>
                </w:p>
              </w:tc>
              <w:tc>
                <w:tcPr>
                  <w:tcW w:w="684" w:type="dxa"/>
                  <w:vAlign w:val="center"/>
                </w:tcPr>
                <w:p>
                  <w:pPr>
                    <w:pStyle w:val="25"/>
                    <w:bidi w:val="0"/>
                    <w:rPr>
                      <w:rFonts w:hint="default"/>
                      <w:highlight w:val="none"/>
                      <w:lang w:val="en-US" w:eastAsia="zh-CN"/>
                    </w:rPr>
                  </w:pPr>
                  <w:r>
                    <w:rPr>
                      <w:rFonts w:hint="eastAsia"/>
                      <w:highlight w:val="none"/>
                      <w:lang w:val="en-US" w:eastAsia="zh-CN"/>
                    </w:rPr>
                    <w:t>本项目不涉及禁止或限制行为，符合相关管控要求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423" w:type="dxa"/>
                  <w:vAlign w:val="center"/>
                </w:tcPr>
                <w:p>
                  <w:pPr>
                    <w:pStyle w:val="25"/>
                    <w:bidi w:val="0"/>
                    <w:rPr>
                      <w:rFonts w:hint="default"/>
                      <w:highlight w:val="none"/>
                      <w:lang w:val="en-US" w:eastAsia="zh-CN"/>
                    </w:rPr>
                  </w:pPr>
                  <w:r>
                    <w:rPr>
                      <w:rFonts w:hint="eastAsia"/>
                      <w:highlight w:val="none"/>
                      <w:lang w:val="en-US" w:eastAsia="zh-CN"/>
                    </w:rPr>
                    <w:t>2</w:t>
                  </w:r>
                </w:p>
              </w:tc>
              <w:tc>
                <w:tcPr>
                  <w:tcW w:w="787" w:type="dxa"/>
                  <w:vMerge w:val="continue"/>
                  <w:vAlign w:val="center"/>
                </w:tcPr>
                <w:p>
                  <w:pPr>
                    <w:pStyle w:val="25"/>
                    <w:bidi w:val="0"/>
                    <w:rPr>
                      <w:rFonts w:hint="default"/>
                      <w:highlight w:val="none"/>
                      <w:lang w:val="en-US" w:eastAsia="zh-CN"/>
                    </w:rPr>
                  </w:pPr>
                </w:p>
              </w:tc>
              <w:tc>
                <w:tcPr>
                  <w:tcW w:w="736" w:type="dxa"/>
                  <w:vAlign w:val="center"/>
                </w:tcPr>
                <w:p>
                  <w:pPr>
                    <w:pStyle w:val="25"/>
                    <w:bidi w:val="0"/>
                    <w:rPr>
                      <w:rFonts w:hint="default"/>
                      <w:highlight w:val="none"/>
                      <w:lang w:val="en-US" w:eastAsia="zh-CN"/>
                    </w:rPr>
                  </w:pPr>
                  <w:r>
                    <w:rPr>
                      <w:rFonts w:hint="eastAsia"/>
                      <w:highlight w:val="none"/>
                      <w:lang w:val="en-US" w:eastAsia="zh-CN"/>
                    </w:rPr>
                    <w:t>水环境城镇生活污染重点管控区</w:t>
                  </w:r>
                </w:p>
              </w:tc>
              <w:tc>
                <w:tcPr>
                  <w:tcW w:w="4327" w:type="dxa"/>
                  <w:vAlign w:val="center"/>
                </w:tcPr>
                <w:p>
                  <w:pPr>
                    <w:pStyle w:val="25"/>
                    <w:bidi w:val="0"/>
                    <w:rPr>
                      <w:rFonts w:hint="default"/>
                      <w:highlight w:val="none"/>
                      <w:lang w:val="en-US" w:eastAsia="zh-CN"/>
                    </w:rPr>
                  </w:pPr>
                  <w:r>
                    <w:rPr>
                      <w:rFonts w:hint="eastAsia"/>
                      <w:highlight w:val="none"/>
                      <w:lang w:val="en-US" w:eastAsia="zh-CN"/>
                    </w:rPr>
                    <w:t>1.</w:t>
                  </w:r>
                  <w:r>
                    <w:rPr>
                      <w:rFonts w:hint="eastAsia"/>
                      <w:highlight w:val="none"/>
                    </w:rPr>
                    <w:t>取缔</w:t>
                  </w:r>
                  <w:r>
                    <w:rPr>
                      <w:rFonts w:hint="eastAsia"/>
                      <w:highlight w:val="none"/>
                      <w:lang w:eastAsia="zh-CN"/>
                    </w:rPr>
                    <w:t>“</w:t>
                  </w:r>
                  <w:r>
                    <w:rPr>
                      <w:rFonts w:hint="eastAsia"/>
                      <w:highlight w:val="none"/>
                    </w:rPr>
                    <w:t>十小</w:t>
                  </w:r>
                  <w:r>
                    <w:rPr>
                      <w:rFonts w:hint="eastAsia"/>
                      <w:highlight w:val="none"/>
                      <w:lang w:eastAsia="zh-CN"/>
                    </w:rPr>
                    <w:t>”</w:t>
                  </w:r>
                  <w:r>
                    <w:rPr>
                      <w:rFonts w:hint="eastAsia"/>
                      <w:highlight w:val="none"/>
                    </w:rPr>
                    <w:t>企业。全面排查装备水平低、环保设施差的小型工业企业。按照水污染防治法律法规要求，全面排查和取缔不符合国家产业政策的小型造纸、制革、印染、染料、炼焦、炼硫、炼砷、炼油、电镀、农药等严重污染水环境的生产项目。</w:t>
                  </w:r>
                  <w:r>
                    <w:rPr>
                      <w:rFonts w:hint="eastAsia"/>
                      <w:highlight w:val="none"/>
                      <w:lang w:val="en-US" w:eastAsia="zh-CN"/>
                    </w:rPr>
                    <w:t>2.</w:t>
                  </w:r>
                  <w:r>
                    <w:rPr>
                      <w:rFonts w:hint="eastAsia"/>
                      <w:highlight w:val="none"/>
                    </w:rPr>
                    <w:t>严格城市规划蓝线管理，城市规划区范围内应保留一定比例的水域面积，现有水域面积不得减少。新建项目一律不得违规占用水域</w:t>
                  </w:r>
                  <w:r>
                    <w:rPr>
                      <w:rFonts w:hint="eastAsia"/>
                      <w:highlight w:val="none"/>
                      <w:lang w:eastAsia="zh-CN"/>
                    </w:rPr>
                    <w:t>。</w:t>
                  </w:r>
                  <w:r>
                    <w:rPr>
                      <w:rFonts w:hint="eastAsia"/>
                      <w:highlight w:val="none"/>
                      <w:lang w:val="en-US" w:eastAsia="zh-CN"/>
                    </w:rPr>
                    <w:t>3.</w:t>
                  </w:r>
                  <w:r>
                    <w:rPr>
                      <w:rFonts w:hint="eastAsia"/>
                      <w:highlight w:val="none"/>
                    </w:rPr>
                    <w:t>落实磷石膏综合利用途径，综合利用不畅的可利用现有磷石膏库堆存，不得新建、扩建磷石膏库</w:t>
                  </w:r>
                  <w:r>
                    <w:rPr>
                      <w:rFonts w:hint="eastAsia"/>
                      <w:highlight w:val="none"/>
                      <w:lang w:eastAsia="zh-CN"/>
                    </w:rPr>
                    <w:t>（</w:t>
                  </w:r>
                  <w:r>
                    <w:rPr>
                      <w:rFonts w:hint="eastAsia"/>
                      <w:highlight w:val="none"/>
                    </w:rPr>
                    <w:t>暂存场除外</w:t>
                  </w:r>
                  <w:r>
                    <w:rPr>
                      <w:rFonts w:hint="eastAsia"/>
                      <w:highlight w:val="none"/>
                      <w:lang w:eastAsia="zh-CN"/>
                    </w:rPr>
                    <w:t>）</w:t>
                  </w:r>
                  <w:r>
                    <w:rPr>
                      <w:rFonts w:hint="eastAsia"/>
                      <w:highlight w:val="none"/>
                    </w:rPr>
                    <w:t>。</w:t>
                  </w:r>
                </w:p>
              </w:tc>
              <w:tc>
                <w:tcPr>
                  <w:tcW w:w="684" w:type="dxa"/>
                  <w:vAlign w:val="center"/>
                </w:tcPr>
                <w:p>
                  <w:pPr>
                    <w:pStyle w:val="25"/>
                    <w:bidi w:val="0"/>
                    <w:rPr>
                      <w:rFonts w:hint="default"/>
                      <w:highlight w:val="none"/>
                      <w:lang w:val="en-US" w:eastAsia="zh-CN"/>
                    </w:rPr>
                  </w:pPr>
                  <w:r>
                    <w:rPr>
                      <w:rFonts w:hint="eastAsia"/>
                      <w:highlight w:val="none"/>
                      <w:lang w:val="en-US" w:eastAsia="zh-CN"/>
                    </w:rPr>
                    <w:t>本项目不涉及禁止或限制行为，符合相关管控要求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2" w:hRule="atLeast"/>
              </w:trPr>
              <w:tc>
                <w:tcPr>
                  <w:tcW w:w="423" w:type="dxa"/>
                  <w:vAlign w:val="center"/>
                </w:tcPr>
                <w:p>
                  <w:pPr>
                    <w:pStyle w:val="25"/>
                    <w:bidi w:val="0"/>
                    <w:rPr>
                      <w:rFonts w:hint="default"/>
                      <w:highlight w:val="none"/>
                      <w:lang w:val="en-US" w:eastAsia="zh-CN"/>
                    </w:rPr>
                  </w:pPr>
                  <w:r>
                    <w:rPr>
                      <w:rFonts w:hint="eastAsia"/>
                      <w:highlight w:val="none"/>
                      <w:lang w:val="en-US" w:eastAsia="zh-CN"/>
                    </w:rPr>
                    <w:t>3</w:t>
                  </w:r>
                </w:p>
              </w:tc>
              <w:tc>
                <w:tcPr>
                  <w:tcW w:w="787" w:type="dxa"/>
                  <w:vAlign w:val="center"/>
                </w:tcPr>
                <w:p>
                  <w:pPr>
                    <w:pStyle w:val="25"/>
                    <w:bidi w:val="0"/>
                    <w:rPr>
                      <w:rFonts w:hint="default"/>
                      <w:highlight w:val="none"/>
                      <w:lang w:val="en-US" w:eastAsia="zh-CN"/>
                    </w:rPr>
                  </w:pPr>
                  <w:r>
                    <w:rPr>
                      <w:rFonts w:hint="eastAsia"/>
                      <w:highlight w:val="none"/>
                      <w:lang w:val="en-US" w:eastAsia="zh-CN"/>
                    </w:rPr>
                    <w:t>一般管控单元</w:t>
                  </w:r>
                </w:p>
              </w:tc>
              <w:tc>
                <w:tcPr>
                  <w:tcW w:w="736" w:type="dxa"/>
                  <w:vAlign w:val="center"/>
                </w:tcPr>
                <w:p>
                  <w:pPr>
                    <w:pStyle w:val="25"/>
                    <w:bidi w:val="0"/>
                    <w:rPr>
                      <w:rFonts w:hint="default"/>
                      <w:highlight w:val="none"/>
                      <w:lang w:val="en-US" w:eastAsia="zh-CN"/>
                    </w:rPr>
                  </w:pPr>
                  <w:r>
                    <w:rPr>
                      <w:rFonts w:hint="eastAsia"/>
                      <w:highlight w:val="none"/>
                      <w:lang w:val="en-US" w:eastAsia="zh-CN"/>
                    </w:rPr>
                    <w:t>土壤环境-一般管控单元</w:t>
                  </w:r>
                </w:p>
              </w:tc>
              <w:tc>
                <w:tcPr>
                  <w:tcW w:w="4327" w:type="dxa"/>
                  <w:vAlign w:val="center"/>
                </w:tcPr>
                <w:p>
                  <w:pPr>
                    <w:pStyle w:val="25"/>
                    <w:bidi w:val="0"/>
                    <w:rPr>
                      <w:rFonts w:hint="eastAsia"/>
                      <w:highlight w:val="none"/>
                      <w:lang w:eastAsia="zh-CN"/>
                    </w:rPr>
                  </w:pPr>
                  <w:r>
                    <w:rPr>
                      <w:rFonts w:hint="eastAsia"/>
                      <w:highlight w:val="none"/>
                      <w:lang w:val="en-US" w:eastAsia="zh-CN"/>
                    </w:rPr>
                    <w:t>1.</w:t>
                  </w:r>
                  <w:r>
                    <w:rPr>
                      <w:rFonts w:hint="eastAsia"/>
                      <w:highlight w:val="none"/>
                    </w:rPr>
                    <w:t>禁止任何单位和个人在基本农田保护区内建窑、建房、建坟、挖砂、采石、采矿、取土、堆放固体废弃物或者进行其他破坏基本农田的活动。</w:t>
                  </w:r>
                  <w:r>
                    <w:rPr>
                      <w:rFonts w:hint="eastAsia"/>
                      <w:highlight w:val="none"/>
                      <w:lang w:val="en-US" w:eastAsia="zh-CN"/>
                    </w:rPr>
                    <w:t>2.</w:t>
                  </w:r>
                  <w:r>
                    <w:rPr>
                      <w:rFonts w:hint="eastAsia"/>
                      <w:highlight w:val="none"/>
                    </w:rPr>
                    <w:t>禁止任何单位和个人占用基本农田发展林果业和挖塘养鱼。</w:t>
                  </w:r>
                  <w:r>
                    <w:rPr>
                      <w:rFonts w:hint="eastAsia"/>
                      <w:highlight w:val="none"/>
                      <w:lang w:val="en-US" w:eastAsia="zh-CN"/>
                    </w:rPr>
                    <w:t>3.</w:t>
                  </w:r>
                  <w:r>
                    <w:rPr>
                      <w:rFonts w:hint="eastAsia"/>
                      <w:highlight w:val="none"/>
                    </w:rPr>
                    <w:t>禁止生产、销售、使用国家明令禁止的农业投入品。农业投入品生产者、销售者和使用者应当及时回收农药、肥料等农业投入品的包装废弃物和农用薄膜，并将农药包装废弃物交由专门的机构或者组织进行无害化处理。</w:t>
                  </w:r>
                  <w:r>
                    <w:rPr>
                      <w:rFonts w:hint="eastAsia"/>
                      <w:highlight w:val="none"/>
                      <w:lang w:val="en-US" w:eastAsia="zh-CN"/>
                    </w:rPr>
                    <w:t>4.</w:t>
                  </w:r>
                  <w:r>
                    <w:rPr>
                      <w:rFonts w:hint="eastAsia"/>
                      <w:highlight w:val="none"/>
                    </w:rPr>
                    <w:t>禁止在优先保护类耕地周边新建有色金属矿采选、有色金属冶炼、化工、焦化、电镀、电子废物拆解等行业企业。</w:t>
                  </w:r>
                  <w:r>
                    <w:rPr>
                      <w:rFonts w:hint="eastAsia"/>
                      <w:highlight w:val="none"/>
                      <w:lang w:val="en-US" w:eastAsia="zh-CN"/>
                    </w:rPr>
                    <w:t>6.</w:t>
                  </w:r>
                  <w:r>
                    <w:rPr>
                      <w:rFonts w:hint="eastAsia"/>
                      <w:highlight w:val="none"/>
                    </w:rPr>
                    <w:t>基本农田保护区内禁止下列行为</w:t>
                  </w:r>
                  <w:r>
                    <w:rPr>
                      <w:rFonts w:hint="eastAsia"/>
                      <w:highlight w:val="none"/>
                      <w:lang w:eastAsia="zh-CN"/>
                    </w:rPr>
                    <w:t>：（</w:t>
                  </w:r>
                  <w:r>
                    <w:rPr>
                      <w:rFonts w:hint="eastAsia"/>
                      <w:highlight w:val="none"/>
                    </w:rPr>
                    <w:t>一</w:t>
                  </w:r>
                  <w:r>
                    <w:rPr>
                      <w:rFonts w:hint="eastAsia"/>
                      <w:highlight w:val="none"/>
                      <w:lang w:eastAsia="zh-CN"/>
                    </w:rPr>
                    <w:t>）</w:t>
                  </w:r>
                  <w:r>
                    <w:rPr>
                      <w:rFonts w:hint="eastAsia"/>
                      <w:highlight w:val="none"/>
                    </w:rPr>
                    <w:t>擅自将耕地改为非耕地</w:t>
                  </w:r>
                  <w:r>
                    <w:rPr>
                      <w:rFonts w:hint="eastAsia"/>
                      <w:highlight w:val="none"/>
                      <w:lang w:eastAsia="zh-CN"/>
                    </w:rPr>
                    <w:t>；</w:t>
                  </w:r>
                </w:p>
                <w:p>
                  <w:pPr>
                    <w:pStyle w:val="25"/>
                    <w:bidi w:val="0"/>
                    <w:rPr>
                      <w:rFonts w:hint="eastAsia"/>
                      <w:highlight w:val="none"/>
                      <w:lang w:eastAsia="zh-CN"/>
                    </w:rPr>
                  </w:pPr>
                  <w:r>
                    <w:rPr>
                      <w:rFonts w:hint="eastAsia"/>
                      <w:highlight w:val="none"/>
                      <w:lang w:eastAsia="zh-CN"/>
                    </w:rPr>
                    <w:t>（</w:t>
                  </w:r>
                  <w:r>
                    <w:rPr>
                      <w:rFonts w:hint="eastAsia"/>
                      <w:highlight w:val="none"/>
                    </w:rPr>
                    <w:t>二</w:t>
                  </w:r>
                  <w:r>
                    <w:rPr>
                      <w:rFonts w:hint="eastAsia"/>
                      <w:highlight w:val="none"/>
                      <w:lang w:eastAsia="zh-CN"/>
                    </w:rPr>
                    <w:t>）</w:t>
                  </w:r>
                  <w:r>
                    <w:rPr>
                      <w:rFonts w:hint="eastAsia"/>
                      <w:highlight w:val="none"/>
                    </w:rPr>
                    <w:t>闲置、荒芜耕地</w:t>
                  </w:r>
                  <w:r>
                    <w:rPr>
                      <w:rFonts w:hint="eastAsia"/>
                      <w:highlight w:val="none"/>
                      <w:lang w:eastAsia="zh-CN"/>
                    </w:rPr>
                    <w:t>；（</w:t>
                  </w:r>
                  <w:r>
                    <w:rPr>
                      <w:rFonts w:hint="eastAsia"/>
                      <w:highlight w:val="none"/>
                    </w:rPr>
                    <w:t>三</w:t>
                  </w:r>
                  <w:r>
                    <w:rPr>
                      <w:rFonts w:hint="eastAsia"/>
                      <w:highlight w:val="none"/>
                      <w:lang w:eastAsia="zh-CN"/>
                    </w:rPr>
                    <w:t>）</w:t>
                  </w:r>
                  <w:r>
                    <w:rPr>
                      <w:rFonts w:hint="eastAsia"/>
                      <w:highlight w:val="none"/>
                    </w:rPr>
                    <w:t>建窑、建房、建坟</w:t>
                  </w:r>
                  <w:r>
                    <w:rPr>
                      <w:rFonts w:hint="eastAsia"/>
                      <w:highlight w:val="none"/>
                      <w:lang w:eastAsia="zh-CN"/>
                    </w:rPr>
                    <w:t>；（</w:t>
                  </w:r>
                  <w:r>
                    <w:rPr>
                      <w:rFonts w:hint="eastAsia"/>
                      <w:highlight w:val="none"/>
                    </w:rPr>
                    <w:t>四</w:t>
                  </w:r>
                  <w:r>
                    <w:rPr>
                      <w:rFonts w:hint="eastAsia"/>
                      <w:highlight w:val="none"/>
                      <w:lang w:eastAsia="zh-CN"/>
                    </w:rPr>
                    <w:t>）</w:t>
                  </w:r>
                  <w:r>
                    <w:rPr>
                      <w:rFonts w:hint="eastAsia"/>
                      <w:highlight w:val="none"/>
                    </w:rPr>
                    <w:t>擅自挖沙、采石、采矿、取土</w:t>
                  </w:r>
                  <w:r>
                    <w:rPr>
                      <w:rFonts w:hint="eastAsia"/>
                      <w:highlight w:val="none"/>
                      <w:lang w:eastAsia="zh-CN"/>
                    </w:rPr>
                    <w:t>；</w:t>
                  </w:r>
                </w:p>
                <w:p>
                  <w:pPr>
                    <w:pStyle w:val="25"/>
                    <w:bidi w:val="0"/>
                    <w:rPr>
                      <w:rFonts w:hint="eastAsia"/>
                      <w:highlight w:val="none"/>
                      <w:lang w:val="en-US" w:eastAsia="zh-CN"/>
                    </w:rPr>
                  </w:pPr>
                  <w:r>
                    <w:rPr>
                      <w:rFonts w:hint="eastAsia"/>
                      <w:highlight w:val="none"/>
                      <w:lang w:eastAsia="zh-CN"/>
                    </w:rPr>
                    <w:t>（</w:t>
                  </w:r>
                  <w:r>
                    <w:rPr>
                      <w:rFonts w:hint="eastAsia"/>
                      <w:highlight w:val="none"/>
                    </w:rPr>
                    <w:t>五</w:t>
                  </w:r>
                  <w:r>
                    <w:rPr>
                      <w:rFonts w:hint="eastAsia"/>
                      <w:highlight w:val="none"/>
                      <w:lang w:eastAsia="zh-CN"/>
                    </w:rPr>
                    <w:t>）</w:t>
                  </w:r>
                  <w:r>
                    <w:rPr>
                      <w:rFonts w:hint="eastAsia"/>
                      <w:highlight w:val="none"/>
                    </w:rPr>
                    <w:t>排放污染性的废水、废气，堆放固体废弃物</w:t>
                  </w:r>
                  <w:r>
                    <w:rPr>
                      <w:rFonts w:hint="eastAsia"/>
                      <w:highlight w:val="none"/>
                      <w:lang w:eastAsia="zh-CN"/>
                    </w:rPr>
                    <w:t>；（</w:t>
                  </w:r>
                  <w:r>
                    <w:rPr>
                      <w:rFonts w:hint="eastAsia"/>
                      <w:highlight w:val="none"/>
                    </w:rPr>
                    <w:t>六</w:t>
                  </w:r>
                  <w:r>
                    <w:rPr>
                      <w:rFonts w:hint="eastAsia"/>
                      <w:highlight w:val="none"/>
                      <w:lang w:eastAsia="zh-CN"/>
                    </w:rPr>
                    <w:t>）</w:t>
                  </w:r>
                  <w:r>
                    <w:rPr>
                      <w:rFonts w:hint="eastAsia"/>
                      <w:highlight w:val="none"/>
                    </w:rPr>
                    <w:t>向基本农田提供不符合国家有关标准的肥料、农药</w:t>
                  </w:r>
                  <w:r>
                    <w:rPr>
                      <w:rFonts w:hint="eastAsia"/>
                      <w:highlight w:val="none"/>
                      <w:lang w:eastAsia="zh-CN"/>
                    </w:rPr>
                    <w:t>；（</w:t>
                  </w:r>
                  <w:r>
                    <w:rPr>
                      <w:rFonts w:hint="eastAsia"/>
                      <w:highlight w:val="none"/>
                    </w:rPr>
                    <w:t>七</w:t>
                  </w:r>
                  <w:r>
                    <w:rPr>
                      <w:rFonts w:hint="eastAsia"/>
                      <w:highlight w:val="none"/>
                      <w:lang w:eastAsia="zh-CN"/>
                    </w:rPr>
                    <w:t>）</w:t>
                  </w:r>
                  <w:r>
                    <w:rPr>
                      <w:rFonts w:hint="eastAsia"/>
                      <w:highlight w:val="none"/>
                    </w:rPr>
                    <w:t>毁坏水利排灌设施</w:t>
                  </w:r>
                  <w:r>
                    <w:rPr>
                      <w:rFonts w:hint="eastAsia"/>
                      <w:highlight w:val="none"/>
                      <w:lang w:eastAsia="zh-CN"/>
                    </w:rPr>
                    <w:t>；（</w:t>
                  </w:r>
                  <w:r>
                    <w:rPr>
                      <w:rFonts w:hint="eastAsia"/>
                      <w:highlight w:val="none"/>
                    </w:rPr>
                    <w:t>八</w:t>
                  </w:r>
                  <w:r>
                    <w:rPr>
                      <w:rFonts w:hint="eastAsia"/>
                      <w:highlight w:val="none"/>
                      <w:lang w:eastAsia="zh-CN"/>
                    </w:rPr>
                    <w:t>）</w:t>
                  </w:r>
                  <w:r>
                    <w:rPr>
                      <w:rFonts w:hint="eastAsia"/>
                      <w:highlight w:val="none"/>
                    </w:rPr>
                    <w:t>擅自砍伐农田防护林和水土保持林</w:t>
                  </w:r>
                  <w:r>
                    <w:rPr>
                      <w:rFonts w:hint="eastAsia"/>
                      <w:highlight w:val="none"/>
                      <w:lang w:eastAsia="zh-CN"/>
                    </w:rPr>
                    <w:t>；（</w:t>
                  </w:r>
                  <w:r>
                    <w:rPr>
                      <w:rFonts w:hint="eastAsia"/>
                      <w:highlight w:val="none"/>
                    </w:rPr>
                    <w:t>九</w:t>
                  </w:r>
                  <w:r>
                    <w:rPr>
                      <w:rFonts w:hint="eastAsia"/>
                      <w:highlight w:val="none"/>
                      <w:lang w:eastAsia="zh-CN"/>
                    </w:rPr>
                    <w:t>）</w:t>
                  </w:r>
                  <w:r>
                    <w:rPr>
                      <w:rFonts w:hint="eastAsia"/>
                      <w:highlight w:val="none"/>
                    </w:rPr>
                    <w:t>破坏或擅自改变基本农田保护区标志</w:t>
                  </w:r>
                  <w:r>
                    <w:rPr>
                      <w:rFonts w:hint="eastAsia"/>
                      <w:highlight w:val="none"/>
                      <w:lang w:eastAsia="zh-CN"/>
                    </w:rPr>
                    <w:t>；（</w:t>
                  </w:r>
                  <w:r>
                    <w:rPr>
                      <w:rFonts w:hint="eastAsia"/>
                      <w:highlight w:val="none"/>
                    </w:rPr>
                    <w:t>十</w:t>
                  </w:r>
                  <w:r>
                    <w:rPr>
                      <w:rFonts w:hint="eastAsia"/>
                      <w:highlight w:val="none"/>
                      <w:lang w:eastAsia="zh-CN"/>
                    </w:rPr>
                    <w:t>）</w:t>
                  </w:r>
                  <w:r>
                    <w:rPr>
                      <w:rFonts w:hint="eastAsia"/>
                      <w:highlight w:val="none"/>
                    </w:rPr>
                    <w:t>其他破坏基本农田的行为。</w:t>
                  </w:r>
                  <w:r>
                    <w:rPr>
                      <w:rFonts w:hint="eastAsia"/>
                      <w:highlight w:val="none"/>
                      <w:lang w:val="en-US" w:eastAsia="zh-CN"/>
                    </w:rPr>
                    <w:t>7.</w:t>
                  </w:r>
                  <w:r>
                    <w:rPr>
                      <w:rFonts w:hint="eastAsia"/>
                      <w:highlight w:val="none"/>
                    </w:rPr>
                    <w:t>在基本农田保护区内不得设立非农业开发区和工业小区。</w:t>
                  </w:r>
                  <w:r>
                    <w:rPr>
                      <w:rFonts w:hint="eastAsia"/>
                      <w:highlight w:val="none"/>
                      <w:lang w:val="en-US" w:eastAsia="zh-CN"/>
                    </w:rPr>
                    <w:t>8.</w:t>
                  </w:r>
                  <w:r>
                    <w:rPr>
                      <w:rFonts w:hint="eastAsia"/>
                      <w:highlight w:val="none"/>
                    </w:rPr>
                    <w:t>依法划定特定农产品禁止生产区域，严禁种植食用农产品</w:t>
                  </w:r>
                  <w:r>
                    <w:rPr>
                      <w:rFonts w:hint="eastAsia"/>
                      <w:highlight w:val="none"/>
                      <w:lang w:eastAsia="zh-CN"/>
                    </w:rPr>
                    <w:t>。</w:t>
                  </w:r>
                </w:p>
              </w:tc>
              <w:tc>
                <w:tcPr>
                  <w:tcW w:w="684" w:type="dxa"/>
                  <w:vAlign w:val="center"/>
                </w:tcPr>
                <w:p>
                  <w:pPr>
                    <w:pStyle w:val="25"/>
                    <w:bidi w:val="0"/>
                    <w:rPr>
                      <w:rFonts w:hint="default"/>
                      <w:highlight w:val="none"/>
                      <w:lang w:val="en-US" w:eastAsia="zh-CN"/>
                    </w:rPr>
                  </w:pPr>
                  <w:r>
                    <w:rPr>
                      <w:rFonts w:hint="eastAsia"/>
                      <w:highlight w:val="none"/>
                      <w:lang w:val="en-US" w:eastAsia="zh-CN"/>
                    </w:rPr>
                    <w:t>本项目不涉及禁止或限制行为，符合相关管控要求</w:t>
                  </w:r>
                </w:p>
              </w:tc>
            </w:tr>
          </w:tbl>
          <w:p>
            <w:pPr>
              <w:ind w:firstLine="480"/>
              <w:rPr>
                <w:rFonts w:hint="eastAsia"/>
                <w:color w:val="auto"/>
                <w:highlight w:val="none"/>
                <w:lang w:val="en-US" w:eastAsia="zh-CN"/>
              </w:rPr>
            </w:pPr>
            <w:r>
              <w:rPr>
                <w:rFonts w:hint="eastAsia"/>
                <w:color w:val="auto"/>
                <w:highlight w:val="none"/>
                <w:lang w:val="en-US" w:eastAsia="zh-CN"/>
              </w:rPr>
              <w:t>综上，本项目的建设符合宿州市“三线一单”分区管控要求。</w:t>
            </w:r>
          </w:p>
          <w:p>
            <w:pPr>
              <w:ind w:firstLine="480"/>
              <w:rPr>
                <w:color w:val="auto"/>
                <w:highlight w:val="none"/>
              </w:rPr>
            </w:pPr>
            <w:r>
              <w:rPr>
                <w:rFonts w:hint="eastAsia"/>
                <w:b/>
                <w:bCs/>
                <w:color w:val="auto"/>
                <w:highlight w:val="none"/>
                <w:lang w:val="en-US" w:eastAsia="zh-CN"/>
              </w:rPr>
              <w:t>4、</w:t>
            </w:r>
            <w:r>
              <w:rPr>
                <w:rFonts w:hint="eastAsia"/>
                <w:b/>
                <w:bCs/>
                <w:color w:val="auto"/>
                <w:highlight w:val="none"/>
              </w:rPr>
              <w:t>本项目与</w:t>
            </w:r>
            <w:r>
              <w:rPr>
                <w:b/>
                <w:bCs/>
                <w:color w:val="auto"/>
                <w:highlight w:val="none"/>
              </w:rPr>
              <w:t>《安徽省2021年应对气候变化和大气污染防治重点工作任务》</w:t>
            </w:r>
            <w:r>
              <w:rPr>
                <w:rFonts w:hint="eastAsia"/>
                <w:b/>
                <w:bCs/>
                <w:color w:val="auto"/>
                <w:highlight w:val="none"/>
              </w:rPr>
              <w:t>（皖大气办〔2021〕3号）相符性分析</w:t>
            </w:r>
          </w:p>
          <w:p>
            <w:pPr>
              <w:pStyle w:val="24"/>
              <w:bidi w:val="0"/>
              <w:rPr>
                <w:rFonts w:hint="eastAsia"/>
                <w:highlight w:val="none"/>
                <w:lang w:eastAsia="zh-CN"/>
              </w:rPr>
            </w:pPr>
            <w:r>
              <w:rPr>
                <w:rFonts w:hint="eastAsia"/>
                <w:highlight w:val="none"/>
              </w:rPr>
              <w:t>表1</w:t>
            </w:r>
            <w:r>
              <w:rPr>
                <w:highlight w:val="none"/>
              </w:rPr>
              <w:t>-</w:t>
            </w:r>
            <w:r>
              <w:rPr>
                <w:rFonts w:hint="eastAsia"/>
                <w:highlight w:val="none"/>
                <w:lang w:val="en-US" w:eastAsia="zh-CN"/>
              </w:rPr>
              <w:t xml:space="preserve">3 </w:t>
            </w:r>
            <w:r>
              <w:rPr>
                <w:rFonts w:hint="eastAsia"/>
                <w:highlight w:val="none"/>
              </w:rPr>
              <w:t xml:space="preserve"> </w:t>
            </w:r>
            <w:r>
              <w:rPr>
                <w:rFonts w:hint="eastAsia"/>
                <w:highlight w:val="none"/>
                <w:lang w:eastAsia="zh-CN"/>
              </w:rPr>
              <w:t>与皖大气办〔2021〕3号相符性分析</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3812"/>
              <w:gridCol w:w="162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59" w:type="pct"/>
                  <w:vAlign w:val="center"/>
                </w:tcPr>
                <w:p>
                  <w:pPr>
                    <w:pStyle w:val="25"/>
                    <w:bidi w:val="0"/>
                    <w:rPr>
                      <w:highlight w:val="none"/>
                    </w:rPr>
                  </w:pPr>
                  <w:r>
                    <w:rPr>
                      <w:highlight w:val="none"/>
                    </w:rPr>
                    <w:t>序号</w:t>
                  </w:r>
                </w:p>
              </w:tc>
              <w:tc>
                <w:tcPr>
                  <w:tcW w:w="2766" w:type="pct"/>
                  <w:vAlign w:val="center"/>
                </w:tcPr>
                <w:p>
                  <w:pPr>
                    <w:pStyle w:val="25"/>
                    <w:bidi w:val="0"/>
                    <w:rPr>
                      <w:highlight w:val="none"/>
                    </w:rPr>
                  </w:pPr>
                  <w:r>
                    <w:rPr>
                      <w:highlight w:val="none"/>
                    </w:rPr>
                    <w:t>与本项目有关的条例</w:t>
                  </w:r>
                </w:p>
              </w:tc>
              <w:tc>
                <w:tcPr>
                  <w:tcW w:w="1175" w:type="pct"/>
                  <w:vAlign w:val="center"/>
                </w:tcPr>
                <w:p>
                  <w:pPr>
                    <w:pStyle w:val="25"/>
                    <w:bidi w:val="0"/>
                    <w:rPr>
                      <w:highlight w:val="none"/>
                    </w:rPr>
                  </w:pPr>
                  <w:r>
                    <w:rPr>
                      <w:highlight w:val="none"/>
                    </w:rPr>
                    <w:t>本项目</w:t>
                  </w:r>
                  <w:r>
                    <w:rPr>
                      <w:rFonts w:hint="eastAsia"/>
                      <w:highlight w:val="none"/>
                    </w:rPr>
                    <w:t>情况</w:t>
                  </w:r>
                </w:p>
              </w:tc>
              <w:tc>
                <w:tcPr>
                  <w:tcW w:w="699" w:type="pct"/>
                  <w:vAlign w:val="center"/>
                </w:tcPr>
                <w:p>
                  <w:pPr>
                    <w:pStyle w:val="25"/>
                    <w:bidi w:val="0"/>
                    <w:rPr>
                      <w:highlight w:val="none"/>
                    </w:rPr>
                  </w:pPr>
                  <w:r>
                    <w:rPr>
                      <w:rFonts w:hint="eastAsia"/>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59" w:type="pct"/>
                  <w:vMerge w:val="restart"/>
                  <w:vAlign w:val="center"/>
                </w:tcPr>
                <w:p>
                  <w:pPr>
                    <w:pStyle w:val="25"/>
                    <w:bidi w:val="0"/>
                    <w:rPr>
                      <w:rFonts w:hint="eastAsia"/>
                      <w:highlight w:val="none"/>
                      <w:lang w:val="en-US" w:eastAsia="zh-CN"/>
                    </w:rPr>
                  </w:pPr>
                  <w:r>
                    <w:rPr>
                      <w:rFonts w:hint="eastAsia"/>
                      <w:highlight w:val="none"/>
                      <w:lang w:val="en-US" w:eastAsia="zh-CN"/>
                    </w:rPr>
                    <w:t>1</w:t>
                  </w:r>
                </w:p>
              </w:tc>
              <w:tc>
                <w:tcPr>
                  <w:tcW w:w="2766" w:type="pct"/>
                  <w:vAlign w:val="center"/>
                </w:tcPr>
                <w:p>
                  <w:pPr>
                    <w:pStyle w:val="25"/>
                    <w:bidi w:val="0"/>
                    <w:rPr>
                      <w:rFonts w:hint="default"/>
                      <w:highlight w:val="none"/>
                    </w:rPr>
                  </w:pPr>
                  <w:r>
                    <w:rPr>
                      <w:rFonts w:hint="default"/>
                      <w:highlight w:val="none"/>
                    </w:rPr>
                    <w:t>优化产业结构及布局。对标节能减排要求和碳达峰碳中和目标，坚决遏制高耗能高排放项目盲目发展。提高新建项目节能环保准入标准，加大落后和过剩产能压减力度。严格执行国家高耗能、高污染和高资源型行业准入条件，钢铁、水泥熟料、平板玻璃、炼化、焦化、铝冶炼等新、扩建项目严格实施产能减量置换，未纳入国家规划的石化、煤化工等项目不再新建。加快推动沿江地区制造业绿色发展，形成一批国内领先的绿色工厂、绿色产品、绿色园区、绿色供应链。以清洁生产一级水平为标杆，加快传统产业技术改造，推动我省长三角中心区内8市钢铁、石化、有色金属、建材、船舶、纺织印染、酿造等传统产业绿色转型严格按照《产业结构调整指导目录》，支持发展先进产能，依法淘汰落后产能，建立</w:t>
                  </w:r>
                  <w:r>
                    <w:rPr>
                      <w:rFonts w:hint="eastAsia"/>
                      <w:highlight w:val="none"/>
                      <w:lang w:eastAsia="zh-CN"/>
                    </w:rPr>
                    <w:t>“</w:t>
                  </w:r>
                  <w:r>
                    <w:rPr>
                      <w:rFonts w:hint="default"/>
                      <w:highlight w:val="none"/>
                    </w:rPr>
                    <w:t>散乱污</w:t>
                  </w:r>
                  <w:r>
                    <w:rPr>
                      <w:rFonts w:hint="eastAsia"/>
                      <w:highlight w:val="none"/>
                      <w:lang w:eastAsia="zh-CN"/>
                    </w:rPr>
                    <w:t>”</w:t>
                  </w:r>
                  <w:r>
                    <w:rPr>
                      <w:rFonts w:hint="default"/>
                      <w:highlight w:val="none"/>
                    </w:rPr>
                    <w:t>企业动态管理机制，坚决杜绝</w:t>
                  </w:r>
                  <w:r>
                    <w:rPr>
                      <w:rFonts w:hint="eastAsia"/>
                      <w:highlight w:val="none"/>
                      <w:lang w:eastAsia="zh-CN"/>
                    </w:rPr>
                    <w:t>“</w:t>
                  </w:r>
                  <w:r>
                    <w:rPr>
                      <w:rFonts w:hint="default"/>
                      <w:highlight w:val="none"/>
                    </w:rPr>
                    <w:t>散乱污</w:t>
                  </w:r>
                  <w:r>
                    <w:rPr>
                      <w:rFonts w:hint="eastAsia"/>
                      <w:highlight w:val="none"/>
                      <w:lang w:eastAsia="zh-CN"/>
                    </w:rPr>
                    <w:t>”</w:t>
                  </w:r>
                  <w:r>
                    <w:rPr>
                      <w:rFonts w:hint="default"/>
                      <w:highlight w:val="none"/>
                    </w:rPr>
                    <w:t>企业异地转移，严防死灰复燃。</w:t>
                  </w:r>
                </w:p>
              </w:tc>
              <w:tc>
                <w:tcPr>
                  <w:tcW w:w="1175" w:type="pct"/>
                  <w:vAlign w:val="center"/>
                </w:tcPr>
                <w:p>
                  <w:pPr>
                    <w:pStyle w:val="25"/>
                    <w:bidi w:val="0"/>
                    <w:rPr>
                      <w:highlight w:val="none"/>
                    </w:rPr>
                  </w:pPr>
                  <w:r>
                    <w:rPr>
                      <w:rFonts w:hint="eastAsia"/>
                      <w:highlight w:val="none"/>
                    </w:rPr>
                    <w:t>本项目产品为</w:t>
                  </w:r>
                  <w:r>
                    <w:rPr>
                      <w:rFonts w:hint="default"/>
                      <w:highlight w:val="none"/>
                      <w:lang w:eastAsia="zh-CN"/>
                    </w:rPr>
                    <w:t>缝纫机台板</w:t>
                  </w:r>
                  <w:r>
                    <w:rPr>
                      <w:rFonts w:hint="eastAsia"/>
                      <w:highlight w:val="none"/>
                      <w:lang w:val="en-US" w:eastAsia="zh-CN"/>
                    </w:rPr>
                    <w:t>，属于胶合板制造</w:t>
                  </w:r>
                  <w:r>
                    <w:rPr>
                      <w:rFonts w:hint="eastAsia"/>
                      <w:highlight w:val="none"/>
                    </w:rPr>
                    <w:t>，不属于禁止建设类项目，不属于高耗能、高污染和高资源型行业。</w:t>
                  </w:r>
                </w:p>
              </w:tc>
              <w:tc>
                <w:tcPr>
                  <w:tcW w:w="699" w:type="pct"/>
                  <w:vAlign w:val="center"/>
                </w:tcPr>
                <w:p>
                  <w:pPr>
                    <w:pStyle w:val="25"/>
                    <w:bidi w:val="0"/>
                    <w:rPr>
                      <w:highlight w:val="none"/>
                    </w:rPr>
                  </w:pPr>
                  <w:r>
                    <w:rPr>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59" w:type="pct"/>
                  <w:vMerge w:val="continue"/>
                  <w:vAlign w:val="center"/>
                </w:tcPr>
                <w:p>
                  <w:pPr>
                    <w:pStyle w:val="25"/>
                    <w:bidi w:val="0"/>
                    <w:rPr>
                      <w:highlight w:val="none"/>
                    </w:rPr>
                  </w:pPr>
                </w:p>
              </w:tc>
              <w:tc>
                <w:tcPr>
                  <w:tcW w:w="2766" w:type="pct"/>
                  <w:vAlign w:val="center"/>
                </w:tcPr>
                <w:p>
                  <w:pPr>
                    <w:pStyle w:val="25"/>
                    <w:bidi w:val="0"/>
                    <w:rPr>
                      <w:rFonts w:hint="default"/>
                      <w:highlight w:val="none"/>
                    </w:rPr>
                  </w:pPr>
                  <w:r>
                    <w:rPr>
                      <w:rFonts w:hint="default"/>
                      <w:highlight w:val="none"/>
                    </w:rPr>
                    <w:t>加快区域产业调整。加快推进城市建成区重污染企业搬迁改造、兼并重组、转型升级或关闭退出，继续推动实施钢铁、玻璃、焦化、化工等重污染企业搬迁工程。沿江城市要全面落实</w:t>
                  </w:r>
                  <w:r>
                    <w:rPr>
                      <w:rFonts w:hint="eastAsia"/>
                      <w:highlight w:val="none"/>
                      <w:lang w:eastAsia="zh-CN"/>
                    </w:rPr>
                    <w:t>“</w:t>
                  </w:r>
                  <w:r>
                    <w:rPr>
                      <w:rFonts w:hint="default"/>
                      <w:highlight w:val="none"/>
                    </w:rPr>
                    <w:t>1515</w:t>
                  </w:r>
                  <w:r>
                    <w:rPr>
                      <w:rFonts w:hint="eastAsia"/>
                      <w:highlight w:val="none"/>
                      <w:lang w:eastAsia="zh-CN"/>
                    </w:rPr>
                    <w:t>”</w:t>
                  </w:r>
                  <w:r>
                    <w:rPr>
                      <w:rFonts w:hint="default"/>
                      <w:highlight w:val="none"/>
                    </w:rPr>
                    <w:t>三道防线和</w:t>
                  </w:r>
                  <w:r>
                    <w:rPr>
                      <w:rFonts w:hint="eastAsia"/>
                      <w:highlight w:val="none"/>
                      <w:lang w:eastAsia="zh-CN"/>
                    </w:rPr>
                    <w:t>“</w:t>
                  </w:r>
                  <w:r>
                    <w:rPr>
                      <w:rFonts w:hint="default"/>
                      <w:highlight w:val="none"/>
                    </w:rPr>
                    <w:t>禁新建、减存量、关污源、进园区、建新绿、纳统管、强机制</w:t>
                  </w:r>
                  <w:r>
                    <w:rPr>
                      <w:rFonts w:hint="eastAsia"/>
                      <w:highlight w:val="none"/>
                      <w:lang w:eastAsia="zh-CN"/>
                    </w:rPr>
                    <w:t>”</w:t>
                  </w:r>
                  <w:r>
                    <w:rPr>
                      <w:rFonts w:hint="default"/>
                      <w:highlight w:val="none"/>
                    </w:rPr>
                    <w:t>七项举措，推进化工企业关闭或搬迁至合规园区。各地已明确的退城企业，要明确时间表，逾期不退城的予以停产。</w:t>
                  </w:r>
                </w:p>
              </w:tc>
              <w:tc>
                <w:tcPr>
                  <w:tcW w:w="1175" w:type="pct"/>
                  <w:vAlign w:val="center"/>
                </w:tcPr>
                <w:p>
                  <w:pPr>
                    <w:pStyle w:val="25"/>
                    <w:bidi w:val="0"/>
                    <w:rPr>
                      <w:highlight w:val="none"/>
                    </w:rPr>
                  </w:pPr>
                  <w:r>
                    <w:rPr>
                      <w:rFonts w:hint="eastAsia"/>
                      <w:highlight w:val="none"/>
                    </w:rPr>
                    <w:t>本项目不属于钢铁、玻璃、焦化、化工等重污染企业</w:t>
                  </w:r>
                  <w:r>
                    <w:rPr>
                      <w:rFonts w:hint="eastAsia"/>
                      <w:highlight w:val="none"/>
                      <w:lang w:eastAsia="zh-CN"/>
                    </w:rPr>
                    <w:t>，项目位于大庄镇工业园，属于工业用地</w:t>
                  </w:r>
                  <w:r>
                    <w:rPr>
                      <w:rFonts w:hint="eastAsia"/>
                      <w:highlight w:val="none"/>
                    </w:rPr>
                    <w:t>。</w:t>
                  </w:r>
                </w:p>
              </w:tc>
              <w:tc>
                <w:tcPr>
                  <w:tcW w:w="699" w:type="pct"/>
                  <w:noWrap/>
                  <w:vAlign w:val="center"/>
                </w:tcPr>
                <w:p>
                  <w:pPr>
                    <w:pStyle w:val="25"/>
                    <w:bidi w:val="0"/>
                    <w:rPr>
                      <w:highlight w:val="none"/>
                    </w:rPr>
                  </w:pPr>
                  <w:r>
                    <w:rPr>
                      <w:highlight w:val="none"/>
                    </w:rPr>
                    <w:t>符合</w:t>
                  </w:r>
                </w:p>
              </w:tc>
            </w:tr>
          </w:tbl>
          <w:p>
            <w:pPr>
              <w:ind w:firstLine="480"/>
              <w:rPr>
                <w:color w:val="auto"/>
                <w:highlight w:val="none"/>
              </w:rPr>
            </w:pPr>
            <w:r>
              <w:rPr>
                <w:rFonts w:hint="eastAsia"/>
                <w:color w:val="auto"/>
                <w:highlight w:val="none"/>
              </w:rPr>
              <w:t>由上述分析可知，本项目符合</w:t>
            </w:r>
            <w:r>
              <w:rPr>
                <w:color w:val="auto"/>
                <w:highlight w:val="none"/>
              </w:rPr>
              <w:t>《安徽省2021年应对气候变化和大气污染防治重点工作任务》</w:t>
            </w:r>
            <w:r>
              <w:rPr>
                <w:rFonts w:hint="eastAsia"/>
                <w:color w:val="auto"/>
                <w:highlight w:val="none"/>
              </w:rPr>
              <w:t>（皖大气办〔2021〕3号）要求。</w:t>
            </w:r>
          </w:p>
          <w:p>
            <w:pPr>
              <w:adjustRightInd w:val="0"/>
              <w:snapToGrid w:val="0"/>
              <w:spacing w:before="120" w:beforeLines="50"/>
              <w:ind w:firstLine="482"/>
              <w:rPr>
                <w:b/>
                <w:bCs/>
                <w:color w:val="auto"/>
                <w:highlight w:val="none"/>
              </w:rPr>
            </w:pPr>
            <w:r>
              <w:rPr>
                <w:rFonts w:hint="eastAsia"/>
                <w:b/>
                <w:bCs/>
                <w:color w:val="auto"/>
                <w:highlight w:val="none"/>
                <w:lang w:val="en-US" w:eastAsia="zh-CN"/>
              </w:rPr>
              <w:t>5、</w:t>
            </w:r>
            <w:r>
              <w:rPr>
                <w:b/>
                <w:bCs/>
                <w:color w:val="auto"/>
                <w:highlight w:val="none"/>
              </w:rPr>
              <w:t>与《2021-2022年秋冬季大气污染综合治理攻坚方案》符合性分析</w:t>
            </w:r>
          </w:p>
          <w:p>
            <w:pPr>
              <w:pStyle w:val="24"/>
              <w:bidi w:val="0"/>
              <w:rPr>
                <w:rFonts w:hint="eastAsia"/>
                <w:highlight w:val="none"/>
                <w:lang w:val="en-US" w:eastAsia="zh-CN"/>
              </w:rPr>
            </w:pPr>
            <w:r>
              <w:rPr>
                <w:highlight w:val="none"/>
              </w:rPr>
              <w:t>表</w:t>
            </w:r>
            <w:r>
              <w:rPr>
                <w:rFonts w:hint="eastAsia"/>
                <w:highlight w:val="none"/>
              </w:rPr>
              <w:t>1</w:t>
            </w:r>
            <w:r>
              <w:rPr>
                <w:rFonts w:hint="eastAsia"/>
                <w:highlight w:val="none"/>
                <w:lang w:val="en-US" w:eastAsia="zh-CN"/>
              </w:rPr>
              <w:t xml:space="preserve">-4  </w:t>
            </w:r>
            <w:r>
              <w:rPr>
                <w:highlight w:val="none"/>
              </w:rPr>
              <w:t>与《2021-2022年秋冬季大气污染综合治理攻坚方案》的通知相符性分析</w:t>
            </w:r>
          </w:p>
          <w:tbl>
            <w:tblPr>
              <w:tblStyle w:val="21"/>
              <w:tblW w:w="7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045"/>
              <w:gridCol w:w="1407"/>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8" w:type="pct"/>
                  <w:noWrap w:val="0"/>
                  <w:vAlign w:val="center"/>
                </w:tcPr>
                <w:p>
                  <w:pPr>
                    <w:pStyle w:val="25"/>
                    <w:bidi w:val="0"/>
                    <w:rPr>
                      <w:highlight w:val="none"/>
                    </w:rPr>
                  </w:pPr>
                  <w:r>
                    <w:rPr>
                      <w:highlight w:val="none"/>
                    </w:rPr>
                    <w:t>序号</w:t>
                  </w:r>
                </w:p>
              </w:tc>
              <w:tc>
                <w:tcPr>
                  <w:tcW w:w="2876" w:type="pct"/>
                  <w:noWrap w:val="0"/>
                  <w:vAlign w:val="center"/>
                </w:tcPr>
                <w:p>
                  <w:pPr>
                    <w:pStyle w:val="25"/>
                    <w:bidi w:val="0"/>
                    <w:rPr>
                      <w:highlight w:val="none"/>
                    </w:rPr>
                  </w:pPr>
                  <w:r>
                    <w:rPr>
                      <w:highlight w:val="none"/>
                    </w:rPr>
                    <w:t>方案内容</w:t>
                  </w:r>
                </w:p>
              </w:tc>
              <w:tc>
                <w:tcPr>
                  <w:tcW w:w="1000" w:type="pct"/>
                  <w:noWrap w:val="0"/>
                  <w:vAlign w:val="center"/>
                </w:tcPr>
                <w:p>
                  <w:pPr>
                    <w:pStyle w:val="25"/>
                    <w:bidi w:val="0"/>
                    <w:rPr>
                      <w:rFonts w:hint="default"/>
                      <w:highlight w:val="none"/>
                      <w:lang w:val="en-US" w:eastAsia="zh-CN"/>
                    </w:rPr>
                  </w:pPr>
                  <w:r>
                    <w:rPr>
                      <w:rFonts w:hint="eastAsia"/>
                      <w:highlight w:val="none"/>
                      <w:lang w:val="en-US" w:eastAsia="zh-CN"/>
                    </w:rPr>
                    <w:t>本项目建设情况</w:t>
                  </w:r>
                </w:p>
              </w:tc>
              <w:tc>
                <w:tcPr>
                  <w:tcW w:w="625" w:type="pct"/>
                  <w:noWrap w:val="0"/>
                  <w:vAlign w:val="center"/>
                </w:tcPr>
                <w:p>
                  <w:pPr>
                    <w:pStyle w:val="25"/>
                    <w:bidi w:val="0"/>
                    <w:rPr>
                      <w:highlight w:val="none"/>
                    </w:rPr>
                  </w:pPr>
                  <w:r>
                    <w:rPr>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8" w:type="pct"/>
                  <w:noWrap w:val="0"/>
                  <w:vAlign w:val="center"/>
                </w:tcPr>
                <w:p>
                  <w:pPr>
                    <w:pStyle w:val="25"/>
                    <w:bidi w:val="0"/>
                    <w:rPr>
                      <w:highlight w:val="none"/>
                    </w:rPr>
                  </w:pPr>
                  <w:r>
                    <w:rPr>
                      <w:highlight w:val="none"/>
                    </w:rPr>
                    <w:t>1</w:t>
                  </w:r>
                </w:p>
              </w:tc>
              <w:tc>
                <w:tcPr>
                  <w:tcW w:w="2876" w:type="pct"/>
                  <w:noWrap w:val="0"/>
                  <w:vAlign w:val="center"/>
                </w:tcPr>
                <w:p>
                  <w:pPr>
                    <w:pStyle w:val="25"/>
                    <w:bidi w:val="0"/>
                    <w:rPr>
                      <w:rFonts w:hint="eastAsia" w:eastAsia="宋体"/>
                      <w:highlight w:val="none"/>
                      <w:lang w:eastAsia="zh-CN"/>
                    </w:rPr>
                  </w:pPr>
                  <w:r>
                    <w:rPr>
                      <w:rFonts w:hint="eastAsia"/>
                      <w:highlight w:val="none"/>
                    </w:rPr>
                    <w:t>各地要深入贯彻落实党中央、国务院关于坚决遏制</w:t>
                  </w:r>
                  <w:r>
                    <w:rPr>
                      <w:rFonts w:hint="eastAsia"/>
                      <w:highlight w:val="none"/>
                      <w:lang w:eastAsia="zh-CN"/>
                    </w:rPr>
                    <w:t>“</w:t>
                  </w:r>
                  <w:r>
                    <w:rPr>
                      <w:rFonts w:hint="eastAsia"/>
                      <w:highlight w:val="none"/>
                    </w:rPr>
                    <w:t>两高</w:t>
                  </w:r>
                  <w:r>
                    <w:rPr>
                      <w:rFonts w:hint="eastAsia"/>
                      <w:highlight w:val="none"/>
                      <w:lang w:eastAsia="zh-CN"/>
                    </w:rPr>
                    <w:t>”</w:t>
                  </w:r>
                  <w:r>
                    <w:rPr>
                      <w:rFonts w:hint="eastAsia"/>
                      <w:highlight w:val="none"/>
                    </w:rPr>
                    <w:t>项目盲目发展相关决策部署，按照《关于加强高耗能、高排放建设项目生态环境源头防控的指导意见》等文件要求，全面梳理排查拟建、在建和存量</w:t>
                  </w:r>
                  <w:r>
                    <w:rPr>
                      <w:rFonts w:hint="eastAsia"/>
                      <w:highlight w:val="none"/>
                      <w:lang w:eastAsia="zh-CN"/>
                    </w:rPr>
                    <w:t>“</w:t>
                  </w:r>
                  <w:r>
                    <w:rPr>
                      <w:rFonts w:hint="eastAsia"/>
                      <w:highlight w:val="none"/>
                    </w:rPr>
                    <w:t>两高</w:t>
                  </w:r>
                  <w:r>
                    <w:rPr>
                      <w:rFonts w:hint="eastAsia"/>
                      <w:highlight w:val="none"/>
                      <w:lang w:eastAsia="zh-CN"/>
                    </w:rPr>
                    <w:t>”</w:t>
                  </w:r>
                  <w:r>
                    <w:rPr>
                      <w:rFonts w:hint="eastAsia"/>
                      <w:highlight w:val="none"/>
                    </w:rPr>
                    <w:t>项目，对</w:t>
                  </w:r>
                  <w:r>
                    <w:rPr>
                      <w:rFonts w:hint="eastAsia"/>
                      <w:highlight w:val="none"/>
                      <w:lang w:eastAsia="zh-CN"/>
                    </w:rPr>
                    <w:t>“</w:t>
                  </w:r>
                  <w:r>
                    <w:rPr>
                      <w:rFonts w:hint="eastAsia"/>
                      <w:highlight w:val="none"/>
                    </w:rPr>
                    <w:t>两高</w:t>
                  </w:r>
                  <w:r>
                    <w:rPr>
                      <w:rFonts w:hint="eastAsia"/>
                      <w:highlight w:val="none"/>
                      <w:lang w:eastAsia="zh-CN"/>
                    </w:rPr>
                    <w:t>”</w:t>
                  </w:r>
                  <w:r>
                    <w:rPr>
                      <w:rFonts w:hint="eastAsia"/>
                      <w:highlight w:val="none"/>
                    </w:rPr>
                    <w:t>项目实行清单管理，进行分类处置、动态监控。严格落实能耗双控、产能置换、污染物区域削减、煤炭减量替代等要求，不符合要求的</w:t>
                  </w:r>
                  <w:r>
                    <w:rPr>
                      <w:rFonts w:hint="eastAsia"/>
                      <w:highlight w:val="none"/>
                      <w:lang w:eastAsia="zh-CN"/>
                    </w:rPr>
                    <w:t>“</w:t>
                  </w:r>
                  <w:r>
                    <w:rPr>
                      <w:rFonts w:hint="eastAsia"/>
                      <w:highlight w:val="none"/>
                    </w:rPr>
                    <w:t>两高</w:t>
                  </w:r>
                  <w:r>
                    <w:rPr>
                      <w:rFonts w:hint="eastAsia"/>
                      <w:highlight w:val="none"/>
                      <w:lang w:eastAsia="zh-CN"/>
                    </w:rPr>
                    <w:t>”</w:t>
                  </w:r>
                  <w:r>
                    <w:rPr>
                      <w:rFonts w:hint="eastAsia"/>
                      <w:highlight w:val="none"/>
                    </w:rPr>
                    <w:t>项目要坚决整改。认真开展自查自纠，严查违规上马、未批先建项目，严格依法查处违法违规企业。对标国内外产品能效、环保先进水平，推动在建和拟建</w:t>
                  </w:r>
                  <w:r>
                    <w:rPr>
                      <w:rFonts w:hint="eastAsia"/>
                      <w:highlight w:val="none"/>
                      <w:lang w:eastAsia="zh-CN"/>
                    </w:rPr>
                    <w:t>“</w:t>
                  </w:r>
                  <w:r>
                    <w:rPr>
                      <w:rFonts w:hint="eastAsia"/>
                      <w:highlight w:val="none"/>
                    </w:rPr>
                    <w:t>两高</w:t>
                  </w:r>
                  <w:r>
                    <w:rPr>
                      <w:rFonts w:hint="eastAsia"/>
                      <w:highlight w:val="none"/>
                      <w:lang w:eastAsia="zh-CN"/>
                    </w:rPr>
                    <w:t>”</w:t>
                  </w:r>
                  <w:r>
                    <w:rPr>
                      <w:rFonts w:hint="eastAsia"/>
                      <w:highlight w:val="none"/>
                    </w:rPr>
                    <w:t>项目能效、环保水平提升，推进存量</w:t>
                  </w:r>
                  <w:r>
                    <w:rPr>
                      <w:rFonts w:hint="eastAsia"/>
                      <w:highlight w:val="none"/>
                      <w:lang w:eastAsia="zh-CN"/>
                    </w:rPr>
                    <w:t>“</w:t>
                  </w:r>
                  <w:r>
                    <w:rPr>
                      <w:rFonts w:hint="eastAsia"/>
                      <w:highlight w:val="none"/>
                    </w:rPr>
                    <w:t>两高</w:t>
                  </w:r>
                  <w:r>
                    <w:rPr>
                      <w:rFonts w:hint="eastAsia"/>
                      <w:highlight w:val="none"/>
                      <w:lang w:eastAsia="zh-CN"/>
                    </w:rPr>
                    <w:t>”</w:t>
                  </w:r>
                  <w:r>
                    <w:rPr>
                      <w:rFonts w:hint="eastAsia"/>
                      <w:highlight w:val="none"/>
                    </w:rPr>
                    <w:t>项目改造升级。严厉打击</w:t>
                  </w:r>
                  <w:r>
                    <w:rPr>
                      <w:rFonts w:hint="eastAsia"/>
                      <w:highlight w:val="none"/>
                      <w:lang w:eastAsia="zh-CN"/>
                    </w:rPr>
                    <w:t>“</w:t>
                  </w:r>
                  <w:r>
                    <w:rPr>
                      <w:rFonts w:hint="eastAsia"/>
                      <w:highlight w:val="none"/>
                    </w:rPr>
                    <w:t>两高</w:t>
                  </w:r>
                  <w:r>
                    <w:rPr>
                      <w:rFonts w:hint="eastAsia"/>
                      <w:highlight w:val="none"/>
                      <w:lang w:eastAsia="zh-CN"/>
                    </w:rPr>
                    <w:t>”</w:t>
                  </w:r>
                  <w:r>
                    <w:rPr>
                      <w:rFonts w:hint="eastAsia"/>
                      <w:highlight w:val="none"/>
                    </w:rPr>
                    <w:t>企业无证排污、不按证排污等各类违法行为，及时曝光违反排污许可制度的典型案例</w:t>
                  </w:r>
                  <w:r>
                    <w:rPr>
                      <w:rFonts w:hint="eastAsia"/>
                      <w:highlight w:val="none"/>
                      <w:lang w:eastAsia="zh-CN"/>
                    </w:rPr>
                    <w:t>。</w:t>
                  </w:r>
                </w:p>
              </w:tc>
              <w:tc>
                <w:tcPr>
                  <w:tcW w:w="1000" w:type="pct"/>
                  <w:noWrap w:val="0"/>
                  <w:vAlign w:val="center"/>
                </w:tcPr>
                <w:p>
                  <w:pPr>
                    <w:pStyle w:val="25"/>
                    <w:bidi w:val="0"/>
                    <w:rPr>
                      <w:rFonts w:hint="eastAsia" w:eastAsia="宋体"/>
                      <w:highlight w:val="none"/>
                      <w:lang w:eastAsia="zh-CN"/>
                    </w:rPr>
                  </w:pPr>
                  <w:r>
                    <w:rPr>
                      <w:rFonts w:hint="eastAsia"/>
                      <w:highlight w:val="none"/>
                    </w:rPr>
                    <w:t>本项目</w:t>
                  </w:r>
                  <w:r>
                    <w:rPr>
                      <w:rFonts w:hint="eastAsia"/>
                      <w:highlight w:val="none"/>
                      <w:lang w:eastAsia="zh-CN"/>
                    </w:rPr>
                    <w:t>为</w:t>
                  </w:r>
                  <w:r>
                    <w:rPr>
                      <w:rFonts w:hint="default"/>
                      <w:highlight w:val="none"/>
                      <w:lang w:eastAsia="zh-CN"/>
                    </w:rPr>
                    <w:t>缝纫机台板智能喷漆生产线项目</w:t>
                  </w:r>
                  <w:r>
                    <w:rPr>
                      <w:rFonts w:hint="eastAsia"/>
                      <w:highlight w:val="none"/>
                      <w:lang w:eastAsia="zh-CN"/>
                    </w:rPr>
                    <w:t>，</w:t>
                  </w:r>
                  <w:r>
                    <w:rPr>
                      <w:rFonts w:hint="eastAsia"/>
                      <w:highlight w:val="none"/>
                    </w:rPr>
                    <w:t>不属于</w:t>
                  </w:r>
                  <w:r>
                    <w:rPr>
                      <w:rFonts w:hint="eastAsia"/>
                      <w:highlight w:val="none"/>
                      <w:lang w:eastAsia="zh-CN"/>
                    </w:rPr>
                    <w:t>“</w:t>
                  </w:r>
                  <w:r>
                    <w:rPr>
                      <w:rFonts w:hint="eastAsia"/>
                      <w:highlight w:val="none"/>
                    </w:rPr>
                    <w:t>两高</w:t>
                  </w:r>
                  <w:r>
                    <w:rPr>
                      <w:rFonts w:hint="eastAsia"/>
                      <w:highlight w:val="none"/>
                      <w:lang w:eastAsia="zh-CN"/>
                    </w:rPr>
                    <w:t>”</w:t>
                  </w:r>
                  <w:r>
                    <w:rPr>
                      <w:rFonts w:hint="eastAsia"/>
                      <w:highlight w:val="none"/>
                    </w:rPr>
                    <w:t>项目</w:t>
                  </w:r>
                  <w:r>
                    <w:rPr>
                      <w:rFonts w:hint="eastAsia"/>
                      <w:highlight w:val="none"/>
                      <w:lang w:eastAsia="zh-CN"/>
                    </w:rPr>
                    <w:t>。</w:t>
                  </w:r>
                </w:p>
              </w:tc>
              <w:tc>
                <w:tcPr>
                  <w:tcW w:w="625" w:type="pct"/>
                  <w:noWrap w:val="0"/>
                  <w:vAlign w:val="center"/>
                </w:tcPr>
                <w:p>
                  <w:pPr>
                    <w:pStyle w:val="25"/>
                    <w:bidi w:val="0"/>
                    <w:rPr>
                      <w:highlight w:val="none"/>
                    </w:rPr>
                  </w:pPr>
                  <w:r>
                    <w:rPr>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0" w:hRule="atLeast"/>
                <w:jc w:val="center"/>
              </w:trPr>
              <w:tc>
                <w:tcPr>
                  <w:tcW w:w="498" w:type="pct"/>
                  <w:noWrap w:val="0"/>
                  <w:vAlign w:val="center"/>
                </w:tcPr>
                <w:p>
                  <w:pPr>
                    <w:pStyle w:val="25"/>
                    <w:bidi w:val="0"/>
                    <w:rPr>
                      <w:rFonts w:hint="eastAsia"/>
                      <w:highlight w:val="none"/>
                      <w:lang w:eastAsia="zh-CN"/>
                    </w:rPr>
                  </w:pPr>
                  <w:r>
                    <w:rPr>
                      <w:rFonts w:hint="eastAsia"/>
                      <w:highlight w:val="none"/>
                      <w:lang w:val="en-US" w:eastAsia="zh-CN"/>
                    </w:rPr>
                    <w:t>2</w:t>
                  </w:r>
                </w:p>
              </w:tc>
              <w:tc>
                <w:tcPr>
                  <w:tcW w:w="2876" w:type="pct"/>
                  <w:noWrap w:val="0"/>
                  <w:vAlign w:val="center"/>
                </w:tcPr>
                <w:p>
                  <w:pPr>
                    <w:pStyle w:val="25"/>
                    <w:bidi w:val="0"/>
                    <w:rPr>
                      <w:rFonts w:hint="eastAsia"/>
                      <w:highlight w:val="none"/>
                      <w:lang w:val="en-US" w:eastAsia="zh-CN"/>
                    </w:rPr>
                  </w:pPr>
                  <w:r>
                    <w:rPr>
                      <w:rFonts w:hint="eastAsia"/>
                      <w:highlight w:val="none"/>
                    </w:rPr>
                    <w:t>严格落实《关于加快解决当前挥发性有机物治理突出问题的通知》有关要求，高质量完成排查治理工作。2021年10月底前，以石化、化工、工业涂装、包装印刷以及油品储运销为重点，结合本地特色产业，组织企业针对挥发性有机液体储罐、装卸、敞开液面、泄漏检测与修复、废气收集、废气旁路、治理设施、加油站、非正常工况、产品VOCs含量等10个关键环节完成一轮排查工作。在企业自查基础上，各地生态环境部门开展一轮检查抽测，对排污许可重点管理企业全覆盖。2021年12月底前，各地对检查抽测以及夏季臭氧污染防治监督帮扶工作中发现存在的突出问题，指导企业制定整改方案加快按照治理要求进行整治，提高VOCs治理工作的针对性和有效性，做到</w:t>
                  </w:r>
                  <w:r>
                    <w:rPr>
                      <w:rFonts w:hint="eastAsia"/>
                      <w:highlight w:val="none"/>
                      <w:lang w:eastAsia="zh-CN"/>
                    </w:rPr>
                    <w:t>“</w:t>
                  </w:r>
                  <w:r>
                    <w:rPr>
                      <w:rFonts w:hint="eastAsia"/>
                      <w:highlight w:val="none"/>
                    </w:rPr>
                    <w:t>夏病冬治</w:t>
                  </w:r>
                  <w:r>
                    <w:rPr>
                      <w:rFonts w:hint="eastAsia"/>
                      <w:highlight w:val="none"/>
                      <w:lang w:eastAsia="zh-CN"/>
                    </w:rPr>
                    <w:t>”</w:t>
                  </w:r>
                  <w:r>
                    <w:rPr>
                      <w:rFonts w:hint="eastAsia"/>
                      <w:highlight w:val="none"/>
                    </w:rPr>
                    <w:t>。加强国家和地方涂料、油墨、胶粘剂、清洗剂等产品VOCs含量限值标准执行情况的监督检查。培育树立一批VOCs治理的标杆企业，加大宣传力度，形成带动效应</w:t>
                  </w:r>
                  <w:r>
                    <w:rPr>
                      <w:rFonts w:hint="eastAsia"/>
                      <w:highlight w:val="none"/>
                      <w:lang w:eastAsia="zh-CN"/>
                    </w:rPr>
                    <w:t>。</w:t>
                  </w:r>
                </w:p>
              </w:tc>
              <w:tc>
                <w:tcPr>
                  <w:tcW w:w="1000" w:type="pct"/>
                  <w:noWrap w:val="0"/>
                  <w:vAlign w:val="center"/>
                </w:tcPr>
                <w:p>
                  <w:pPr>
                    <w:pStyle w:val="25"/>
                    <w:bidi w:val="0"/>
                    <w:rPr>
                      <w:rFonts w:hint="default"/>
                      <w:highlight w:val="none"/>
                      <w:lang w:val="en-US" w:eastAsia="zh-CN"/>
                    </w:rPr>
                  </w:pPr>
                  <w:r>
                    <w:rPr>
                      <w:rFonts w:hint="eastAsia"/>
                      <w:highlight w:val="none"/>
                    </w:rPr>
                    <w:t>本项目</w:t>
                  </w:r>
                  <w:r>
                    <w:rPr>
                      <w:rFonts w:hint="eastAsia"/>
                      <w:highlight w:val="none"/>
                      <w:lang w:eastAsia="zh-CN"/>
                    </w:rPr>
                    <w:t>使用的</w:t>
                  </w:r>
                  <w:r>
                    <w:rPr>
                      <w:rFonts w:hint="eastAsia"/>
                      <w:highlight w:val="none"/>
                      <w:lang w:val="en-US" w:eastAsia="zh-CN"/>
                    </w:rPr>
                    <w:t>UV漆为低VOCs环保涂料，产生的有机废气经二级活性炭处理后有组织达标排放。</w:t>
                  </w:r>
                </w:p>
              </w:tc>
              <w:tc>
                <w:tcPr>
                  <w:tcW w:w="625" w:type="pct"/>
                  <w:noWrap w:val="0"/>
                  <w:vAlign w:val="center"/>
                </w:tcPr>
                <w:p>
                  <w:pPr>
                    <w:pStyle w:val="25"/>
                    <w:bidi w:val="0"/>
                    <w:rPr>
                      <w:highlight w:val="none"/>
                    </w:rPr>
                  </w:pPr>
                  <w:r>
                    <w:rPr>
                      <w:highlight w:val="none"/>
                    </w:rPr>
                    <w:t>相符</w:t>
                  </w:r>
                </w:p>
              </w:tc>
            </w:tr>
          </w:tbl>
          <w:p>
            <w:pPr>
              <w:keepNext w:val="0"/>
              <w:keepLines w:val="0"/>
              <w:pageBreakBefore w:val="0"/>
              <w:widowControl w:val="0"/>
              <w:kinsoku/>
              <w:wordWrap/>
              <w:overflowPunct/>
              <w:topLinePunct w:val="0"/>
              <w:bidi w:val="0"/>
              <w:ind w:firstLine="480"/>
              <w:textAlignment w:val="auto"/>
              <w:rPr>
                <w:rFonts w:hint="eastAsia"/>
                <w:color w:val="auto"/>
                <w:highlight w:val="none"/>
              </w:rPr>
            </w:pPr>
          </w:p>
          <w:p>
            <w:pPr>
              <w:ind w:firstLine="482"/>
              <w:rPr>
                <w:color w:val="auto"/>
                <w:highlight w:val="none"/>
              </w:rPr>
            </w:pPr>
            <w:r>
              <w:rPr>
                <w:rFonts w:hint="eastAsia"/>
                <w:b/>
                <w:bCs/>
                <w:color w:val="auto"/>
                <w:highlight w:val="none"/>
                <w:lang w:val="en-US" w:eastAsia="zh-CN"/>
              </w:rPr>
              <w:t>6</w:t>
            </w:r>
            <w:r>
              <w:rPr>
                <w:rFonts w:hint="eastAsia"/>
                <w:b/>
                <w:bCs/>
                <w:color w:val="auto"/>
                <w:highlight w:val="none"/>
              </w:rPr>
              <w:t>、</w:t>
            </w:r>
            <w:r>
              <w:rPr>
                <w:b/>
                <w:bCs/>
                <w:color w:val="auto"/>
                <w:highlight w:val="none"/>
              </w:rPr>
              <w:t>与挥发性有机物相关文件相符性分析</w:t>
            </w:r>
          </w:p>
          <w:p>
            <w:pPr>
              <w:pStyle w:val="24"/>
              <w:bidi w:val="0"/>
              <w:rPr>
                <w:highlight w:val="none"/>
              </w:rPr>
            </w:pPr>
            <w:r>
              <w:rPr>
                <w:highlight w:val="none"/>
              </w:rPr>
              <w:t>表1-</w:t>
            </w:r>
            <w:r>
              <w:rPr>
                <w:rFonts w:hint="eastAsia"/>
                <w:highlight w:val="none"/>
                <w:lang w:val="en-US" w:eastAsia="zh-CN"/>
              </w:rPr>
              <w:t xml:space="preserve">5 </w:t>
            </w:r>
            <w:r>
              <w:rPr>
                <w:highlight w:val="none"/>
              </w:rPr>
              <w:t xml:space="preserve"> 项目与挥发性有机物相关文件相符性分析</w:t>
            </w:r>
            <w:r>
              <w:rPr>
                <w:rFonts w:hint="eastAsia"/>
                <w:highlight w:val="none"/>
              </w:rPr>
              <w:t>表</w:t>
            </w:r>
          </w:p>
          <w:tbl>
            <w:tblPr>
              <w:tblStyle w:val="20"/>
              <w:tblW w:w="5051"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272"/>
              <w:gridCol w:w="1132"/>
              <w:gridCol w:w="3104"/>
              <w:gridCol w:w="1951"/>
              <w:gridCol w:w="4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95" w:type="pct"/>
                  <w:tcBorders>
                    <w:tl2br w:val="nil"/>
                    <w:tr2bl w:val="nil"/>
                  </w:tcBorders>
                  <w:vAlign w:val="center"/>
                </w:tcPr>
                <w:p>
                  <w:pPr>
                    <w:pStyle w:val="25"/>
                    <w:bidi w:val="0"/>
                    <w:rPr>
                      <w:highlight w:val="none"/>
                    </w:rPr>
                  </w:pPr>
                  <w:r>
                    <w:rPr>
                      <w:highlight w:val="none"/>
                    </w:rPr>
                    <w:t>序号</w:t>
                  </w:r>
                </w:p>
              </w:tc>
              <w:tc>
                <w:tcPr>
                  <w:tcW w:w="814" w:type="pct"/>
                  <w:tcBorders>
                    <w:tl2br w:val="nil"/>
                    <w:tr2bl w:val="nil"/>
                  </w:tcBorders>
                  <w:vAlign w:val="center"/>
                </w:tcPr>
                <w:p>
                  <w:pPr>
                    <w:pStyle w:val="25"/>
                    <w:bidi w:val="0"/>
                    <w:rPr>
                      <w:highlight w:val="none"/>
                    </w:rPr>
                  </w:pPr>
                  <w:r>
                    <w:rPr>
                      <w:highlight w:val="none"/>
                    </w:rPr>
                    <w:t>文件</w:t>
                  </w:r>
                </w:p>
              </w:tc>
              <w:tc>
                <w:tcPr>
                  <w:tcW w:w="2232" w:type="pct"/>
                  <w:tcBorders>
                    <w:tl2br w:val="nil"/>
                    <w:tr2bl w:val="nil"/>
                  </w:tcBorders>
                  <w:vAlign w:val="center"/>
                </w:tcPr>
                <w:p>
                  <w:pPr>
                    <w:pStyle w:val="25"/>
                    <w:bidi w:val="0"/>
                    <w:rPr>
                      <w:highlight w:val="none"/>
                    </w:rPr>
                  </w:pPr>
                  <w:r>
                    <w:rPr>
                      <w:rFonts w:hint="eastAsia"/>
                      <w:highlight w:val="none"/>
                      <w:lang w:val="en-US" w:eastAsia="zh-CN"/>
                    </w:rPr>
                    <w:t>文件</w:t>
                  </w:r>
                  <w:r>
                    <w:rPr>
                      <w:highlight w:val="none"/>
                    </w:rPr>
                    <w:t>要求</w:t>
                  </w:r>
                </w:p>
              </w:tc>
              <w:tc>
                <w:tcPr>
                  <w:tcW w:w="1402" w:type="pct"/>
                  <w:tcBorders>
                    <w:tl2br w:val="nil"/>
                    <w:tr2bl w:val="nil"/>
                  </w:tcBorders>
                  <w:vAlign w:val="center"/>
                </w:tcPr>
                <w:p>
                  <w:pPr>
                    <w:pStyle w:val="25"/>
                    <w:bidi w:val="0"/>
                    <w:rPr>
                      <w:rFonts w:hint="default"/>
                      <w:highlight w:val="none"/>
                      <w:lang w:val="en-US" w:eastAsia="zh-CN"/>
                    </w:rPr>
                  </w:pPr>
                  <w:r>
                    <w:rPr>
                      <w:rFonts w:hint="eastAsia"/>
                      <w:highlight w:val="none"/>
                      <w:lang w:val="en-US" w:eastAsia="zh-CN"/>
                    </w:rPr>
                    <w:t>本项目建设情况</w:t>
                  </w:r>
                </w:p>
              </w:tc>
              <w:tc>
                <w:tcPr>
                  <w:tcW w:w="355" w:type="pct"/>
                  <w:tcBorders>
                    <w:tl2br w:val="nil"/>
                    <w:tr2bl w:val="nil"/>
                  </w:tcBorders>
                  <w:vAlign w:val="center"/>
                </w:tcPr>
                <w:p>
                  <w:pPr>
                    <w:pStyle w:val="25"/>
                    <w:bidi w:val="0"/>
                    <w:rPr>
                      <w:rFonts w:hint="eastAsia"/>
                      <w:highlight w:val="none"/>
                      <w:lang w:val="en-US" w:eastAsia="zh-CN"/>
                    </w:rPr>
                  </w:pPr>
                  <w:r>
                    <w:rPr>
                      <w:rFonts w:hint="eastAsia"/>
                      <w:highlight w:val="none"/>
                      <w:lang w:val="en-US" w:eastAsia="zh-CN"/>
                    </w:rPr>
                    <w:t>相符性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95" w:type="pct"/>
                  <w:tcBorders>
                    <w:tl2br w:val="nil"/>
                    <w:tr2bl w:val="nil"/>
                  </w:tcBorders>
                  <w:vAlign w:val="center"/>
                </w:tcPr>
                <w:p>
                  <w:pPr>
                    <w:pStyle w:val="25"/>
                    <w:bidi w:val="0"/>
                    <w:rPr>
                      <w:highlight w:val="none"/>
                    </w:rPr>
                  </w:pPr>
                  <w:r>
                    <w:rPr>
                      <w:highlight w:val="none"/>
                    </w:rPr>
                    <w:t>1</w:t>
                  </w:r>
                </w:p>
              </w:tc>
              <w:tc>
                <w:tcPr>
                  <w:tcW w:w="814" w:type="pct"/>
                  <w:tcBorders>
                    <w:tl2br w:val="nil"/>
                    <w:tr2bl w:val="nil"/>
                  </w:tcBorders>
                  <w:vAlign w:val="center"/>
                </w:tcPr>
                <w:p>
                  <w:pPr>
                    <w:pStyle w:val="25"/>
                    <w:bidi w:val="0"/>
                    <w:rPr>
                      <w:highlight w:val="none"/>
                    </w:rPr>
                  </w:pPr>
                  <w:r>
                    <w:rPr>
                      <w:highlight w:val="none"/>
                    </w:rPr>
                    <w:t>《挥发性有机物</w:t>
                  </w:r>
                  <w:r>
                    <w:rPr>
                      <w:rFonts w:hint="eastAsia"/>
                      <w:highlight w:val="none"/>
                      <w:lang w:eastAsia="zh-CN"/>
                    </w:rPr>
                    <w:t>（</w:t>
                  </w:r>
                  <w:r>
                    <w:rPr>
                      <w:highlight w:val="none"/>
                    </w:rPr>
                    <w:t>VOCs</w:t>
                  </w:r>
                  <w:r>
                    <w:rPr>
                      <w:rFonts w:hint="eastAsia"/>
                      <w:highlight w:val="none"/>
                      <w:lang w:eastAsia="zh-CN"/>
                    </w:rPr>
                    <w:t>）</w:t>
                  </w:r>
                  <w:r>
                    <w:rPr>
                      <w:highlight w:val="none"/>
                    </w:rPr>
                    <w:t>污染防治技术政策》</w:t>
                  </w:r>
                </w:p>
              </w:tc>
              <w:tc>
                <w:tcPr>
                  <w:tcW w:w="2232" w:type="pct"/>
                  <w:tcBorders>
                    <w:tl2br w:val="nil"/>
                    <w:tr2bl w:val="nil"/>
                  </w:tcBorders>
                  <w:vAlign w:val="center"/>
                </w:tcPr>
                <w:p>
                  <w:pPr>
                    <w:pStyle w:val="25"/>
                    <w:bidi w:val="0"/>
                    <w:rPr>
                      <w:highlight w:val="none"/>
                    </w:rPr>
                  </w:pPr>
                  <w:r>
                    <w:rPr>
                      <w:rFonts w:hint="eastAsia"/>
                      <w:highlight w:val="none"/>
                    </w:rPr>
                    <w:t>VOCs污染防治应遵循源头和过程控制与末端治理相结合的综合防治原则。在工业生产中采用清洁生产技术，严格控制含VOCs原料与产品在生产和储运销过程中的VOCs排放，鼓励对资源和能源的回收利用；鼓励在生产和生活中使用不含VOCs的替代产品或低VOCs含量的产品。</w:t>
                  </w:r>
                </w:p>
              </w:tc>
              <w:tc>
                <w:tcPr>
                  <w:tcW w:w="1402" w:type="pct"/>
                  <w:tcBorders>
                    <w:tl2br w:val="nil"/>
                    <w:tr2bl w:val="nil"/>
                  </w:tcBorders>
                  <w:vAlign w:val="center"/>
                </w:tcPr>
                <w:p>
                  <w:pPr>
                    <w:pStyle w:val="25"/>
                    <w:bidi w:val="0"/>
                    <w:rPr>
                      <w:highlight w:val="none"/>
                    </w:rPr>
                  </w:pPr>
                  <w:r>
                    <w:rPr>
                      <w:rFonts w:hint="eastAsia"/>
                      <w:highlight w:val="none"/>
                    </w:rPr>
                    <w:t>本项目使用的</w:t>
                  </w:r>
                  <w:r>
                    <w:rPr>
                      <w:rFonts w:hint="eastAsia"/>
                      <w:highlight w:val="none"/>
                      <w:lang w:val="en-US" w:eastAsia="zh-CN"/>
                    </w:rPr>
                    <w:t>UV漆</w:t>
                  </w:r>
                  <w:r>
                    <w:rPr>
                      <w:rFonts w:hint="eastAsia"/>
                      <w:highlight w:val="none"/>
                      <w:lang w:eastAsia="zh-CN"/>
                    </w:rPr>
                    <w:t>为低</w:t>
                  </w:r>
                  <w:r>
                    <w:rPr>
                      <w:rFonts w:hint="eastAsia"/>
                      <w:highlight w:val="none"/>
                      <w:lang w:val="en-US" w:eastAsia="zh-CN"/>
                    </w:rPr>
                    <w:t>VOCs涂料</w:t>
                  </w:r>
                  <w:r>
                    <w:rPr>
                      <w:rFonts w:hint="eastAsia"/>
                      <w:highlight w:val="none"/>
                    </w:rPr>
                    <w:t>；</w:t>
                  </w:r>
                  <w:r>
                    <w:rPr>
                      <w:rFonts w:hint="eastAsia"/>
                      <w:highlight w:val="none"/>
                      <w:lang w:val="en-US" w:eastAsia="zh-CN"/>
                    </w:rPr>
                    <w:t>生产过程中的有机废气经二级活性炭吸附后处理后通过15m高排气筒达标排放</w:t>
                  </w:r>
                  <w:r>
                    <w:rPr>
                      <w:rFonts w:hint="eastAsia"/>
                      <w:highlight w:val="none"/>
                    </w:rPr>
                    <w:t>。</w:t>
                  </w:r>
                </w:p>
              </w:tc>
              <w:tc>
                <w:tcPr>
                  <w:tcW w:w="355" w:type="pct"/>
                  <w:tcBorders>
                    <w:tl2br w:val="nil"/>
                    <w:tr2bl w:val="nil"/>
                  </w:tcBorders>
                  <w:vAlign w:val="center"/>
                </w:tcPr>
                <w:p>
                  <w:pPr>
                    <w:pStyle w:val="25"/>
                    <w:bidi w:val="0"/>
                    <w:rPr>
                      <w:rFonts w:hint="eastAsia"/>
                      <w:highlight w:val="none"/>
                      <w:lang w:val="en-US" w:eastAsia="zh-CN"/>
                    </w:rPr>
                  </w:pPr>
                  <w:r>
                    <w:rPr>
                      <w:rFonts w:hint="eastAsia"/>
                      <w:highlight w:val="none"/>
                      <w:lang w:val="en-US" w:eastAsia="zh-CN"/>
                    </w:rPr>
                    <w:t>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95" w:type="pct"/>
                  <w:tcBorders>
                    <w:tl2br w:val="nil"/>
                    <w:tr2bl w:val="nil"/>
                  </w:tcBorders>
                  <w:vAlign w:val="center"/>
                </w:tcPr>
                <w:p>
                  <w:pPr>
                    <w:pStyle w:val="25"/>
                    <w:bidi w:val="0"/>
                    <w:rPr>
                      <w:highlight w:val="none"/>
                    </w:rPr>
                  </w:pPr>
                  <w:r>
                    <w:rPr>
                      <w:rFonts w:hint="eastAsia"/>
                      <w:highlight w:val="none"/>
                    </w:rPr>
                    <w:t>2</w:t>
                  </w:r>
                </w:p>
              </w:tc>
              <w:tc>
                <w:tcPr>
                  <w:tcW w:w="814" w:type="pct"/>
                  <w:tcBorders>
                    <w:tl2br w:val="nil"/>
                    <w:tr2bl w:val="nil"/>
                  </w:tcBorders>
                  <w:vAlign w:val="center"/>
                </w:tcPr>
                <w:p>
                  <w:pPr>
                    <w:pStyle w:val="25"/>
                    <w:bidi w:val="0"/>
                    <w:rPr>
                      <w:highlight w:val="none"/>
                    </w:rPr>
                  </w:pPr>
                  <w:r>
                    <w:rPr>
                      <w:highlight w:val="none"/>
                    </w:rPr>
                    <w:t>《2020年挥发性有机污染物治理攻坚方案》（环大气【2020】33号）</w:t>
                  </w:r>
                </w:p>
              </w:tc>
              <w:tc>
                <w:tcPr>
                  <w:tcW w:w="2232" w:type="pct"/>
                  <w:tcBorders>
                    <w:tl2br w:val="nil"/>
                    <w:tr2bl w:val="nil"/>
                  </w:tcBorders>
                  <w:vAlign w:val="center"/>
                </w:tcPr>
                <w:p>
                  <w:pPr>
                    <w:pStyle w:val="25"/>
                    <w:bidi w:val="0"/>
                    <w:rPr>
                      <w:highlight w:val="none"/>
                    </w:rPr>
                  </w:pPr>
                  <w:r>
                    <w:rPr>
                      <w:highlight w:val="none"/>
                    </w:rPr>
                    <w:t>组织企业对现有VOCs废气收集率、治理设施同步运行率和去除率开展自查，重点关注单一采用光氧化、光催化、低温等离子、一次性活性炭吸附、喷淋吸收等工艺的治理设施，7月15日前完成。对达不到要求的VOCs收集、治理设施进行更换或升级改造，确保实现达标排放。除恶臭异味治理外，一般不采用低温等离子、光催化、光氧化等技术。行业排放标准中规定特别排放限值和控制要求的，应按相关规定执行；未制定行业标准的应执行大气污染物综合排放标准和挥发性有机物无组织排放控制标准；已制定更严格地方排放标准的，按地方标准执行；采用活性炭吸附技术的，应选择碘值不低于800毫克/克的活性炭，并按设计要求足量添加、及时更换；各地要督促行政区域内采用一次性活性炭吸附技术的企业按期更换活性炭，对于长期未进行更换的，于7月底前全部更换一次，并将废旧活性炭交有资质的单位处理处置，记录更换时间和使用量。</w:t>
                  </w:r>
                </w:p>
              </w:tc>
              <w:tc>
                <w:tcPr>
                  <w:tcW w:w="1402" w:type="pct"/>
                  <w:tcBorders>
                    <w:tl2br w:val="nil"/>
                    <w:tr2bl w:val="nil"/>
                  </w:tcBorders>
                  <w:vAlign w:val="center"/>
                </w:tcPr>
                <w:p>
                  <w:pPr>
                    <w:pStyle w:val="25"/>
                    <w:bidi w:val="0"/>
                    <w:rPr>
                      <w:highlight w:val="none"/>
                    </w:rPr>
                  </w:pPr>
                  <w:r>
                    <w:rPr>
                      <w:rFonts w:hint="eastAsia"/>
                      <w:highlight w:val="none"/>
                      <w:lang w:val="en-US" w:eastAsia="zh-CN"/>
                    </w:rPr>
                    <w:t>本项目VOCs采用二级活性炭吸附处理，</w:t>
                  </w:r>
                  <w:r>
                    <w:rPr>
                      <w:rFonts w:hint="eastAsia"/>
                      <w:highlight w:val="none"/>
                    </w:rPr>
                    <w:t>活性炭</w:t>
                  </w:r>
                  <w:r>
                    <w:rPr>
                      <w:highlight w:val="none"/>
                    </w:rPr>
                    <w:t>按设计要求足量添加、及时更换</w:t>
                  </w:r>
                  <w:r>
                    <w:rPr>
                      <w:rFonts w:hint="eastAsia"/>
                      <w:highlight w:val="none"/>
                    </w:rPr>
                    <w:t>并交有资质的单位处理处置，</w:t>
                  </w:r>
                  <w:r>
                    <w:rPr>
                      <w:highlight w:val="none"/>
                    </w:rPr>
                    <w:t>记录更换时间和使用量。</w:t>
                  </w:r>
                </w:p>
              </w:tc>
              <w:tc>
                <w:tcPr>
                  <w:tcW w:w="355" w:type="pct"/>
                  <w:tcBorders>
                    <w:tl2br w:val="nil"/>
                    <w:tr2bl w:val="nil"/>
                  </w:tcBorders>
                  <w:vAlign w:val="center"/>
                </w:tcPr>
                <w:p>
                  <w:pPr>
                    <w:pStyle w:val="25"/>
                    <w:bidi w:val="0"/>
                    <w:rPr>
                      <w:rFonts w:hint="default"/>
                      <w:highlight w:val="none"/>
                      <w:lang w:val="en-US" w:eastAsia="zh-CN"/>
                    </w:rPr>
                  </w:pPr>
                  <w:r>
                    <w:rPr>
                      <w:rFonts w:hint="eastAsia"/>
                      <w:highlight w:val="none"/>
                      <w:lang w:val="en-US" w:eastAsia="zh-CN"/>
                    </w:rPr>
                    <w:t>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95" w:type="pct"/>
                  <w:vMerge w:val="restart"/>
                  <w:tcBorders>
                    <w:tl2br w:val="nil"/>
                    <w:tr2bl w:val="nil"/>
                  </w:tcBorders>
                  <w:vAlign w:val="center"/>
                </w:tcPr>
                <w:p>
                  <w:pPr>
                    <w:pStyle w:val="25"/>
                    <w:bidi w:val="0"/>
                    <w:rPr>
                      <w:rFonts w:hint="eastAsia"/>
                      <w:highlight w:val="none"/>
                    </w:rPr>
                  </w:pPr>
                </w:p>
              </w:tc>
              <w:tc>
                <w:tcPr>
                  <w:tcW w:w="814" w:type="pct"/>
                  <w:vMerge w:val="restart"/>
                  <w:tcBorders>
                    <w:tl2br w:val="nil"/>
                    <w:tr2bl w:val="nil"/>
                  </w:tcBorders>
                  <w:vAlign w:val="center"/>
                </w:tcPr>
                <w:p>
                  <w:pPr>
                    <w:pStyle w:val="25"/>
                    <w:bidi w:val="0"/>
                    <w:rPr>
                      <w:rFonts w:hint="eastAsia" w:eastAsia="宋体"/>
                      <w:highlight w:val="none"/>
                      <w:lang w:eastAsia="zh-CN"/>
                    </w:rPr>
                  </w:pPr>
                  <w:r>
                    <w:rPr>
                      <w:rFonts w:hint="eastAsia"/>
                      <w:highlight w:val="none"/>
                      <w:lang w:eastAsia="zh-CN"/>
                    </w:rPr>
                    <w:t>《挥发性有机物无组织排放控制标准》（</w:t>
                  </w:r>
                  <w:r>
                    <w:rPr>
                      <w:rFonts w:hint="eastAsia"/>
                      <w:highlight w:val="none"/>
                      <w:lang w:val="en-US" w:eastAsia="zh-CN"/>
                    </w:rPr>
                    <w:t>GB37822-2019</w:t>
                  </w:r>
                  <w:r>
                    <w:rPr>
                      <w:rFonts w:hint="eastAsia"/>
                      <w:highlight w:val="none"/>
                      <w:lang w:eastAsia="zh-CN"/>
                    </w:rPr>
                    <w:t>）</w:t>
                  </w:r>
                </w:p>
              </w:tc>
              <w:tc>
                <w:tcPr>
                  <w:tcW w:w="2232" w:type="pct"/>
                  <w:tcBorders>
                    <w:tl2br w:val="nil"/>
                    <w:tr2bl w:val="nil"/>
                  </w:tcBorders>
                  <w:vAlign w:val="center"/>
                </w:tcPr>
                <w:p>
                  <w:pPr>
                    <w:pStyle w:val="25"/>
                    <w:bidi w:val="0"/>
                    <w:rPr>
                      <w:rFonts w:hint="eastAsia"/>
                      <w:highlight w:val="none"/>
                      <w:lang w:val="en-US" w:eastAsia="zh-CN"/>
                    </w:rPr>
                  </w:pPr>
                  <w:r>
                    <w:rPr>
                      <w:rFonts w:hint="eastAsia"/>
                      <w:highlight w:val="none"/>
                      <w:lang w:val="en-US" w:eastAsia="zh-CN"/>
                    </w:rPr>
                    <w:t>5.1.1</w:t>
                  </w:r>
                  <w:r>
                    <w:rPr>
                      <w:rFonts w:hint="eastAsia"/>
                      <w:highlight w:val="none"/>
                    </w:rPr>
                    <w:t>VOCs物料应储存于密闭的容器、包装袋、储罐、储库、料仓中。</w:t>
                  </w:r>
                  <w:r>
                    <w:rPr>
                      <w:rFonts w:hint="eastAsia"/>
                      <w:highlight w:val="none"/>
                      <w:lang w:val="en-US" w:eastAsia="zh-CN"/>
                    </w:rPr>
                    <w:t>5.1.2</w:t>
                  </w:r>
                  <w:r>
                    <w:rPr>
                      <w:rFonts w:hint="eastAsia"/>
                      <w:highlight w:val="none"/>
                    </w:rPr>
                    <w:t>盛装VOCs物料的容器或包装袋应存放于室内，或存放于设置有雨棚、遮阳和防渗设施的专用场地。盛装VOCs物料的容器或包装袋在非取用状态时应加盖、封口，保持密闭。</w:t>
                  </w:r>
                  <w:r>
                    <w:rPr>
                      <w:rFonts w:hint="eastAsia"/>
                      <w:highlight w:val="none"/>
                      <w:lang w:val="en-US" w:eastAsia="zh-CN"/>
                    </w:rPr>
                    <w:t>5.1.3</w:t>
                  </w:r>
                  <w:r>
                    <w:rPr>
                      <w:rFonts w:hint="eastAsia"/>
                      <w:highlight w:val="none"/>
                    </w:rPr>
                    <w:t>VOCs物料储罐应密封良好，其中挥发性有机液体储罐应符合5.2条规定。</w:t>
                  </w:r>
                  <w:r>
                    <w:rPr>
                      <w:rFonts w:hint="eastAsia"/>
                      <w:highlight w:val="none"/>
                      <w:lang w:val="en-US" w:eastAsia="zh-CN"/>
                    </w:rPr>
                    <w:t>5.1.4</w:t>
                  </w:r>
                  <w:r>
                    <w:rPr>
                      <w:rFonts w:hint="eastAsia"/>
                      <w:highlight w:val="none"/>
                    </w:rPr>
                    <w:t>VOCs物料储库、料仓应满足3.6条对密闭空间的要求。</w:t>
                  </w:r>
                </w:p>
              </w:tc>
              <w:tc>
                <w:tcPr>
                  <w:tcW w:w="1402" w:type="pct"/>
                  <w:tcBorders>
                    <w:tl2br w:val="nil"/>
                    <w:tr2bl w:val="nil"/>
                  </w:tcBorders>
                  <w:vAlign w:val="center"/>
                </w:tcPr>
                <w:p>
                  <w:pPr>
                    <w:pStyle w:val="25"/>
                    <w:bidi w:val="0"/>
                    <w:rPr>
                      <w:rFonts w:hint="default"/>
                      <w:highlight w:val="none"/>
                      <w:lang w:val="en-US" w:eastAsia="zh-CN"/>
                    </w:rPr>
                  </w:pPr>
                  <w:r>
                    <w:rPr>
                      <w:rFonts w:hint="eastAsia"/>
                      <w:highlight w:val="none"/>
                      <w:lang w:val="en-US" w:eastAsia="zh-CN"/>
                    </w:rPr>
                    <w:t>本项目UV涂料储存于密闭的容器内，保持密闭。</w:t>
                  </w:r>
                </w:p>
              </w:tc>
              <w:tc>
                <w:tcPr>
                  <w:tcW w:w="355" w:type="pct"/>
                  <w:vMerge w:val="restart"/>
                  <w:tcBorders>
                    <w:tl2br w:val="nil"/>
                    <w:tr2bl w:val="nil"/>
                  </w:tcBorders>
                  <w:vAlign w:val="center"/>
                </w:tcPr>
                <w:p>
                  <w:pPr>
                    <w:pStyle w:val="25"/>
                    <w:bidi w:val="0"/>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95" w:type="pct"/>
                  <w:vMerge w:val="continue"/>
                  <w:tcBorders>
                    <w:tl2br w:val="nil"/>
                    <w:tr2bl w:val="nil"/>
                  </w:tcBorders>
                  <w:vAlign w:val="center"/>
                </w:tcPr>
                <w:p>
                  <w:pPr>
                    <w:pStyle w:val="25"/>
                    <w:bidi w:val="0"/>
                    <w:rPr>
                      <w:rFonts w:hint="eastAsia"/>
                      <w:highlight w:val="none"/>
                    </w:rPr>
                  </w:pPr>
                </w:p>
              </w:tc>
              <w:tc>
                <w:tcPr>
                  <w:tcW w:w="814" w:type="pct"/>
                  <w:vMerge w:val="continue"/>
                  <w:tcBorders>
                    <w:tl2br w:val="nil"/>
                    <w:tr2bl w:val="nil"/>
                  </w:tcBorders>
                  <w:vAlign w:val="center"/>
                </w:tcPr>
                <w:p>
                  <w:pPr>
                    <w:pStyle w:val="25"/>
                    <w:bidi w:val="0"/>
                    <w:rPr>
                      <w:highlight w:val="none"/>
                    </w:rPr>
                  </w:pPr>
                </w:p>
              </w:tc>
              <w:tc>
                <w:tcPr>
                  <w:tcW w:w="2232" w:type="pct"/>
                  <w:tcBorders>
                    <w:tl2br w:val="nil"/>
                    <w:tr2bl w:val="nil"/>
                  </w:tcBorders>
                  <w:vAlign w:val="center"/>
                </w:tcPr>
                <w:p>
                  <w:pPr>
                    <w:pStyle w:val="25"/>
                    <w:bidi w:val="0"/>
                    <w:rPr>
                      <w:rFonts w:hint="default"/>
                      <w:highlight w:val="none"/>
                      <w:lang w:val="en-US" w:eastAsia="zh-CN"/>
                    </w:rPr>
                  </w:pPr>
                  <w:r>
                    <w:rPr>
                      <w:rFonts w:hint="eastAsia"/>
                      <w:highlight w:val="none"/>
                      <w:lang w:val="en-US" w:eastAsia="zh-CN"/>
                    </w:rPr>
                    <w:t>7.2.1VOCs质量占比大于等于10%的含VOCs产品，使用过程应采用密闭设备或在密闭空间内操作，废气应排至VOCs废气收集处理系统；无法密闭的，应采取局部气体收集措施，废气应排至VOCs废气收集处理系统。7.2.2有机聚合物产品用于制品生产的过程，在混合/混炼、塑炼/塑化/熔化、加工成型（挤出、注射、压制、压延、发泡、纺丝等）等作业中应采用密闭设备或在密闭空间内操作，废气应排至VOCs废气收集处理系统；无法密闭的，应采取局部气体收集措施，废气应排至VOCs废气收集处理系统。7.3.1企业应建立台账，记录含VOCs原辅材料和含VOCs产品的名称、使用量、回收量、废弃量、去向以及VOCs含量等信息。台账保存期限不少于3年。</w:t>
                  </w:r>
                </w:p>
              </w:tc>
              <w:tc>
                <w:tcPr>
                  <w:tcW w:w="1402" w:type="pct"/>
                  <w:tcBorders>
                    <w:tl2br w:val="nil"/>
                    <w:tr2bl w:val="nil"/>
                  </w:tcBorders>
                  <w:vAlign w:val="center"/>
                </w:tcPr>
                <w:p>
                  <w:pPr>
                    <w:pStyle w:val="25"/>
                    <w:bidi w:val="0"/>
                    <w:rPr>
                      <w:rFonts w:hint="default"/>
                      <w:highlight w:val="none"/>
                      <w:lang w:val="en-US" w:eastAsia="zh-CN"/>
                    </w:rPr>
                  </w:pPr>
                  <w:r>
                    <w:rPr>
                      <w:rFonts w:hint="eastAsia"/>
                      <w:highlight w:val="none"/>
                      <w:lang w:val="en-US" w:eastAsia="zh-CN"/>
                    </w:rPr>
                    <w:t>本项目喷漆过程设置密闭喷漆房，流平、固化废气经集气罩收集，有机废气收集后经二级活性炭吸附处理后通过15m高排气筒排放。本项目建成生产后建立记录含VOCs原辅材料和含VOCs产品的名称、使用量、回收量、废弃量、去向以及VOCs含量等信息。</w:t>
                  </w:r>
                </w:p>
              </w:tc>
              <w:tc>
                <w:tcPr>
                  <w:tcW w:w="355" w:type="pct"/>
                  <w:vMerge w:val="continue"/>
                  <w:tcBorders>
                    <w:tl2br w:val="nil"/>
                    <w:tr2bl w:val="nil"/>
                  </w:tcBorders>
                  <w:vAlign w:val="center"/>
                </w:tcPr>
                <w:p>
                  <w:pPr>
                    <w:pStyle w:val="25"/>
                    <w:bidi w:val="0"/>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95" w:type="pct"/>
                  <w:tcBorders>
                    <w:tl2br w:val="nil"/>
                    <w:tr2bl w:val="nil"/>
                  </w:tcBorders>
                  <w:vAlign w:val="center"/>
                </w:tcPr>
                <w:p>
                  <w:pPr>
                    <w:pStyle w:val="25"/>
                    <w:bidi w:val="0"/>
                    <w:rPr>
                      <w:rFonts w:hint="eastAsia"/>
                      <w:highlight w:val="none"/>
                      <w:lang w:eastAsia="zh-CN"/>
                    </w:rPr>
                  </w:pPr>
                  <w:r>
                    <w:rPr>
                      <w:rFonts w:hint="eastAsia"/>
                      <w:highlight w:val="none"/>
                      <w:lang w:val="en-US" w:eastAsia="zh-CN"/>
                    </w:rPr>
                    <w:t>4</w:t>
                  </w:r>
                </w:p>
              </w:tc>
              <w:tc>
                <w:tcPr>
                  <w:tcW w:w="814" w:type="pct"/>
                  <w:tcBorders>
                    <w:tl2br w:val="nil"/>
                    <w:tr2bl w:val="nil"/>
                  </w:tcBorders>
                  <w:vAlign w:val="center"/>
                </w:tcPr>
                <w:p>
                  <w:pPr>
                    <w:pStyle w:val="25"/>
                    <w:bidi w:val="0"/>
                    <w:rPr>
                      <w:rFonts w:hint="eastAsia" w:eastAsia="宋体"/>
                      <w:highlight w:val="none"/>
                      <w:lang w:eastAsia="zh-CN"/>
                    </w:rPr>
                  </w:pPr>
                  <w:r>
                    <w:rPr>
                      <w:rFonts w:hint="eastAsia"/>
                      <w:highlight w:val="none"/>
                    </w:rPr>
                    <w:t>《安徽省大气办深入开展挥发性有机物污染治理工作的通知》</w:t>
                  </w:r>
                  <w:r>
                    <w:rPr>
                      <w:rFonts w:hint="eastAsia"/>
                      <w:highlight w:val="none"/>
                      <w:lang w:eastAsia="zh-CN"/>
                    </w:rPr>
                    <w:t>（</w:t>
                  </w:r>
                  <w:r>
                    <w:rPr>
                      <w:rFonts w:hint="eastAsia"/>
                      <w:highlight w:val="none"/>
                    </w:rPr>
                    <w:t>皖大气办[2021]4号</w:t>
                  </w:r>
                  <w:r>
                    <w:rPr>
                      <w:rFonts w:hint="eastAsia"/>
                      <w:highlight w:val="none"/>
                      <w:lang w:eastAsia="zh-CN"/>
                    </w:rPr>
                    <w:t>）</w:t>
                  </w:r>
                </w:p>
              </w:tc>
              <w:tc>
                <w:tcPr>
                  <w:tcW w:w="2232" w:type="pct"/>
                  <w:tcBorders>
                    <w:tl2br w:val="nil"/>
                    <w:tr2bl w:val="nil"/>
                  </w:tcBorders>
                  <w:vAlign w:val="center"/>
                </w:tcPr>
                <w:p>
                  <w:pPr>
                    <w:pStyle w:val="25"/>
                    <w:bidi w:val="0"/>
                    <w:rPr>
                      <w:highlight w:val="none"/>
                    </w:rPr>
                  </w:pPr>
                  <w:r>
                    <w:rPr>
                      <w:rFonts w:hint="eastAsia"/>
                      <w:highlight w:val="none"/>
                    </w:rPr>
                    <w:t>重点推进源头削减。鼓励支持使用涂料、油墨、胶粘剂、涂层剂（树脂）、清洗剂等原辅材料的企业，进行低VOCs含量原辅材料的源头替代，7月1日前各地指导企业建立管理台账，记录VOCs原辅材料的产品名称、VOCs含量和使用量等。重点在工业涂装、包装印刷、鞋革箱包制造、竹木制品胶合、电子等重点领域，推广VOCs含量低于10%原辅材料的源头替代，并纳入年度源头削减项目管理，实现</w:t>
                  </w:r>
                  <w:r>
                    <w:rPr>
                      <w:rFonts w:hint="eastAsia"/>
                      <w:highlight w:val="none"/>
                      <w:lang w:eastAsia="zh-CN"/>
                    </w:rPr>
                    <w:t>“</w:t>
                  </w:r>
                  <w:r>
                    <w:rPr>
                      <w:rFonts w:hint="eastAsia"/>
                      <w:highlight w:val="none"/>
                    </w:rPr>
                    <w:t>可替尽替、应代尽代</w:t>
                  </w:r>
                  <w:r>
                    <w:rPr>
                      <w:rFonts w:hint="eastAsia"/>
                      <w:highlight w:val="none"/>
                      <w:lang w:eastAsia="zh-CN"/>
                    </w:rPr>
                    <w:t>”</w:t>
                  </w:r>
                  <w:r>
                    <w:rPr>
                      <w:rFonts w:hint="eastAsia"/>
                      <w:highlight w:val="none"/>
                    </w:rPr>
                    <w:t>，源头削减年度完成项目占30%以上。</w:t>
                  </w:r>
                </w:p>
              </w:tc>
              <w:tc>
                <w:tcPr>
                  <w:tcW w:w="1402" w:type="pct"/>
                  <w:tcBorders>
                    <w:tl2br w:val="nil"/>
                    <w:tr2bl w:val="nil"/>
                  </w:tcBorders>
                  <w:vAlign w:val="center"/>
                </w:tcPr>
                <w:p>
                  <w:pPr>
                    <w:pStyle w:val="25"/>
                    <w:bidi w:val="0"/>
                    <w:rPr>
                      <w:rFonts w:hint="eastAsia"/>
                      <w:highlight w:val="none"/>
                      <w:lang w:eastAsia="zh-CN"/>
                    </w:rPr>
                  </w:pPr>
                  <w:r>
                    <w:rPr>
                      <w:rFonts w:hint="eastAsia"/>
                      <w:highlight w:val="none"/>
                      <w:lang w:eastAsia="zh-CN"/>
                    </w:rPr>
                    <w:t>项目</w:t>
                  </w:r>
                  <w:r>
                    <w:rPr>
                      <w:rFonts w:hint="eastAsia"/>
                      <w:highlight w:val="none"/>
                      <w:lang w:val="en-US" w:eastAsia="zh-CN"/>
                    </w:rPr>
                    <w:t>UV漆属于低VOCs材料</w:t>
                  </w:r>
                  <w:r>
                    <w:rPr>
                      <w:rFonts w:hint="eastAsia"/>
                      <w:highlight w:val="none"/>
                      <w:lang w:eastAsia="zh-CN"/>
                    </w:rPr>
                    <w:t>。</w:t>
                  </w:r>
                  <w:r>
                    <w:rPr>
                      <w:rFonts w:hint="eastAsia"/>
                      <w:highlight w:val="none"/>
                      <w:lang w:val="en-US" w:eastAsia="zh-CN"/>
                    </w:rPr>
                    <w:t>本项目建成生产后建立VOCs原料管理台账。</w:t>
                  </w:r>
                </w:p>
              </w:tc>
              <w:tc>
                <w:tcPr>
                  <w:tcW w:w="355" w:type="pct"/>
                  <w:tcBorders>
                    <w:tl2br w:val="nil"/>
                    <w:tr2bl w:val="nil"/>
                  </w:tcBorders>
                  <w:vAlign w:val="center"/>
                </w:tcPr>
                <w:p>
                  <w:pPr>
                    <w:pStyle w:val="25"/>
                    <w:bidi w:val="0"/>
                    <w:rPr>
                      <w:rFonts w:hint="default"/>
                      <w:highlight w:val="none"/>
                      <w:lang w:val="en-US" w:eastAsia="zh-CN"/>
                    </w:rPr>
                  </w:pPr>
                  <w:r>
                    <w:rPr>
                      <w:rFonts w:hint="eastAsia"/>
                      <w:highlight w:val="none"/>
                      <w:lang w:val="en-US" w:eastAsia="zh-CN"/>
                    </w:rPr>
                    <w:t>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3" w:hRule="atLeast"/>
                <w:jc w:val="center"/>
              </w:trPr>
              <w:tc>
                <w:tcPr>
                  <w:tcW w:w="195" w:type="pct"/>
                  <w:vMerge w:val="restart"/>
                  <w:tcBorders>
                    <w:tl2br w:val="nil"/>
                    <w:tr2bl w:val="nil"/>
                  </w:tcBorders>
                  <w:vAlign w:val="center"/>
                </w:tcPr>
                <w:p>
                  <w:pPr>
                    <w:pStyle w:val="25"/>
                    <w:bidi w:val="0"/>
                    <w:rPr>
                      <w:rFonts w:hint="eastAsia"/>
                      <w:highlight w:val="none"/>
                      <w:lang w:val="en-US" w:eastAsia="zh-CN"/>
                    </w:rPr>
                  </w:pPr>
                  <w:r>
                    <w:rPr>
                      <w:rFonts w:hint="eastAsia"/>
                      <w:highlight w:val="none"/>
                      <w:lang w:val="en-US" w:eastAsia="zh-CN"/>
                    </w:rPr>
                    <w:t>5</w:t>
                  </w:r>
                </w:p>
              </w:tc>
              <w:tc>
                <w:tcPr>
                  <w:tcW w:w="814" w:type="pct"/>
                  <w:vMerge w:val="restart"/>
                  <w:tcBorders>
                    <w:tl2br w:val="nil"/>
                    <w:tr2bl w:val="nil"/>
                  </w:tcBorders>
                  <w:vAlign w:val="center"/>
                </w:tcPr>
                <w:p>
                  <w:pPr>
                    <w:pStyle w:val="25"/>
                    <w:bidi w:val="0"/>
                    <w:rPr>
                      <w:highlight w:val="none"/>
                    </w:rPr>
                  </w:pPr>
                  <w:r>
                    <w:rPr>
                      <w:rFonts w:hint="eastAsia"/>
                      <w:highlight w:val="none"/>
                    </w:rPr>
                    <w:t>《重点行业挥发性有机物综合治理方案》（环大气〔2019〕53号）</w:t>
                  </w:r>
                </w:p>
              </w:tc>
              <w:tc>
                <w:tcPr>
                  <w:tcW w:w="2232" w:type="pct"/>
                  <w:tcBorders>
                    <w:tl2br w:val="nil"/>
                    <w:tr2bl w:val="nil"/>
                  </w:tcBorders>
                  <w:vAlign w:val="center"/>
                </w:tcPr>
                <w:p>
                  <w:pPr>
                    <w:pStyle w:val="25"/>
                    <w:bidi w:val="0"/>
                    <w:rPr>
                      <w:rFonts w:hint="eastAsia"/>
                      <w:highlight w:val="none"/>
                      <w:lang w:val="en-US" w:eastAsia="zh-CN"/>
                    </w:rPr>
                  </w:pPr>
                  <w:r>
                    <w:rPr>
                      <w:rFonts w:hint="eastAsia"/>
                      <w:highlight w:val="none"/>
                    </w:rPr>
                    <w:t>全面加强无组织排放控制。重点对含非甲烷总烃物料（包括含非甲烷总烃原辅材料、含非甲烷总烃产品、含非甲烷总烃废料以及有机聚合物材料等）储存、转移和输送、设备与管线组件泄漏、敞开液面逸散以及工艺过程等五类排放源实施管控，通过采取设备与场所密闭、工艺改进、废气有效收集等措施，削减非甲烷总烃无组织排放。</w:t>
                  </w:r>
                </w:p>
              </w:tc>
              <w:tc>
                <w:tcPr>
                  <w:tcW w:w="1402" w:type="pct"/>
                  <w:vMerge w:val="restart"/>
                  <w:tcBorders>
                    <w:tl2br w:val="nil"/>
                    <w:tr2bl w:val="nil"/>
                  </w:tcBorders>
                  <w:vAlign w:val="center"/>
                </w:tcPr>
                <w:p>
                  <w:pPr>
                    <w:pStyle w:val="25"/>
                    <w:bidi w:val="0"/>
                    <w:rPr>
                      <w:rFonts w:hint="eastAsia"/>
                      <w:highlight w:val="none"/>
                      <w:lang w:eastAsia="zh-CN"/>
                    </w:rPr>
                  </w:pPr>
                  <w:r>
                    <w:rPr>
                      <w:rFonts w:hint="eastAsia"/>
                      <w:highlight w:val="none"/>
                      <w:lang w:eastAsia="zh-CN"/>
                    </w:rPr>
                    <w:t>本项目不属于文件中要求的重点行业（石化、化工、工业涂装、包装印刷、油品储运销），</w:t>
                  </w:r>
                  <w:r>
                    <w:rPr>
                      <w:rFonts w:hint="eastAsia"/>
                      <w:highlight w:val="none"/>
                    </w:rPr>
                    <w:t>本项目</w:t>
                  </w:r>
                  <w:r>
                    <w:rPr>
                      <w:rFonts w:hint="eastAsia"/>
                      <w:highlight w:val="none"/>
                      <w:lang w:eastAsia="zh-CN"/>
                    </w:rPr>
                    <w:t>使用</w:t>
                  </w:r>
                  <w:r>
                    <w:rPr>
                      <w:rFonts w:hint="eastAsia"/>
                      <w:highlight w:val="none"/>
                      <w:lang w:val="en-US" w:eastAsia="zh-CN"/>
                    </w:rPr>
                    <w:t>UV漆为低VOCs涂料，项目有机废气经二级活性炭吸附处理后通过15m高排气筒达标排放</w:t>
                  </w:r>
                  <w:r>
                    <w:rPr>
                      <w:rFonts w:hint="eastAsia"/>
                      <w:highlight w:val="none"/>
                      <w:lang w:eastAsia="zh-CN"/>
                    </w:rPr>
                    <w:t>。</w:t>
                  </w:r>
                </w:p>
              </w:tc>
              <w:tc>
                <w:tcPr>
                  <w:tcW w:w="355" w:type="pct"/>
                  <w:vMerge w:val="restart"/>
                  <w:tcBorders>
                    <w:tl2br w:val="nil"/>
                    <w:tr2bl w:val="nil"/>
                  </w:tcBorders>
                  <w:vAlign w:val="center"/>
                </w:tcPr>
                <w:p>
                  <w:pPr>
                    <w:pStyle w:val="25"/>
                    <w:bidi w:val="0"/>
                    <w:rPr>
                      <w:rFonts w:hint="default"/>
                      <w:highlight w:val="none"/>
                      <w:lang w:val="en-US" w:eastAsia="zh-CN"/>
                    </w:rPr>
                  </w:pPr>
                  <w:r>
                    <w:rPr>
                      <w:rFonts w:hint="eastAsia"/>
                      <w:highlight w:val="none"/>
                      <w:lang w:val="en-US" w:eastAsia="zh-CN"/>
                    </w:rPr>
                    <w:t>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3" w:hRule="atLeast"/>
                <w:jc w:val="center"/>
              </w:trPr>
              <w:tc>
                <w:tcPr>
                  <w:tcW w:w="195" w:type="pct"/>
                  <w:vMerge w:val="continue"/>
                  <w:tcBorders>
                    <w:tl2br w:val="nil"/>
                    <w:tr2bl w:val="nil"/>
                  </w:tcBorders>
                  <w:vAlign w:val="center"/>
                </w:tcPr>
                <w:p>
                  <w:pPr>
                    <w:pStyle w:val="25"/>
                    <w:bidi w:val="0"/>
                    <w:rPr>
                      <w:highlight w:val="none"/>
                    </w:rPr>
                  </w:pPr>
                </w:p>
              </w:tc>
              <w:tc>
                <w:tcPr>
                  <w:tcW w:w="814" w:type="pct"/>
                  <w:vMerge w:val="continue"/>
                  <w:tcBorders>
                    <w:tl2br w:val="nil"/>
                    <w:tr2bl w:val="nil"/>
                  </w:tcBorders>
                  <w:vAlign w:val="center"/>
                </w:tcPr>
                <w:p>
                  <w:pPr>
                    <w:pStyle w:val="25"/>
                    <w:bidi w:val="0"/>
                    <w:rPr>
                      <w:highlight w:val="none"/>
                    </w:rPr>
                  </w:pPr>
                </w:p>
              </w:tc>
              <w:tc>
                <w:tcPr>
                  <w:tcW w:w="2232" w:type="pct"/>
                  <w:tcBorders>
                    <w:tl2br w:val="nil"/>
                    <w:tr2bl w:val="nil"/>
                  </w:tcBorders>
                  <w:vAlign w:val="center"/>
                </w:tcPr>
                <w:p>
                  <w:pPr>
                    <w:pStyle w:val="25"/>
                    <w:bidi w:val="0"/>
                    <w:rPr>
                      <w:rFonts w:hint="eastAsia"/>
                      <w:highlight w:val="none"/>
                      <w:lang w:val="en-US" w:eastAsia="zh-CN"/>
                    </w:rPr>
                  </w:pPr>
                  <w:r>
                    <w:rPr>
                      <w:rFonts w:hint="eastAsia"/>
                      <w:highlight w:val="none"/>
                    </w:rPr>
                    <w:t>推进建设适宜高效的治污设施。企业新建治污设施或对现有治污设施实施改造，应依据排放废气的浓度、组分、风量，温度、湿度、压力，以及生产工况等，合理选择治理技术。鼓励企业采用多种技术的组合工艺，提高非甲烷总烃治理效率。</w:t>
                  </w:r>
                </w:p>
              </w:tc>
              <w:tc>
                <w:tcPr>
                  <w:tcW w:w="1402" w:type="pct"/>
                  <w:vMerge w:val="continue"/>
                  <w:tcBorders>
                    <w:tl2br w:val="nil"/>
                    <w:tr2bl w:val="nil"/>
                  </w:tcBorders>
                  <w:vAlign w:val="center"/>
                </w:tcPr>
                <w:p>
                  <w:pPr>
                    <w:pStyle w:val="25"/>
                    <w:bidi w:val="0"/>
                    <w:rPr>
                      <w:rFonts w:hint="eastAsia"/>
                      <w:highlight w:val="none"/>
                    </w:rPr>
                  </w:pPr>
                </w:p>
              </w:tc>
              <w:tc>
                <w:tcPr>
                  <w:tcW w:w="355" w:type="pct"/>
                  <w:vMerge w:val="continue"/>
                  <w:tcBorders>
                    <w:tl2br w:val="nil"/>
                    <w:tr2bl w:val="nil"/>
                  </w:tcBorders>
                  <w:vAlign w:val="center"/>
                </w:tcPr>
                <w:p>
                  <w:pPr>
                    <w:pStyle w:val="25"/>
                    <w:bidi w:val="0"/>
                    <w:rPr>
                      <w:rFonts w:hint="eastAsia"/>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3" w:hRule="atLeast"/>
                <w:jc w:val="center"/>
              </w:trPr>
              <w:tc>
                <w:tcPr>
                  <w:tcW w:w="195" w:type="pct"/>
                  <w:vMerge w:val="continue"/>
                  <w:tcBorders>
                    <w:tl2br w:val="nil"/>
                    <w:tr2bl w:val="nil"/>
                  </w:tcBorders>
                  <w:vAlign w:val="center"/>
                </w:tcPr>
                <w:p>
                  <w:pPr>
                    <w:pStyle w:val="25"/>
                    <w:bidi w:val="0"/>
                    <w:rPr>
                      <w:rFonts w:hint="eastAsia"/>
                      <w:highlight w:val="none"/>
                    </w:rPr>
                  </w:pPr>
                </w:p>
              </w:tc>
              <w:tc>
                <w:tcPr>
                  <w:tcW w:w="814" w:type="pct"/>
                  <w:vMerge w:val="continue"/>
                  <w:tcBorders>
                    <w:tl2br w:val="nil"/>
                    <w:tr2bl w:val="nil"/>
                  </w:tcBorders>
                  <w:vAlign w:val="center"/>
                </w:tcPr>
                <w:p>
                  <w:pPr>
                    <w:pStyle w:val="25"/>
                    <w:bidi w:val="0"/>
                    <w:rPr>
                      <w:rFonts w:hint="eastAsia"/>
                      <w:highlight w:val="none"/>
                    </w:rPr>
                  </w:pPr>
                </w:p>
              </w:tc>
              <w:tc>
                <w:tcPr>
                  <w:tcW w:w="2232" w:type="pct"/>
                  <w:tcBorders>
                    <w:tl2br w:val="nil"/>
                    <w:tr2bl w:val="nil"/>
                  </w:tcBorders>
                  <w:vAlign w:val="center"/>
                </w:tcPr>
                <w:p>
                  <w:pPr>
                    <w:pStyle w:val="25"/>
                    <w:bidi w:val="0"/>
                    <w:rPr>
                      <w:rFonts w:hint="eastAsia"/>
                      <w:highlight w:val="none"/>
                      <w:lang w:val="en-US" w:eastAsia="zh-CN"/>
                    </w:rPr>
                  </w:pPr>
                  <w:r>
                    <w:rPr>
                      <w:rFonts w:hint="eastAsia"/>
                      <w:highlight w:val="none"/>
                    </w:rPr>
                    <w:t>企业采取符合国家有关低非甲烷总烃含量产品规定的涂料、油墨、胶粘剂等，排放浓度稳定达标且排放速率、排放绩效满足相关规定的，相应生产工序可不要求建设末端治理设施。使用的原辅材料V</w:t>
                  </w:r>
                  <w:r>
                    <w:rPr>
                      <w:highlight w:val="none"/>
                    </w:rPr>
                    <w:t>OCs</w:t>
                  </w:r>
                  <w:r>
                    <w:rPr>
                      <w:rFonts w:hint="eastAsia"/>
                      <w:highlight w:val="none"/>
                    </w:rPr>
                    <w:t>含量（质量比）低于10%的工序，可不要求采取无组织排放收集措施。</w:t>
                  </w:r>
                </w:p>
              </w:tc>
              <w:tc>
                <w:tcPr>
                  <w:tcW w:w="1402" w:type="pct"/>
                  <w:vMerge w:val="continue"/>
                  <w:tcBorders>
                    <w:tl2br w:val="nil"/>
                    <w:tr2bl w:val="nil"/>
                  </w:tcBorders>
                  <w:vAlign w:val="center"/>
                </w:tcPr>
                <w:p>
                  <w:pPr>
                    <w:pStyle w:val="25"/>
                    <w:bidi w:val="0"/>
                    <w:rPr>
                      <w:rFonts w:hint="eastAsia"/>
                      <w:highlight w:val="none"/>
                    </w:rPr>
                  </w:pPr>
                </w:p>
              </w:tc>
              <w:tc>
                <w:tcPr>
                  <w:tcW w:w="355" w:type="pct"/>
                  <w:vMerge w:val="continue"/>
                  <w:tcBorders>
                    <w:tl2br w:val="nil"/>
                    <w:tr2bl w:val="nil"/>
                  </w:tcBorders>
                  <w:vAlign w:val="center"/>
                </w:tcPr>
                <w:p>
                  <w:pPr>
                    <w:pStyle w:val="25"/>
                    <w:bidi w:val="0"/>
                    <w:rPr>
                      <w:rFonts w:hint="eastAsia"/>
                      <w:highlight w:val="none"/>
                    </w:rPr>
                  </w:pPr>
                </w:p>
              </w:tc>
            </w:tr>
          </w:tbl>
          <w:p>
            <w:pPr>
              <w:ind w:firstLine="201"/>
              <w:rPr>
                <w:color w:val="auto"/>
                <w:highlight w:val="none"/>
              </w:rPr>
            </w:pPr>
          </w:p>
          <w:p>
            <w:pPr>
              <w:ind w:firstLine="482"/>
              <w:rPr>
                <w:color w:val="auto"/>
                <w:highlight w:val="none"/>
              </w:rPr>
            </w:pPr>
            <w:r>
              <w:rPr>
                <w:rFonts w:hint="eastAsia"/>
                <w:b/>
                <w:bCs/>
                <w:color w:val="auto"/>
                <w:highlight w:val="none"/>
                <w:lang w:val="en-US" w:eastAsia="zh-CN"/>
              </w:rPr>
              <w:t>7</w:t>
            </w:r>
            <w:r>
              <w:rPr>
                <w:rFonts w:hint="eastAsia"/>
                <w:b/>
                <w:bCs/>
                <w:color w:val="auto"/>
                <w:highlight w:val="none"/>
              </w:rPr>
              <w:t>、项目与排污许可联动内容相关分析</w:t>
            </w:r>
          </w:p>
          <w:p>
            <w:pPr>
              <w:ind w:firstLine="480"/>
              <w:rPr>
                <w:color w:val="auto"/>
                <w:highlight w:val="none"/>
              </w:rPr>
            </w:pPr>
            <w:r>
              <w:rPr>
                <w:color w:val="auto"/>
                <w:highlight w:val="none"/>
              </w:rPr>
              <w:t>根据《固定污染源排污许可分类管理名录（2019年版）》和《</w:t>
            </w:r>
            <w:r>
              <w:rPr>
                <w:rFonts w:hint="eastAsia"/>
                <w:color w:val="auto"/>
                <w:highlight w:val="none"/>
                <w:lang w:val="en-US" w:eastAsia="zh-CN"/>
              </w:rPr>
              <w:t>排污许可管理条例</w:t>
            </w:r>
            <w:r>
              <w:rPr>
                <w:color w:val="auto"/>
                <w:highlight w:val="none"/>
              </w:rPr>
              <w:t>》（</w:t>
            </w:r>
            <w:r>
              <w:rPr>
                <w:rFonts w:hint="eastAsia"/>
                <w:color w:val="auto"/>
                <w:highlight w:val="none"/>
                <w:lang w:val="en-US" w:eastAsia="zh-CN"/>
              </w:rPr>
              <w:t>国务院令 第736号</w:t>
            </w:r>
            <w:r>
              <w:rPr>
                <w:color w:val="auto"/>
                <w:highlight w:val="none"/>
              </w:rPr>
              <w:t>）等文件要求，建设单位应在项目发生实际排污行为之前，按照国家环境保护相关法律法规以及排污许可证申请与核发技术规范要求申请排污许可证，不得无证排污或不按证排污。</w:t>
            </w:r>
          </w:p>
          <w:p>
            <w:pPr>
              <w:pStyle w:val="24"/>
              <w:bidi w:val="0"/>
              <w:rPr>
                <w:highlight w:val="none"/>
              </w:rPr>
            </w:pPr>
            <w:r>
              <w:rPr>
                <w:rFonts w:hint="eastAsia"/>
                <w:highlight w:val="none"/>
              </w:rPr>
              <w:t>表1-</w:t>
            </w:r>
            <w:r>
              <w:rPr>
                <w:rFonts w:hint="eastAsia"/>
                <w:highlight w:val="none"/>
                <w:lang w:val="en-US" w:eastAsia="zh-CN"/>
              </w:rPr>
              <w:t>9</w:t>
            </w:r>
            <w:r>
              <w:rPr>
                <w:rFonts w:hint="eastAsia"/>
                <w:highlight w:val="none"/>
              </w:rPr>
              <w:t xml:space="preserve"> 本项目排污许可申请类别判定</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25"/>
              <w:gridCol w:w="1125"/>
              <w:gridCol w:w="2878"/>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87" w:type="pct"/>
                  <w:vAlign w:val="center"/>
                </w:tcPr>
                <w:p>
                  <w:pPr>
                    <w:pStyle w:val="25"/>
                    <w:bidi w:val="0"/>
                    <w:rPr>
                      <w:b/>
                      <w:bCs/>
                      <w:highlight w:val="none"/>
                    </w:rPr>
                  </w:pPr>
                  <w:r>
                    <w:rPr>
                      <w:rFonts w:hint="eastAsia"/>
                      <w:b/>
                      <w:bCs/>
                      <w:highlight w:val="none"/>
                    </w:rPr>
                    <w:t>序号</w:t>
                  </w:r>
                </w:p>
              </w:tc>
              <w:tc>
                <w:tcPr>
                  <w:tcW w:w="816" w:type="pct"/>
                  <w:vAlign w:val="center"/>
                </w:tcPr>
                <w:p>
                  <w:pPr>
                    <w:pStyle w:val="25"/>
                    <w:bidi w:val="0"/>
                    <w:rPr>
                      <w:b/>
                      <w:bCs/>
                      <w:highlight w:val="none"/>
                    </w:rPr>
                  </w:pPr>
                  <w:r>
                    <w:rPr>
                      <w:rFonts w:hint="eastAsia"/>
                      <w:b/>
                      <w:bCs/>
                      <w:highlight w:val="none"/>
                    </w:rPr>
                    <w:t>行业类别</w:t>
                  </w:r>
                </w:p>
              </w:tc>
              <w:tc>
                <w:tcPr>
                  <w:tcW w:w="816" w:type="pct"/>
                  <w:vAlign w:val="center"/>
                </w:tcPr>
                <w:p>
                  <w:pPr>
                    <w:pStyle w:val="25"/>
                    <w:bidi w:val="0"/>
                    <w:rPr>
                      <w:b/>
                      <w:bCs/>
                      <w:highlight w:val="none"/>
                    </w:rPr>
                  </w:pPr>
                  <w:r>
                    <w:rPr>
                      <w:rFonts w:hint="eastAsia"/>
                      <w:b/>
                      <w:bCs/>
                      <w:highlight w:val="none"/>
                    </w:rPr>
                    <w:t>重点管理</w:t>
                  </w:r>
                </w:p>
              </w:tc>
              <w:tc>
                <w:tcPr>
                  <w:tcW w:w="2088" w:type="pct"/>
                  <w:vAlign w:val="center"/>
                </w:tcPr>
                <w:p>
                  <w:pPr>
                    <w:pStyle w:val="25"/>
                    <w:bidi w:val="0"/>
                    <w:rPr>
                      <w:b/>
                      <w:bCs/>
                      <w:highlight w:val="none"/>
                    </w:rPr>
                  </w:pPr>
                  <w:r>
                    <w:rPr>
                      <w:rFonts w:hint="eastAsia"/>
                      <w:b/>
                      <w:bCs/>
                      <w:highlight w:val="none"/>
                    </w:rPr>
                    <w:t>简化管理</w:t>
                  </w:r>
                </w:p>
              </w:tc>
              <w:tc>
                <w:tcPr>
                  <w:tcW w:w="790" w:type="pct"/>
                  <w:vAlign w:val="center"/>
                </w:tcPr>
                <w:p>
                  <w:pPr>
                    <w:pStyle w:val="25"/>
                    <w:bidi w:val="0"/>
                    <w:rPr>
                      <w:b/>
                      <w:bCs/>
                      <w:highlight w:val="none"/>
                    </w:rPr>
                  </w:pPr>
                  <w:r>
                    <w:rPr>
                      <w:rFonts w:hint="eastAsia"/>
                      <w:b/>
                      <w:bCs/>
                      <w:highlight w:val="none"/>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00" w:type="pct"/>
                  <w:gridSpan w:val="5"/>
                  <w:vAlign w:val="center"/>
                </w:tcPr>
                <w:p>
                  <w:pPr>
                    <w:pStyle w:val="25"/>
                    <w:bidi w:val="0"/>
                    <w:jc w:val="both"/>
                    <w:rPr>
                      <w:rFonts w:hint="default"/>
                      <w:highlight w:val="none"/>
                      <w:lang w:val="en-US" w:eastAsia="zh-CN"/>
                    </w:rPr>
                  </w:pPr>
                  <w:r>
                    <w:rPr>
                      <w:rFonts w:hint="eastAsia"/>
                      <w:highlight w:val="none"/>
                      <w:lang w:val="en-US" w:eastAsia="zh-CN"/>
                    </w:rPr>
                    <w:t>十五、木材加工和木、竹、藤、棕、草制品业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87" w:type="pct"/>
                  <w:vAlign w:val="center"/>
                </w:tcPr>
                <w:p>
                  <w:pPr>
                    <w:pStyle w:val="25"/>
                    <w:bidi w:val="0"/>
                    <w:rPr>
                      <w:rFonts w:hint="default"/>
                      <w:highlight w:val="none"/>
                      <w:lang w:val="en-US" w:eastAsia="zh-CN"/>
                    </w:rPr>
                  </w:pPr>
                  <w:r>
                    <w:rPr>
                      <w:rFonts w:hint="eastAsia"/>
                      <w:highlight w:val="none"/>
                      <w:lang w:val="en-US" w:eastAsia="zh-CN"/>
                    </w:rPr>
                    <w:t>33</w:t>
                  </w:r>
                </w:p>
              </w:tc>
              <w:tc>
                <w:tcPr>
                  <w:tcW w:w="816" w:type="pct"/>
                  <w:vAlign w:val="center"/>
                </w:tcPr>
                <w:p>
                  <w:pPr>
                    <w:pStyle w:val="25"/>
                    <w:bidi w:val="0"/>
                    <w:rPr>
                      <w:rFonts w:hint="default"/>
                      <w:highlight w:val="none"/>
                      <w:lang w:val="en-US" w:eastAsia="zh-CN"/>
                    </w:rPr>
                  </w:pPr>
                  <w:r>
                    <w:rPr>
                      <w:rFonts w:hint="eastAsia"/>
                      <w:highlight w:val="none"/>
                      <w:lang w:val="en-US" w:eastAsia="zh-CN"/>
                    </w:rPr>
                    <w:t>人造板制造 202</w:t>
                  </w:r>
                </w:p>
              </w:tc>
              <w:tc>
                <w:tcPr>
                  <w:tcW w:w="816" w:type="pct"/>
                  <w:vAlign w:val="center"/>
                </w:tcPr>
                <w:p>
                  <w:pPr>
                    <w:pStyle w:val="25"/>
                    <w:bidi w:val="0"/>
                    <w:rPr>
                      <w:rFonts w:hint="default"/>
                      <w:highlight w:val="none"/>
                      <w:lang w:val="en-US" w:eastAsia="zh-CN"/>
                    </w:rPr>
                  </w:pPr>
                  <w:r>
                    <w:rPr>
                      <w:rFonts w:hint="eastAsia"/>
                      <w:highlight w:val="none"/>
                      <w:lang w:val="en-US" w:eastAsia="zh-CN"/>
                    </w:rPr>
                    <w:t>纳入重点排污单位的</w:t>
                  </w:r>
                </w:p>
              </w:tc>
              <w:tc>
                <w:tcPr>
                  <w:tcW w:w="2088" w:type="pct"/>
                  <w:vAlign w:val="center"/>
                </w:tcPr>
                <w:p>
                  <w:pPr>
                    <w:pStyle w:val="25"/>
                    <w:bidi w:val="0"/>
                    <w:rPr>
                      <w:rFonts w:hint="eastAsia"/>
                      <w:highlight w:val="none"/>
                      <w:lang w:val="en-US" w:eastAsia="zh-CN"/>
                    </w:rPr>
                  </w:pPr>
                  <w:r>
                    <w:rPr>
                      <w:rFonts w:hint="eastAsia"/>
                      <w:b w:val="0"/>
                      <w:bCs w:val="0"/>
                      <w:highlight w:val="none"/>
                      <w:lang w:val="en-US" w:eastAsia="zh-CN"/>
                    </w:rPr>
                    <w:t>除重点管理以外的胶合板制造 2021</w:t>
                  </w:r>
                  <w:r>
                    <w:rPr>
                      <w:rFonts w:hint="eastAsia"/>
                      <w:highlight w:val="none"/>
                      <w:lang w:val="en-US" w:eastAsia="zh-CN"/>
                    </w:rPr>
                    <w:t>（年产10万立方米及以上的）、纤维板制造2022、刨花板制造2023、其他人造板制造2029（年产10万立方米及以上的）</w:t>
                  </w:r>
                </w:p>
              </w:tc>
              <w:tc>
                <w:tcPr>
                  <w:tcW w:w="790" w:type="pct"/>
                  <w:vAlign w:val="center"/>
                </w:tcPr>
                <w:p>
                  <w:pPr>
                    <w:pStyle w:val="25"/>
                    <w:bidi w:val="0"/>
                    <w:rPr>
                      <w:rFonts w:hint="eastAsia" w:eastAsia="宋体"/>
                      <w:highlight w:val="none"/>
                      <w:lang w:val="en-US" w:eastAsia="zh-CN"/>
                    </w:rPr>
                  </w:pPr>
                  <w:r>
                    <w:rPr>
                      <w:rFonts w:hint="eastAsia"/>
                      <w:b/>
                      <w:bCs/>
                      <w:highlight w:val="none"/>
                    </w:rPr>
                    <w:t>其他</w:t>
                  </w:r>
                  <w:r>
                    <w:rPr>
                      <w:rFonts w:hint="eastAsia"/>
                      <w:b/>
                      <w:bCs/>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0"/>
                <w:szCs w:val="20"/>
                <w:highlight w:val="none"/>
                <w:lang w:val="en-US" w:eastAsia="zh-CN"/>
              </w:rPr>
            </w:pPr>
            <w:r>
              <w:rPr>
                <w:rFonts w:hint="eastAsia"/>
                <w:b/>
                <w:bCs/>
                <w:sz w:val="20"/>
                <w:szCs w:val="20"/>
                <w:highlight w:val="none"/>
                <w:lang w:val="en-US" w:eastAsia="zh-CN"/>
              </w:rPr>
              <w:t>注：*是指在工业建筑中生产的排污单位。</w:t>
            </w:r>
          </w:p>
          <w:p>
            <w:pPr>
              <w:bidi w:val="0"/>
              <w:rPr>
                <w:highlight w:val="none"/>
              </w:rPr>
            </w:pPr>
            <w:r>
              <w:rPr>
                <w:highlight w:val="none"/>
              </w:rPr>
              <w:t>本项目</w:t>
            </w:r>
            <w:r>
              <w:rPr>
                <w:rFonts w:hint="eastAsia"/>
                <w:highlight w:val="none"/>
                <w:lang w:val="en-US" w:eastAsia="zh-CN"/>
              </w:rPr>
              <w:t>属于登记</w:t>
            </w:r>
            <w:r>
              <w:rPr>
                <w:highlight w:val="none"/>
              </w:rPr>
              <w:t>管理</w:t>
            </w:r>
            <w:r>
              <w:rPr>
                <w:rFonts w:hint="eastAsia"/>
                <w:highlight w:val="none"/>
              </w:rPr>
              <w:t>，</w:t>
            </w:r>
            <w:r>
              <w:rPr>
                <w:highlight w:val="none"/>
              </w:rPr>
              <w:t>建设单位</w:t>
            </w:r>
            <w:r>
              <w:rPr>
                <w:rFonts w:hint="eastAsia"/>
                <w:highlight w:val="none"/>
                <w:lang w:eastAsia="zh-CN"/>
              </w:rPr>
              <w:t>应</w:t>
            </w:r>
            <w:r>
              <w:rPr>
                <w:rFonts w:hint="eastAsia"/>
                <w:highlight w:val="none"/>
              </w:rPr>
              <w:t>在实际排污前完成排污</w:t>
            </w:r>
            <w:r>
              <w:rPr>
                <w:rFonts w:hint="eastAsia"/>
                <w:highlight w:val="none"/>
                <w:lang w:eastAsia="zh-CN"/>
              </w:rPr>
              <w:t>登记变更</w:t>
            </w:r>
            <w:r>
              <w:rPr>
                <w:highlight w:val="none"/>
              </w:rPr>
              <w:t>。</w:t>
            </w: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cs="Times New Roman" w:eastAsiaTheme="minorEastAsia"/>
                <w:sz w:val="24"/>
                <w:szCs w:val="24"/>
                <w:highlight w:val="none"/>
              </w:rPr>
            </w:pPr>
          </w:p>
        </w:tc>
      </w:tr>
    </w:tbl>
    <w:p>
      <w:pPr>
        <w:spacing w:line="360" w:lineRule="auto"/>
        <w:outlineLvl w:val="0"/>
        <w:rPr>
          <w:rFonts w:eastAsia="黑体"/>
          <w:sz w:val="30"/>
        </w:rPr>
        <w:sectPr>
          <w:footerReference r:id="rId7" w:type="default"/>
          <w:pgSz w:w="11905" w:h="16838"/>
          <w:pgMar w:top="1440" w:right="1417" w:bottom="1440" w:left="1417" w:header="851" w:footer="850" w:gutter="0"/>
          <w:pgNumType w:fmt="decimal" w:start="1"/>
          <w:cols w:space="0" w:num="1"/>
          <w:rtlGutter w:val="0"/>
          <w:docGrid w:type="lines" w:linePitch="312" w:charSpace="0"/>
        </w:sectPr>
      </w:pP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72" w:hRule="atLeast"/>
          <w:jc w:val="center"/>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rPr>
            </w:pPr>
            <w:r>
              <w:rPr>
                <w:rFonts w:hint="default"/>
              </w:rPr>
              <w:t>建设内容</w:t>
            </w:r>
          </w:p>
        </w:tc>
        <w:tc>
          <w:tcPr>
            <w:tcW w:w="8215" w:type="dxa"/>
            <w:noWrap w:val="0"/>
            <w:vAlign w:val="top"/>
          </w:tcPr>
          <w:p>
            <w:pPr>
              <w:numPr>
                <w:ilvl w:val="0"/>
                <w:numId w:val="0"/>
              </w:numPr>
              <w:bidi w:val="0"/>
              <w:rPr>
                <w:rFonts w:hint="default"/>
                <w:b/>
                <w:bCs/>
                <w:lang w:eastAsia="zh-CN"/>
              </w:rPr>
            </w:pPr>
            <w:r>
              <w:rPr>
                <w:rFonts w:hint="eastAsia"/>
                <w:b/>
                <w:bCs/>
                <w:lang w:eastAsia="zh-CN"/>
              </w:rPr>
              <w:t>一、</w:t>
            </w:r>
            <w:r>
              <w:rPr>
                <w:rFonts w:hint="default"/>
                <w:b/>
                <w:bCs/>
                <w:lang w:eastAsia="zh-CN"/>
              </w:rPr>
              <w:t>项目由来</w:t>
            </w:r>
          </w:p>
          <w:p>
            <w:pPr>
              <w:pStyle w:val="1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eastAsia="zh-CN"/>
              </w:rPr>
            </w:pPr>
            <w:r>
              <w:rPr>
                <w:rFonts w:hint="eastAsia"/>
                <w:lang w:eastAsia="zh-CN"/>
              </w:rPr>
              <w:t>安徽省泗县多多乐板业制造厂</w:t>
            </w:r>
            <w:r>
              <w:rPr>
                <w:rFonts w:hint="default"/>
                <w:lang w:eastAsia="zh-CN"/>
              </w:rPr>
              <w:t>租赁安徽省泗县友前木片餐盒有限公司一间建筑面积为</w:t>
            </w:r>
            <w:r>
              <w:rPr>
                <w:rFonts w:hint="eastAsia"/>
                <w:lang w:val="en-US" w:eastAsia="zh-CN"/>
              </w:rPr>
              <w:t>15</w:t>
            </w:r>
            <w:r>
              <w:rPr>
                <w:rFonts w:hint="default"/>
                <w:lang w:eastAsia="zh-CN"/>
              </w:rPr>
              <w:t>00m</w:t>
            </w:r>
            <w:r>
              <w:rPr>
                <w:rFonts w:hint="default"/>
                <w:vertAlign w:val="superscript"/>
                <w:lang w:eastAsia="zh-CN"/>
              </w:rPr>
              <w:t>2</w:t>
            </w:r>
            <w:r>
              <w:rPr>
                <w:rFonts w:hint="default"/>
                <w:lang w:eastAsia="zh-CN"/>
              </w:rPr>
              <w:t>的现有厂房，建设</w:t>
            </w:r>
            <w:r>
              <w:rPr>
                <w:rFonts w:hint="eastAsia"/>
                <w:lang w:eastAsia="zh-CN"/>
              </w:rPr>
              <w:t>“</w:t>
            </w:r>
            <w:r>
              <w:rPr>
                <w:rFonts w:hint="default"/>
                <w:lang w:eastAsia="zh-CN"/>
              </w:rPr>
              <w:t>年产10万套缝纫机台板智能喷漆生产线项目</w:t>
            </w:r>
            <w:r>
              <w:rPr>
                <w:rFonts w:hint="eastAsia"/>
                <w:lang w:eastAsia="zh-CN"/>
              </w:rPr>
              <w:t>”</w:t>
            </w:r>
            <w:r>
              <w:rPr>
                <w:rFonts w:hint="default"/>
                <w:lang w:eastAsia="zh-CN"/>
              </w:rPr>
              <w:t>。依托租赁厂区现有厂房、化粪池等，将安徽省泗县多多乐板业制造厂生产的</w:t>
            </w:r>
            <w:r>
              <w:rPr>
                <w:rFonts w:hint="eastAsia"/>
                <w:lang w:eastAsia="zh-CN"/>
              </w:rPr>
              <w:t>成品缝纫机台板用</w:t>
            </w:r>
            <w:r>
              <w:rPr>
                <w:rFonts w:hint="default"/>
                <w:lang w:eastAsia="zh-CN"/>
              </w:rPr>
              <w:t>车辆运输到租赁厂房进行喷漆处理。</w:t>
            </w:r>
          </w:p>
          <w:p>
            <w:pPr>
              <w:numPr>
                <w:ilvl w:val="0"/>
                <w:numId w:val="0"/>
              </w:numPr>
              <w:bidi w:val="0"/>
              <w:rPr>
                <w:rFonts w:hint="default"/>
                <w:b/>
                <w:bCs/>
                <w:lang w:eastAsia="zh-CN"/>
              </w:rPr>
            </w:pPr>
            <w:r>
              <w:rPr>
                <w:rFonts w:hint="eastAsia"/>
                <w:b/>
                <w:bCs/>
                <w:lang w:eastAsia="zh-CN"/>
              </w:rPr>
              <w:t>二、项目建设内容</w:t>
            </w:r>
          </w:p>
          <w:p>
            <w:pPr>
              <w:pStyle w:val="24"/>
              <w:bidi w:val="0"/>
              <w:rPr>
                <w:rFonts w:hint="eastAsia"/>
              </w:rPr>
            </w:pPr>
            <w:r>
              <w:rPr>
                <w:rFonts w:hint="eastAsia"/>
              </w:rPr>
              <w:t xml:space="preserve">表2-1  </w:t>
            </w:r>
            <w:r>
              <w:rPr>
                <w:rFonts w:hint="eastAsia"/>
                <w:lang w:eastAsia="zh-CN"/>
              </w:rPr>
              <w:t>主要</w:t>
            </w:r>
            <w:r>
              <w:rPr>
                <w:rFonts w:hint="eastAsia"/>
              </w:rPr>
              <w:t>建设内容一览表</w:t>
            </w:r>
          </w:p>
          <w:tbl>
            <w:tblPr>
              <w:tblStyle w:val="20"/>
              <w:tblpPr w:leftFromText="180" w:rightFromText="180" w:vertAnchor="text" w:horzAnchor="page" w:tblpXSpec="center" w:tblpY="146"/>
              <w:tblOverlap w:val="never"/>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921"/>
              <w:gridCol w:w="4901"/>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1" w:hRule="atLeast"/>
                <w:jc w:val="center"/>
              </w:trPr>
              <w:tc>
                <w:tcPr>
                  <w:tcW w:w="934"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bCs/>
                    </w:rPr>
                    <w:t>项目组成</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bCs/>
                    </w:rPr>
                    <w:t>主要建设内容</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rFonts w:hint="eastAsia"/>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2" w:hRule="atLeast"/>
                <w:jc w:val="center"/>
              </w:trPr>
              <w:tc>
                <w:tcPr>
                  <w:tcW w:w="357"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bCs/>
                    </w:rPr>
                    <w:t>主体工程</w:t>
                  </w:r>
                </w:p>
              </w:tc>
              <w:tc>
                <w:tcPr>
                  <w:tcW w:w="57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rFonts w:hint="eastAsia"/>
                      <w:bCs/>
                      <w:lang w:eastAsia="zh-CN"/>
                    </w:rPr>
                    <w:t>喷漆车间</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bCs/>
                    </w:rPr>
                    <w:t>1层，</w:t>
                  </w:r>
                  <w:r>
                    <w:rPr>
                      <w:rFonts w:hint="eastAsia"/>
                      <w:bCs/>
                    </w:rPr>
                    <w:t>建筑面积</w:t>
                  </w:r>
                  <w:r>
                    <w:rPr>
                      <w:rFonts w:hint="eastAsia"/>
                      <w:bCs/>
                      <w:lang w:val="en-US" w:eastAsia="zh-CN"/>
                    </w:rPr>
                    <w:t>700</w:t>
                  </w:r>
                  <w:r>
                    <w:rPr>
                      <w:rFonts w:hint="eastAsia"/>
                      <w:bCs/>
                    </w:rPr>
                    <w:t>m</w:t>
                  </w:r>
                  <w:r>
                    <w:rPr>
                      <w:rFonts w:hint="eastAsia"/>
                      <w:bCs/>
                      <w:vertAlign w:val="superscript"/>
                    </w:rPr>
                    <w:t>2</w:t>
                  </w:r>
                  <w:r>
                    <w:rPr>
                      <w:bCs/>
                    </w:rPr>
                    <w:t>，内置</w:t>
                  </w:r>
                  <w:r>
                    <w:rPr>
                      <w:rFonts w:hint="eastAsia"/>
                      <w:bCs/>
                    </w:rPr>
                    <w:t>UV</w:t>
                  </w:r>
                  <w:r>
                    <w:rPr>
                      <w:bCs/>
                    </w:rPr>
                    <w:t>喷涂流水线</w:t>
                  </w:r>
                  <w:r>
                    <w:rPr>
                      <w:rFonts w:hint="eastAsia"/>
                      <w:bCs/>
                    </w:rPr>
                    <w:t>1条</w:t>
                  </w:r>
                  <w:r>
                    <w:rPr>
                      <w:rFonts w:hint="eastAsia"/>
                      <w:bCs/>
                      <w:lang w:eastAsia="zh-CN"/>
                    </w:rPr>
                    <w:t>，设置喷涂机、流平机、固化机各一台。</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rFonts w:hint="eastAsia"/>
                      <w:bCs/>
                      <w:lang w:eastAsia="zh-CN"/>
                    </w:rPr>
                    <w:t>依托安徽省泗县友前木片餐盒有限公司现有厂房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2" w:hRule="atLeast"/>
                <w:jc w:val="center"/>
              </w:trPr>
              <w:tc>
                <w:tcPr>
                  <w:tcW w:w="357"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p>
              </w:tc>
              <w:tc>
                <w:tcPr>
                  <w:tcW w:w="57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rFonts w:hint="eastAsia"/>
                      <w:bCs/>
                      <w:lang w:eastAsia="zh-CN"/>
                    </w:rPr>
                    <w:t>打磨车间</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bCs/>
                    </w:rPr>
                    <w:t>1层，</w:t>
                  </w:r>
                  <w:r>
                    <w:rPr>
                      <w:rFonts w:hint="eastAsia"/>
                      <w:bCs/>
                    </w:rPr>
                    <w:t>建筑面积</w:t>
                  </w:r>
                  <w:r>
                    <w:rPr>
                      <w:rFonts w:hint="eastAsia"/>
                      <w:bCs/>
                      <w:lang w:val="en-US" w:eastAsia="zh-CN"/>
                    </w:rPr>
                    <w:t>300</w:t>
                  </w:r>
                  <w:r>
                    <w:rPr>
                      <w:rFonts w:hint="eastAsia"/>
                      <w:bCs/>
                    </w:rPr>
                    <w:t>m</w:t>
                  </w:r>
                  <w:r>
                    <w:rPr>
                      <w:rFonts w:hint="eastAsia"/>
                      <w:bCs/>
                      <w:vertAlign w:val="superscript"/>
                    </w:rPr>
                    <w:t>2</w:t>
                  </w:r>
                  <w:r>
                    <w:rPr>
                      <w:bCs/>
                    </w:rPr>
                    <w:t>，内置</w:t>
                  </w:r>
                  <w:r>
                    <w:rPr>
                      <w:rFonts w:hint="eastAsia"/>
                      <w:bCs/>
                    </w:rPr>
                    <w:t>异型砂光机一台</w:t>
                  </w:r>
                  <w:r>
                    <w:rPr>
                      <w:rFonts w:hint="eastAsia"/>
                      <w:bCs/>
                      <w:lang w:eastAsia="zh-CN"/>
                    </w:rPr>
                    <w:t>。</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bCs/>
                      <w:lang w:eastAsia="zh-CN"/>
                    </w:rPr>
                  </w:pPr>
                  <w:r>
                    <w:rPr>
                      <w:rFonts w:hint="eastAsia"/>
                      <w:bCs/>
                      <w:lang w:eastAsia="zh-CN"/>
                    </w:rPr>
                    <w:t>依托安徽省泗县友前木片餐盒有限公司现有厂房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2" w:hRule="atLeast"/>
                <w:jc w:val="center"/>
              </w:trPr>
              <w:tc>
                <w:tcPr>
                  <w:tcW w:w="35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辅助工程</w:t>
                  </w:r>
                </w:p>
              </w:tc>
              <w:tc>
                <w:tcPr>
                  <w:tcW w:w="57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办公室</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bCs/>
                    </w:rPr>
                    <w:t>1层，建筑面积</w:t>
                  </w:r>
                  <w:r>
                    <w:rPr>
                      <w:rFonts w:hint="eastAsia"/>
                      <w:bCs/>
                    </w:rPr>
                    <w:t>2</w:t>
                  </w:r>
                  <w:r>
                    <w:rPr>
                      <w:rFonts w:hint="eastAsia"/>
                      <w:bCs/>
                      <w:lang w:val="en-US" w:eastAsia="zh-CN"/>
                    </w:rPr>
                    <w:t>2</w:t>
                  </w:r>
                  <w:r>
                    <w:rPr>
                      <w:bCs/>
                    </w:rPr>
                    <w:t>0m</w:t>
                  </w:r>
                  <w:r>
                    <w:rPr>
                      <w:bCs/>
                      <w:vertAlign w:val="superscript"/>
                    </w:rPr>
                    <w:t>2</w:t>
                  </w:r>
                  <w:r>
                    <w:rPr>
                      <w:bCs/>
                    </w:rPr>
                    <w:t>，位于厂区北侧</w:t>
                  </w:r>
                  <w:r>
                    <w:rPr>
                      <w:rFonts w:hint="eastAsia"/>
                      <w:bCs/>
                      <w:lang w:eastAsia="zh-CN"/>
                    </w:rPr>
                    <w:t>。</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lang w:eastAsia="zh-CN"/>
                    </w:rPr>
                    <w:t>依托安徽省泗县友前木片餐盒有限公司现有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jc w:val="center"/>
              </w:trPr>
              <w:tc>
                <w:tcPr>
                  <w:tcW w:w="35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储运工程</w:t>
                  </w:r>
                </w:p>
              </w:tc>
              <w:tc>
                <w:tcPr>
                  <w:tcW w:w="57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原料仓库</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bCs/>
                    </w:rPr>
                    <w:t>存放</w:t>
                  </w:r>
                  <w:r>
                    <w:rPr>
                      <w:rFonts w:hint="eastAsia"/>
                      <w:bCs/>
                    </w:rPr>
                    <w:t>UV漆</w:t>
                  </w:r>
                  <w:r>
                    <w:rPr>
                      <w:rFonts w:hint="eastAsia"/>
                      <w:bCs/>
                      <w:lang w:eastAsia="zh-CN"/>
                    </w:rPr>
                    <w:t>、润滑油</w:t>
                  </w:r>
                  <w:r>
                    <w:rPr>
                      <w:bCs/>
                    </w:rPr>
                    <w:t>，占地</w:t>
                  </w:r>
                  <w:r>
                    <w:rPr>
                      <w:rFonts w:hint="eastAsia"/>
                      <w:bCs/>
                    </w:rPr>
                    <w:t>10</w:t>
                  </w:r>
                  <w:r>
                    <w:rPr>
                      <w:bCs/>
                    </w:rPr>
                    <w:t>m</w:t>
                  </w:r>
                  <w:r>
                    <w:rPr>
                      <w:bCs/>
                      <w:vertAlign w:val="superscript"/>
                    </w:rPr>
                    <w:t>2</w:t>
                  </w:r>
                  <w:r>
                    <w:rPr>
                      <w:rFonts w:hint="eastAsia"/>
                      <w:bCs/>
                      <w:vertAlign w:val="baseline"/>
                      <w:lang w:eastAsia="zh-CN"/>
                    </w:rPr>
                    <w:t>。</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rFonts w:hint="eastAsia"/>
                      <w:bCs/>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1" w:hRule="atLeast"/>
                <w:jc w:val="center"/>
              </w:trPr>
              <w:tc>
                <w:tcPr>
                  <w:tcW w:w="357"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公用</w:t>
                  </w:r>
                  <w:r>
                    <w:rPr>
                      <w:bCs/>
                    </w:rPr>
                    <w:t>工程</w:t>
                  </w:r>
                </w:p>
              </w:tc>
              <w:tc>
                <w:tcPr>
                  <w:tcW w:w="57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配电房</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rFonts w:hint="eastAsia"/>
                      <w:bCs/>
                    </w:rPr>
                    <w:t>供电电源由大庄镇工业园区接入厂区配电房</w:t>
                  </w:r>
                  <w:r>
                    <w:rPr>
                      <w:rFonts w:hint="eastAsia"/>
                      <w:bCs/>
                      <w:lang w:eastAsia="zh-CN"/>
                    </w:rPr>
                    <w:t>。</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bCs/>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依托现有电网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1" w:hRule="atLeast"/>
                <w:jc w:val="center"/>
              </w:trPr>
              <w:tc>
                <w:tcPr>
                  <w:tcW w:w="357"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p>
              </w:tc>
              <w:tc>
                <w:tcPr>
                  <w:tcW w:w="57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供水系统</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bCs/>
                    </w:rPr>
                    <w:t>来自市政自来水管网供给</w:t>
                  </w:r>
                  <w:r>
                    <w:rPr>
                      <w:rFonts w:hint="eastAsia"/>
                      <w:bCs/>
                      <w:lang w:eastAsia="zh-CN"/>
                    </w:rPr>
                    <w:t>。</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依托现有</w:t>
                  </w:r>
                  <w:r>
                    <w:rPr>
                      <w:rFonts w:hint="eastAsia" w:ascii="Times New Roman" w:hAnsi="Times New Roman" w:cs="Times New Roman"/>
                      <w:color w:val="000000" w:themeColor="text1"/>
                      <w:sz w:val="21"/>
                      <w:szCs w:val="21"/>
                      <w:lang w:val="en-US" w:eastAsia="zh-CN"/>
                      <w14:textFill>
                        <w14:solidFill>
                          <w14:schemeClr w14:val="tx1"/>
                        </w14:solidFill>
                      </w14:textFill>
                    </w:rPr>
                    <w:t>管</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2" w:hRule="atLeast"/>
                <w:jc w:val="center"/>
              </w:trPr>
              <w:tc>
                <w:tcPr>
                  <w:tcW w:w="357"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环保</w:t>
                  </w:r>
                </w:p>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工程</w:t>
                  </w:r>
                </w:p>
              </w:tc>
              <w:tc>
                <w:tcPr>
                  <w:tcW w:w="57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废水</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rFonts w:hint="eastAsia"/>
                      <w:bCs/>
                    </w:rPr>
                    <w:t>本项目生活污水经</w:t>
                  </w:r>
                  <w:r>
                    <w:rPr>
                      <w:rFonts w:hint="default"/>
                      <w:lang w:eastAsia="zh-CN"/>
                    </w:rPr>
                    <w:t>安徽省泗县友前木片餐盒有限公司</w:t>
                  </w:r>
                  <w:r>
                    <w:rPr>
                      <w:rFonts w:hint="eastAsia"/>
                      <w:lang w:eastAsia="zh-CN"/>
                    </w:rPr>
                    <w:t>现有</w:t>
                  </w:r>
                  <w:r>
                    <w:rPr>
                      <w:rFonts w:hint="eastAsia"/>
                      <w:bCs/>
                    </w:rPr>
                    <w:t>化粪池处理后，</w:t>
                  </w:r>
                  <w:r>
                    <w:rPr>
                      <w:rFonts w:hint="eastAsia"/>
                      <w:bCs/>
                      <w:lang w:eastAsia="zh-CN"/>
                    </w:rPr>
                    <w:t>接管至大庄镇污水处理厂处理，尾水排入老濉河。</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bCs/>
                    </w:rPr>
                  </w:pPr>
                  <w:r>
                    <w:rPr>
                      <w:rFonts w:hint="eastAsia"/>
                      <w:bCs/>
                      <w:lang w:eastAsia="zh-CN"/>
                    </w:rPr>
                    <w:t>依托安徽省泗县友前木片餐盒有限公司现有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3" w:hRule="atLeast"/>
                <w:jc w:val="center"/>
              </w:trPr>
              <w:tc>
                <w:tcPr>
                  <w:tcW w:w="357"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p>
              </w:tc>
              <w:tc>
                <w:tcPr>
                  <w:tcW w:w="57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废气</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bCs/>
                      <w:lang w:eastAsia="zh-CN"/>
                    </w:rPr>
                  </w:pPr>
                  <w:r>
                    <w:rPr>
                      <w:rFonts w:hint="eastAsia"/>
                      <w:bCs/>
                    </w:rPr>
                    <w:t>项目打磨工序产生的粉尘通过收集装置＋袋式除尘器＋</w:t>
                  </w:r>
                  <w:r>
                    <w:rPr>
                      <w:bCs/>
                    </w:rPr>
                    <w:t>15m高</w:t>
                  </w:r>
                  <w:r>
                    <w:rPr>
                      <w:rFonts w:hint="eastAsia"/>
                      <w:bCs/>
                      <w:lang w:val="en-US" w:eastAsia="zh-CN"/>
                    </w:rPr>
                    <w:t>DA002</w:t>
                  </w:r>
                  <w:r>
                    <w:rPr>
                      <w:rFonts w:hint="eastAsia"/>
                      <w:bCs/>
                    </w:rPr>
                    <w:t>排气筒排放；喷漆工序产生的漆雾和非甲烷总烃通过过滤棉＋</w:t>
                  </w:r>
                  <w:r>
                    <w:rPr>
                      <w:rFonts w:hint="eastAsia"/>
                      <w:bCs/>
                      <w:lang w:eastAsia="zh-CN"/>
                    </w:rPr>
                    <w:t>二级</w:t>
                  </w:r>
                  <w:r>
                    <w:rPr>
                      <w:rFonts w:hint="eastAsia"/>
                      <w:bCs/>
                    </w:rPr>
                    <w:t>活性炭</w:t>
                  </w:r>
                  <w:r>
                    <w:rPr>
                      <w:bCs/>
                    </w:rPr>
                    <w:t>+15m高</w:t>
                  </w:r>
                  <w:r>
                    <w:rPr>
                      <w:rFonts w:hint="eastAsia"/>
                      <w:bCs/>
                      <w:lang w:val="en-US" w:eastAsia="zh-CN"/>
                    </w:rPr>
                    <w:t>DA001</w:t>
                  </w:r>
                  <w:r>
                    <w:rPr>
                      <w:bCs/>
                    </w:rPr>
                    <w:t>排气筒排放</w:t>
                  </w:r>
                  <w:r>
                    <w:rPr>
                      <w:rFonts w:hint="eastAsia"/>
                      <w:bCs/>
                      <w:lang w:eastAsia="zh-CN"/>
                    </w:rPr>
                    <w:t>。</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bCs/>
                    </w:rPr>
                  </w:pPr>
                  <w:r>
                    <w:rPr>
                      <w:rFonts w:hint="eastAsia"/>
                      <w:bCs/>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1" w:hRule="atLeast"/>
                <w:jc w:val="center"/>
              </w:trPr>
              <w:tc>
                <w:tcPr>
                  <w:tcW w:w="357"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p>
              </w:tc>
              <w:tc>
                <w:tcPr>
                  <w:tcW w:w="57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rPr>
                    <w:t>噪声</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bCs/>
                    </w:rPr>
                    <w:t>基础减振、隔声、消声</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r>
                    <w:rPr>
                      <w:rFonts w:hint="eastAsia"/>
                      <w:bCs/>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jc w:val="center"/>
              </w:trPr>
              <w:tc>
                <w:tcPr>
                  <w:tcW w:w="357"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bCs/>
                    </w:rPr>
                  </w:pPr>
                </w:p>
              </w:tc>
              <w:tc>
                <w:tcPr>
                  <w:tcW w:w="57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pPr>
                  <w:r>
                    <w:rPr>
                      <w:rFonts w:hint="eastAsia"/>
                    </w:rPr>
                    <w:t>危险</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eastAsiaTheme="minorEastAsia"/>
                      <w:kern w:val="2"/>
                      <w:sz w:val="21"/>
                      <w:szCs w:val="21"/>
                      <w:lang w:val="en-US" w:eastAsia="zh-CN" w:bidi="ar-SA"/>
                    </w:rPr>
                  </w:pPr>
                  <w:r>
                    <w:rPr>
                      <w:rFonts w:hint="eastAsia"/>
                    </w:rPr>
                    <w:t>固废</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1"/>
                      <w:szCs w:val="21"/>
                      <w:lang w:val="en-US" w:eastAsia="zh-CN" w:bidi="ar-SA"/>
                    </w:rPr>
                  </w:pPr>
                  <w:r>
                    <w:t>危废暂存间，占地</w:t>
                  </w:r>
                  <w:r>
                    <w:rPr>
                      <w:rFonts w:hint="eastAsia"/>
                      <w:lang w:val="en-US" w:eastAsia="zh-CN"/>
                    </w:rPr>
                    <w:t>10</w:t>
                  </w:r>
                  <w:r>
                    <w:t>m</w:t>
                  </w:r>
                  <w:r>
                    <w:rPr>
                      <w:vertAlign w:val="superscript"/>
                    </w:rPr>
                    <w:t>2</w:t>
                  </w:r>
                  <w:r>
                    <w:rPr>
                      <w:rFonts w:hint="eastAsia"/>
                    </w:rPr>
                    <w:t>，定期交由有资质单位处理</w:t>
                  </w:r>
                  <w:r>
                    <w:rPr>
                      <w:rFonts w:hint="eastAsia"/>
                      <w:lang w:eastAsia="zh-CN"/>
                    </w:rPr>
                    <w:t>。</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bCs/>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35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p>
              </w:tc>
              <w:tc>
                <w:tcPr>
                  <w:tcW w:w="57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Theme="minorEastAsia"/>
                      <w:lang w:eastAsia="zh-CN"/>
                    </w:rPr>
                  </w:pPr>
                  <w:r>
                    <w:rPr>
                      <w:rFonts w:hint="eastAsia" w:eastAsiaTheme="minorEastAsia"/>
                      <w:lang w:eastAsia="zh-CN"/>
                    </w:rPr>
                    <w:t>土壤地下水</w:t>
                  </w:r>
                </w:p>
              </w:tc>
              <w:tc>
                <w:tcPr>
                  <w:tcW w:w="307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eastAsia="宋体"/>
                      <w:lang w:eastAsia="zh-CN"/>
                    </w:rPr>
                  </w:pPr>
                  <w:r>
                    <w:rPr>
                      <w:rFonts w:hint="eastAsia"/>
                      <w:lang w:eastAsia="zh-CN"/>
                    </w:rPr>
                    <w:t>原料库、危废间设置重点防渗，打磨车间、喷漆车间设置一般防渗，办公室简单防渗。</w:t>
                  </w:r>
                </w:p>
              </w:tc>
              <w:tc>
                <w:tcPr>
                  <w:tcW w:w="99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textAlignment w:val="auto"/>
                  </w:pPr>
                  <w:r>
                    <w:rPr>
                      <w:rFonts w:hint="eastAsia"/>
                      <w:bCs/>
                      <w:lang w:eastAsia="zh-CN"/>
                    </w:rPr>
                    <w:t>新建</w:t>
                  </w:r>
                </w:p>
              </w:tc>
            </w:tr>
          </w:tbl>
          <w:p>
            <w:pPr>
              <w:numPr>
                <w:ilvl w:val="0"/>
                <w:numId w:val="0"/>
              </w:numPr>
              <w:bidi w:val="0"/>
              <w:rPr>
                <w:rFonts w:hint="eastAsia"/>
                <w:b/>
                <w:bCs/>
                <w:lang w:eastAsia="zh-CN"/>
              </w:rPr>
            </w:pPr>
          </w:p>
          <w:p>
            <w:pPr>
              <w:numPr>
                <w:ilvl w:val="0"/>
                <w:numId w:val="0"/>
              </w:numPr>
              <w:bidi w:val="0"/>
              <w:rPr>
                <w:rFonts w:hint="eastAsia"/>
                <w:b/>
                <w:bCs/>
                <w:lang w:eastAsia="zh-CN"/>
              </w:rPr>
            </w:pPr>
          </w:p>
          <w:p>
            <w:pPr>
              <w:numPr>
                <w:ilvl w:val="0"/>
                <w:numId w:val="0"/>
              </w:numPr>
              <w:bidi w:val="0"/>
              <w:rPr>
                <w:rFonts w:hint="eastAsia"/>
                <w:b/>
                <w:bCs/>
                <w:lang w:eastAsia="zh-CN"/>
              </w:rPr>
            </w:pPr>
            <w:r>
              <w:rPr>
                <w:rFonts w:hint="eastAsia"/>
                <w:b/>
                <w:bCs/>
                <w:lang w:eastAsia="zh-CN"/>
              </w:rPr>
              <w:t>三、主要原辅材料及能源消耗</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pPr>
            <w:r>
              <w:t>表</w:t>
            </w:r>
            <w:r>
              <w:rPr>
                <w:rFonts w:hint="eastAsia"/>
              </w:rPr>
              <w:t>2-</w:t>
            </w:r>
            <w:r>
              <w:rPr>
                <w:rFonts w:hint="eastAsia"/>
                <w:lang w:val="en-US" w:eastAsia="zh-CN"/>
              </w:rPr>
              <w:t>2</w:t>
            </w:r>
            <w:r>
              <w:rPr>
                <w:rFonts w:hint="eastAsia"/>
              </w:rPr>
              <w:t xml:space="preserve">  主要原辅材料及能源消耗情况</w:t>
            </w:r>
          </w:p>
          <w:tbl>
            <w:tblPr>
              <w:tblStyle w:val="20"/>
              <w:tblW w:w="482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7"/>
              <w:gridCol w:w="1401"/>
              <w:gridCol w:w="1649"/>
              <w:gridCol w:w="1153"/>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26" w:type="pct"/>
                  <w:tcBorders>
                    <w:tl2br w:val="nil"/>
                    <w:tr2bl w:val="nil"/>
                  </w:tcBorders>
                  <w:vAlign w:val="center"/>
                </w:tcPr>
                <w:p>
                  <w:pPr>
                    <w:pStyle w:val="25"/>
                    <w:rPr>
                      <w:bCs/>
                    </w:rPr>
                  </w:pPr>
                  <w:r>
                    <w:rPr>
                      <w:rFonts w:hint="eastAsia"/>
                      <w:bCs/>
                    </w:rPr>
                    <w:t>原辅材料名称</w:t>
                  </w:r>
                </w:p>
              </w:tc>
              <w:tc>
                <w:tcPr>
                  <w:tcW w:w="908"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rPr>
                    <w:t>年耗量</w:t>
                  </w:r>
                </w:p>
              </w:tc>
              <w:tc>
                <w:tcPr>
                  <w:tcW w:w="1069" w:type="pct"/>
                  <w:tcBorders>
                    <w:tl2br w:val="nil"/>
                    <w:tr2bl w:val="nil"/>
                  </w:tcBorders>
                  <w:vAlign w:val="center"/>
                </w:tcPr>
                <w:p>
                  <w:pPr>
                    <w:pStyle w:val="25"/>
                    <w:rPr>
                      <w:rFonts w:hint="eastAsia"/>
                      <w:bCs/>
                    </w:rPr>
                  </w:pPr>
                  <w:r>
                    <w:rPr>
                      <w:rFonts w:hint="eastAsia"/>
                      <w:b/>
                      <w:bCs/>
                      <w:color w:val="auto"/>
                    </w:rPr>
                    <w:t>成分</w:t>
                  </w:r>
                </w:p>
              </w:tc>
              <w:tc>
                <w:tcPr>
                  <w:tcW w:w="747" w:type="pct"/>
                  <w:tcBorders>
                    <w:tl2br w:val="nil"/>
                    <w:tr2bl w:val="nil"/>
                  </w:tcBorders>
                  <w:vAlign w:val="center"/>
                </w:tcPr>
                <w:p>
                  <w:pPr>
                    <w:pStyle w:val="25"/>
                    <w:rPr>
                      <w:rFonts w:hint="eastAsia"/>
                      <w:bCs/>
                    </w:rPr>
                  </w:pPr>
                  <w:r>
                    <w:rPr>
                      <w:rFonts w:hint="eastAsia"/>
                      <w:b/>
                      <w:bCs/>
                      <w:color w:val="auto"/>
                      <w:lang w:eastAsia="zh-CN"/>
                    </w:rPr>
                    <w:t>是否挥发</w:t>
                  </w:r>
                </w:p>
              </w:tc>
              <w:tc>
                <w:tcPr>
                  <w:tcW w:w="1147" w:type="pct"/>
                  <w:tcBorders>
                    <w:tl2br w:val="nil"/>
                    <w:tr2bl w:val="nil"/>
                  </w:tcBorders>
                  <w:vAlign w:val="center"/>
                </w:tcPr>
                <w:p>
                  <w:pPr>
                    <w:pStyle w:val="25"/>
                    <w:rPr>
                      <w:bCs/>
                    </w:rPr>
                  </w:pPr>
                  <w:r>
                    <w:rPr>
                      <w:rFonts w:hint="eastAsia"/>
                      <w:bCs/>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26" w:type="pct"/>
                  <w:tcBorders>
                    <w:tl2br w:val="nil"/>
                    <w:tr2bl w:val="nil"/>
                  </w:tcBorders>
                  <w:vAlign w:val="center"/>
                </w:tcPr>
                <w:p>
                  <w:pPr>
                    <w:pStyle w:val="25"/>
                    <w:rPr>
                      <w:bCs/>
                    </w:rPr>
                  </w:pPr>
                  <w:r>
                    <w:rPr>
                      <w:rFonts w:hint="eastAsia"/>
                      <w:bCs/>
                    </w:rPr>
                    <w:t>缝纫机台板</w:t>
                  </w:r>
                </w:p>
              </w:tc>
              <w:tc>
                <w:tcPr>
                  <w:tcW w:w="908"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rPr>
                    <w:t>10万套</w:t>
                  </w:r>
                </w:p>
              </w:tc>
              <w:tc>
                <w:tcPr>
                  <w:tcW w:w="1069" w:type="pct"/>
                  <w:tcBorders>
                    <w:tl2br w:val="nil"/>
                    <w:tr2bl w:val="nil"/>
                  </w:tcBorders>
                  <w:vAlign w:val="center"/>
                </w:tcPr>
                <w:p>
                  <w:pPr>
                    <w:pStyle w:val="25"/>
                    <w:rPr>
                      <w:rFonts w:hint="eastAsia" w:eastAsia="宋体"/>
                      <w:bCs/>
                      <w:lang w:eastAsia="zh-CN"/>
                    </w:rPr>
                  </w:pPr>
                  <w:r>
                    <w:rPr>
                      <w:rFonts w:hint="eastAsia"/>
                      <w:bCs/>
                      <w:lang w:eastAsia="zh-CN"/>
                    </w:rPr>
                    <w:t>木板</w:t>
                  </w:r>
                </w:p>
              </w:tc>
              <w:tc>
                <w:tcPr>
                  <w:tcW w:w="747" w:type="pct"/>
                  <w:tcBorders>
                    <w:tl2br w:val="nil"/>
                    <w:tr2bl w:val="nil"/>
                  </w:tcBorders>
                  <w:vAlign w:val="center"/>
                </w:tcPr>
                <w:p>
                  <w:pPr>
                    <w:pStyle w:val="25"/>
                    <w:rPr>
                      <w:rFonts w:hint="eastAsia" w:eastAsia="宋体"/>
                      <w:bCs/>
                      <w:lang w:eastAsia="zh-CN"/>
                    </w:rPr>
                  </w:pPr>
                  <w:r>
                    <w:rPr>
                      <w:rFonts w:hint="eastAsia"/>
                      <w:bCs/>
                      <w:lang w:eastAsia="zh-CN"/>
                    </w:rPr>
                    <w:t>否</w:t>
                  </w:r>
                </w:p>
              </w:tc>
              <w:tc>
                <w:tcPr>
                  <w:tcW w:w="1147" w:type="pct"/>
                  <w:tcBorders>
                    <w:tl2br w:val="nil"/>
                    <w:tr2bl w:val="nil"/>
                  </w:tcBorders>
                  <w:vAlign w:val="center"/>
                </w:tcPr>
                <w:p>
                  <w:pPr>
                    <w:pStyle w:val="25"/>
                    <w:rPr>
                      <w:rFonts w:hint="eastAsia" w:eastAsia="宋体"/>
                      <w:bCs/>
                      <w:lang w:eastAsia="zh-CN"/>
                    </w:rPr>
                  </w:pPr>
                  <w:r>
                    <w:rPr>
                      <w:rFonts w:hint="eastAsia"/>
                      <w:bCs/>
                    </w:rPr>
                    <w:t>多多乐</w:t>
                  </w:r>
                  <w:r>
                    <w:rPr>
                      <w:rFonts w:hint="eastAsia"/>
                      <w:bCs/>
                      <w:lang w:eastAsia="zh-CN"/>
                    </w:rPr>
                    <w:t>厂</w:t>
                  </w:r>
                  <w:r>
                    <w:rPr>
                      <w:rFonts w:hint="eastAsia"/>
                      <w:bCs/>
                    </w:rPr>
                    <w:t>胶合板项目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126" w:type="pct"/>
                  <w:vMerge w:val="restart"/>
                  <w:tcBorders>
                    <w:tl2br w:val="nil"/>
                    <w:tr2bl w:val="nil"/>
                  </w:tcBorders>
                  <w:vAlign w:val="center"/>
                </w:tcPr>
                <w:p>
                  <w:pPr>
                    <w:pStyle w:val="25"/>
                    <w:rPr>
                      <w:bCs/>
                    </w:rPr>
                  </w:pPr>
                  <w:r>
                    <w:rPr>
                      <w:rFonts w:hint="eastAsia"/>
                      <w:bCs/>
                    </w:rPr>
                    <w:t>UV</w:t>
                  </w:r>
                  <w:r>
                    <w:rPr>
                      <w:rFonts w:hint="eastAsia"/>
                      <w:bCs/>
                      <w:lang w:eastAsia="zh-CN"/>
                    </w:rPr>
                    <w:t>面</w:t>
                  </w:r>
                  <w:r>
                    <w:rPr>
                      <w:rFonts w:hint="eastAsia"/>
                      <w:bCs/>
                    </w:rPr>
                    <w:t>漆</w:t>
                  </w:r>
                </w:p>
              </w:tc>
              <w:tc>
                <w:tcPr>
                  <w:tcW w:w="908" w:type="pct"/>
                  <w:vMerge w:val="restar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7.6</w:t>
                  </w:r>
                  <w:r>
                    <w:rPr>
                      <w:rFonts w:hint="eastAsia"/>
                      <w:bCs/>
                    </w:rPr>
                    <w:t>t</w:t>
                  </w:r>
                </w:p>
              </w:tc>
              <w:tc>
                <w:tcPr>
                  <w:tcW w:w="1069" w:type="pct"/>
                  <w:tcBorders>
                    <w:tl2br w:val="nil"/>
                    <w:tr2bl w:val="nil"/>
                  </w:tcBorders>
                  <w:vAlign w:val="center"/>
                </w:tcPr>
                <w:p>
                  <w:pPr>
                    <w:pStyle w:val="25"/>
                    <w:rPr>
                      <w:rFonts w:hint="default"/>
                      <w:bCs/>
                      <w:lang w:val="en-US" w:eastAsia="zh-CN"/>
                    </w:rPr>
                  </w:pPr>
                  <w:r>
                    <w:rPr>
                      <w:rFonts w:hint="eastAsia"/>
                      <w:bCs/>
                      <w:lang w:val="en-US" w:eastAsia="zh-CN"/>
                    </w:rPr>
                    <w:t>水性聚氨酯/丙烯酸乳液 20-30%</w:t>
                  </w:r>
                </w:p>
              </w:tc>
              <w:tc>
                <w:tcPr>
                  <w:tcW w:w="747" w:type="pct"/>
                  <w:tcBorders>
                    <w:tl2br w:val="nil"/>
                    <w:tr2bl w:val="nil"/>
                  </w:tcBorders>
                  <w:vAlign w:val="center"/>
                </w:tcPr>
                <w:p>
                  <w:pPr>
                    <w:pStyle w:val="25"/>
                    <w:rPr>
                      <w:rFonts w:hint="eastAsia"/>
                      <w:bCs/>
                      <w:lang w:val="en-US" w:eastAsia="zh-CN"/>
                    </w:rPr>
                  </w:pPr>
                  <w:r>
                    <w:rPr>
                      <w:rFonts w:hint="eastAsia"/>
                      <w:bCs/>
                      <w:lang w:val="en-US" w:eastAsia="zh-CN"/>
                    </w:rPr>
                    <w:t>否</w:t>
                  </w:r>
                </w:p>
              </w:tc>
              <w:tc>
                <w:tcPr>
                  <w:tcW w:w="1147" w:type="pct"/>
                  <w:vMerge w:val="restart"/>
                  <w:tcBorders>
                    <w:tl2br w:val="nil"/>
                    <w:tr2bl w:val="nil"/>
                  </w:tcBorders>
                  <w:vAlign w:val="center"/>
                </w:tcPr>
                <w:p>
                  <w:pPr>
                    <w:pStyle w:val="25"/>
                    <w:rPr>
                      <w:bCs/>
                    </w:rPr>
                  </w:pPr>
                  <w:r>
                    <w:rPr>
                      <w:rFonts w:hint="eastAsia"/>
                      <w:bCs/>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126" w:type="pct"/>
                  <w:vMerge w:val="continue"/>
                  <w:tcBorders>
                    <w:tl2br w:val="nil"/>
                    <w:tr2bl w:val="nil"/>
                  </w:tcBorders>
                  <w:vAlign w:val="center"/>
                </w:tcPr>
                <w:p>
                  <w:pPr>
                    <w:pStyle w:val="25"/>
                  </w:pPr>
                </w:p>
              </w:tc>
              <w:tc>
                <w:tcPr>
                  <w:tcW w:w="908" w:type="pct"/>
                  <w:vMerge w:val="continue"/>
                  <w:tcBorders>
                    <w:tl2br w:val="nil"/>
                    <w:tr2bl w:val="nil"/>
                  </w:tcBorders>
                  <w:vAlign w:val="center"/>
                </w:tcPr>
                <w:p>
                  <w:pPr>
                    <w:pStyle w:val="25"/>
                  </w:pPr>
                </w:p>
              </w:tc>
              <w:tc>
                <w:tcPr>
                  <w:tcW w:w="1069" w:type="pct"/>
                  <w:tcBorders>
                    <w:tl2br w:val="nil"/>
                    <w:tr2bl w:val="nil"/>
                  </w:tcBorders>
                  <w:vAlign w:val="center"/>
                </w:tcPr>
                <w:p>
                  <w:pPr>
                    <w:pStyle w:val="25"/>
                    <w:rPr>
                      <w:rFonts w:hint="default"/>
                      <w:bCs/>
                      <w:lang w:val="en-US" w:eastAsia="zh-CN"/>
                    </w:rPr>
                  </w:pPr>
                  <w:r>
                    <w:rPr>
                      <w:rFonts w:hint="eastAsia"/>
                      <w:bCs/>
                      <w:lang w:val="en-US" w:eastAsia="zh-CN"/>
                    </w:rPr>
                    <w:t>去离子水 5-10%</w:t>
                  </w:r>
                </w:p>
              </w:tc>
              <w:tc>
                <w:tcPr>
                  <w:tcW w:w="747" w:type="pct"/>
                  <w:tcBorders>
                    <w:tl2br w:val="nil"/>
                    <w:tr2bl w:val="nil"/>
                  </w:tcBorders>
                  <w:vAlign w:val="center"/>
                </w:tcPr>
                <w:p>
                  <w:pPr>
                    <w:pStyle w:val="25"/>
                    <w:rPr>
                      <w:rFonts w:hint="eastAsia"/>
                      <w:bCs/>
                      <w:lang w:val="en-US" w:eastAsia="zh-CN"/>
                    </w:rPr>
                  </w:pPr>
                  <w:r>
                    <w:rPr>
                      <w:rFonts w:hint="eastAsia"/>
                      <w:bCs/>
                      <w:lang w:val="en-US" w:eastAsia="zh-CN"/>
                    </w:rPr>
                    <w:t>否</w:t>
                  </w:r>
                </w:p>
              </w:tc>
              <w:tc>
                <w:tcPr>
                  <w:tcW w:w="1147" w:type="pct"/>
                  <w:vMerge w:val="continue"/>
                  <w:tcBorders>
                    <w:tl2br w:val="nil"/>
                    <w:tr2bl w:val="nil"/>
                  </w:tcBorders>
                  <w:vAlign w:val="center"/>
                </w:tcPr>
                <w:p>
                  <w:pPr>
                    <w:pStyle w:val="25"/>
                    <w:rPr>
                      <w:rFonts w:hint="eastAsia"/>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126" w:type="pct"/>
                  <w:vMerge w:val="continue"/>
                  <w:tcBorders>
                    <w:tl2br w:val="nil"/>
                    <w:tr2bl w:val="nil"/>
                  </w:tcBorders>
                  <w:vAlign w:val="center"/>
                </w:tcPr>
                <w:p>
                  <w:pPr>
                    <w:pStyle w:val="25"/>
                    <w:rPr>
                      <w:rFonts w:hint="eastAsia"/>
                      <w:bCs/>
                      <w:lang w:val="en-US" w:eastAsia="zh-CN"/>
                    </w:rPr>
                  </w:pPr>
                </w:p>
              </w:tc>
              <w:tc>
                <w:tcPr>
                  <w:tcW w:w="908" w:type="pct"/>
                  <w:vMerge w:val="continue"/>
                  <w:tcBorders>
                    <w:tl2br w:val="nil"/>
                    <w:tr2bl w:val="nil"/>
                  </w:tcBorders>
                  <w:vAlign w:val="center"/>
                </w:tcPr>
                <w:p>
                  <w:pPr>
                    <w:pStyle w:val="25"/>
                    <w:rPr>
                      <w:rFonts w:hint="eastAsia"/>
                      <w:bCs/>
                      <w:lang w:val="en-US" w:eastAsia="zh-CN"/>
                    </w:rPr>
                  </w:pPr>
                </w:p>
              </w:tc>
              <w:tc>
                <w:tcPr>
                  <w:tcW w:w="1069" w:type="pct"/>
                  <w:tcBorders>
                    <w:tl2br w:val="nil"/>
                    <w:tr2bl w:val="nil"/>
                  </w:tcBorders>
                  <w:vAlign w:val="center"/>
                </w:tcPr>
                <w:p>
                  <w:pPr>
                    <w:pStyle w:val="25"/>
                    <w:rPr>
                      <w:rFonts w:hint="default"/>
                      <w:bCs/>
                      <w:lang w:val="en-US" w:eastAsia="zh-CN"/>
                    </w:rPr>
                  </w:pPr>
                  <w:r>
                    <w:rPr>
                      <w:rFonts w:hint="eastAsia"/>
                      <w:bCs/>
                      <w:lang w:val="en-US" w:eastAsia="zh-CN"/>
                    </w:rPr>
                    <w:t>水性丙烯酸乳液 30-40%</w:t>
                  </w:r>
                </w:p>
              </w:tc>
              <w:tc>
                <w:tcPr>
                  <w:tcW w:w="747" w:type="pct"/>
                  <w:tcBorders>
                    <w:tl2br w:val="nil"/>
                    <w:tr2bl w:val="nil"/>
                  </w:tcBorders>
                  <w:vAlign w:val="center"/>
                </w:tcPr>
                <w:p>
                  <w:pPr>
                    <w:pStyle w:val="25"/>
                    <w:rPr>
                      <w:rFonts w:hint="eastAsia"/>
                      <w:bCs/>
                      <w:lang w:val="en-US" w:eastAsia="zh-CN"/>
                    </w:rPr>
                  </w:pPr>
                  <w:r>
                    <w:rPr>
                      <w:rFonts w:hint="eastAsia"/>
                      <w:bCs/>
                      <w:lang w:val="en-US" w:eastAsia="zh-CN"/>
                    </w:rPr>
                    <w:t>否</w:t>
                  </w:r>
                </w:p>
              </w:tc>
              <w:tc>
                <w:tcPr>
                  <w:tcW w:w="1147" w:type="pct"/>
                  <w:vMerge w:val="continue"/>
                  <w:tcBorders>
                    <w:tl2br w:val="nil"/>
                    <w:tr2bl w:val="nil"/>
                  </w:tcBorders>
                  <w:vAlign w:val="center"/>
                </w:tcPr>
                <w:p>
                  <w:pPr>
                    <w:pStyle w:val="25"/>
                    <w:rPr>
                      <w:rFonts w:hint="eastAsia"/>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126" w:type="pct"/>
                  <w:vMerge w:val="continue"/>
                  <w:tcBorders>
                    <w:tl2br w:val="nil"/>
                    <w:tr2bl w:val="nil"/>
                  </w:tcBorders>
                  <w:vAlign w:val="center"/>
                </w:tcPr>
                <w:p>
                  <w:pPr>
                    <w:pStyle w:val="25"/>
                    <w:rPr>
                      <w:rFonts w:hint="eastAsia"/>
                      <w:bCs/>
                      <w:lang w:val="en-US" w:eastAsia="zh-CN"/>
                    </w:rPr>
                  </w:pPr>
                </w:p>
              </w:tc>
              <w:tc>
                <w:tcPr>
                  <w:tcW w:w="908" w:type="pct"/>
                  <w:vMerge w:val="continue"/>
                  <w:tcBorders>
                    <w:tl2br w:val="nil"/>
                    <w:tr2bl w:val="nil"/>
                  </w:tcBorders>
                  <w:vAlign w:val="center"/>
                </w:tcPr>
                <w:p>
                  <w:pPr>
                    <w:pStyle w:val="25"/>
                    <w:rPr>
                      <w:rFonts w:hint="eastAsia"/>
                      <w:bCs/>
                      <w:lang w:val="en-US" w:eastAsia="zh-CN"/>
                    </w:rPr>
                  </w:pPr>
                </w:p>
              </w:tc>
              <w:tc>
                <w:tcPr>
                  <w:tcW w:w="1069" w:type="pct"/>
                  <w:tcBorders>
                    <w:tl2br w:val="nil"/>
                    <w:tr2bl w:val="nil"/>
                  </w:tcBorders>
                  <w:vAlign w:val="center"/>
                </w:tcPr>
                <w:p>
                  <w:pPr>
                    <w:pStyle w:val="25"/>
                    <w:rPr>
                      <w:rFonts w:hint="default"/>
                      <w:bCs/>
                      <w:lang w:val="en-US" w:eastAsia="zh-CN"/>
                    </w:rPr>
                  </w:pPr>
                  <w:r>
                    <w:rPr>
                      <w:rFonts w:hint="eastAsia"/>
                      <w:bCs/>
                      <w:lang w:val="en-US" w:eastAsia="zh-CN"/>
                    </w:rPr>
                    <w:t>粉剂 5-20%</w:t>
                  </w:r>
                </w:p>
              </w:tc>
              <w:tc>
                <w:tcPr>
                  <w:tcW w:w="747" w:type="pct"/>
                  <w:tcBorders>
                    <w:tl2br w:val="nil"/>
                    <w:tr2bl w:val="nil"/>
                  </w:tcBorders>
                  <w:vAlign w:val="center"/>
                </w:tcPr>
                <w:p>
                  <w:pPr>
                    <w:pStyle w:val="25"/>
                    <w:rPr>
                      <w:rFonts w:hint="eastAsia"/>
                      <w:bCs/>
                      <w:lang w:val="en-US" w:eastAsia="zh-CN"/>
                    </w:rPr>
                  </w:pPr>
                  <w:r>
                    <w:rPr>
                      <w:rFonts w:hint="eastAsia"/>
                      <w:bCs/>
                      <w:lang w:val="en-US" w:eastAsia="zh-CN"/>
                    </w:rPr>
                    <w:t>否</w:t>
                  </w:r>
                </w:p>
              </w:tc>
              <w:tc>
                <w:tcPr>
                  <w:tcW w:w="1147" w:type="pct"/>
                  <w:vMerge w:val="continue"/>
                  <w:tcBorders>
                    <w:tl2br w:val="nil"/>
                    <w:tr2bl w:val="nil"/>
                  </w:tcBorders>
                  <w:vAlign w:val="center"/>
                </w:tcPr>
                <w:p>
                  <w:pPr>
                    <w:pStyle w:val="25"/>
                    <w:rPr>
                      <w:rFonts w:hint="eastAsia"/>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126" w:type="pct"/>
                  <w:vMerge w:val="continue"/>
                  <w:tcBorders>
                    <w:tl2br w:val="nil"/>
                    <w:tr2bl w:val="nil"/>
                  </w:tcBorders>
                  <w:vAlign w:val="center"/>
                </w:tcPr>
                <w:p>
                  <w:pPr>
                    <w:pStyle w:val="25"/>
                    <w:rPr>
                      <w:rFonts w:hint="eastAsia"/>
                      <w:bCs/>
                      <w:lang w:val="en-US" w:eastAsia="zh-CN"/>
                    </w:rPr>
                  </w:pPr>
                </w:p>
              </w:tc>
              <w:tc>
                <w:tcPr>
                  <w:tcW w:w="908" w:type="pct"/>
                  <w:vMerge w:val="continue"/>
                  <w:tcBorders>
                    <w:tl2br w:val="nil"/>
                    <w:tr2bl w:val="nil"/>
                  </w:tcBorders>
                  <w:vAlign w:val="center"/>
                </w:tcPr>
                <w:p>
                  <w:pPr>
                    <w:pStyle w:val="25"/>
                    <w:rPr>
                      <w:rFonts w:hint="eastAsia"/>
                      <w:bCs/>
                      <w:lang w:val="en-US" w:eastAsia="zh-CN"/>
                    </w:rPr>
                  </w:pPr>
                </w:p>
              </w:tc>
              <w:tc>
                <w:tcPr>
                  <w:tcW w:w="1069" w:type="pct"/>
                  <w:tcBorders>
                    <w:tl2br w:val="nil"/>
                    <w:tr2bl w:val="nil"/>
                  </w:tcBorders>
                  <w:vAlign w:val="center"/>
                </w:tcPr>
                <w:p>
                  <w:pPr>
                    <w:pStyle w:val="25"/>
                    <w:rPr>
                      <w:rFonts w:hint="default"/>
                      <w:bCs/>
                      <w:lang w:val="en-US" w:eastAsia="zh-CN"/>
                    </w:rPr>
                  </w:pPr>
                  <w:r>
                    <w:rPr>
                      <w:rFonts w:hint="eastAsia"/>
                      <w:bCs/>
                      <w:lang w:val="en-US" w:eastAsia="zh-CN"/>
                    </w:rPr>
                    <w:t>二丙二醇丁醚 1-5%</w:t>
                  </w:r>
                </w:p>
              </w:tc>
              <w:tc>
                <w:tcPr>
                  <w:tcW w:w="747" w:type="pct"/>
                  <w:tcBorders>
                    <w:tl2br w:val="nil"/>
                    <w:tr2bl w:val="nil"/>
                  </w:tcBorders>
                  <w:vAlign w:val="center"/>
                </w:tcPr>
                <w:p>
                  <w:pPr>
                    <w:pStyle w:val="25"/>
                    <w:rPr>
                      <w:rFonts w:hint="eastAsia"/>
                      <w:bCs/>
                      <w:lang w:val="en-US" w:eastAsia="zh-CN"/>
                    </w:rPr>
                  </w:pPr>
                  <w:r>
                    <w:rPr>
                      <w:rFonts w:hint="eastAsia"/>
                      <w:bCs/>
                      <w:lang w:val="en-US" w:eastAsia="zh-CN"/>
                    </w:rPr>
                    <w:t>是</w:t>
                  </w:r>
                </w:p>
              </w:tc>
              <w:tc>
                <w:tcPr>
                  <w:tcW w:w="1147" w:type="pct"/>
                  <w:vMerge w:val="continue"/>
                  <w:tcBorders>
                    <w:tl2br w:val="nil"/>
                    <w:tr2bl w:val="nil"/>
                  </w:tcBorders>
                  <w:vAlign w:val="center"/>
                </w:tcPr>
                <w:p>
                  <w:pPr>
                    <w:pStyle w:val="25"/>
                    <w:rPr>
                      <w:rFonts w:hint="eastAsia"/>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126" w:type="pct"/>
                  <w:vMerge w:val="continue"/>
                  <w:tcBorders>
                    <w:tl2br w:val="nil"/>
                    <w:tr2bl w:val="nil"/>
                  </w:tcBorders>
                  <w:vAlign w:val="center"/>
                </w:tcPr>
                <w:p>
                  <w:pPr>
                    <w:pStyle w:val="25"/>
                    <w:rPr>
                      <w:rFonts w:hint="eastAsia"/>
                      <w:bCs/>
                      <w:lang w:val="en-US" w:eastAsia="zh-CN"/>
                    </w:rPr>
                  </w:pPr>
                </w:p>
              </w:tc>
              <w:tc>
                <w:tcPr>
                  <w:tcW w:w="908" w:type="pct"/>
                  <w:vMerge w:val="continue"/>
                  <w:tcBorders>
                    <w:tl2br w:val="nil"/>
                    <w:tr2bl w:val="nil"/>
                  </w:tcBorders>
                  <w:vAlign w:val="center"/>
                </w:tcPr>
                <w:p>
                  <w:pPr>
                    <w:pStyle w:val="25"/>
                    <w:rPr>
                      <w:rFonts w:hint="eastAsia"/>
                      <w:bCs/>
                      <w:lang w:val="en-US" w:eastAsia="zh-CN"/>
                    </w:rPr>
                  </w:pPr>
                </w:p>
              </w:tc>
              <w:tc>
                <w:tcPr>
                  <w:tcW w:w="1069" w:type="pct"/>
                  <w:tcBorders>
                    <w:tl2br w:val="nil"/>
                    <w:tr2bl w:val="nil"/>
                  </w:tcBorders>
                  <w:vAlign w:val="center"/>
                </w:tcPr>
                <w:p>
                  <w:pPr>
                    <w:pStyle w:val="25"/>
                    <w:rPr>
                      <w:rFonts w:hint="default"/>
                      <w:bCs/>
                      <w:lang w:val="en-US" w:eastAsia="zh-CN"/>
                    </w:rPr>
                  </w:pPr>
                  <w:r>
                    <w:rPr>
                      <w:rFonts w:hint="eastAsia"/>
                      <w:bCs/>
                      <w:lang w:val="en-US" w:eastAsia="zh-CN"/>
                    </w:rPr>
                    <w:t>添加剂 1-5%</w:t>
                  </w:r>
                </w:p>
              </w:tc>
              <w:tc>
                <w:tcPr>
                  <w:tcW w:w="747" w:type="pct"/>
                  <w:tcBorders>
                    <w:tl2br w:val="nil"/>
                    <w:tr2bl w:val="nil"/>
                  </w:tcBorders>
                  <w:vAlign w:val="center"/>
                </w:tcPr>
                <w:p>
                  <w:pPr>
                    <w:pStyle w:val="25"/>
                    <w:rPr>
                      <w:rFonts w:hint="eastAsia"/>
                      <w:bCs/>
                      <w:lang w:val="en-US" w:eastAsia="zh-CN"/>
                    </w:rPr>
                  </w:pPr>
                  <w:r>
                    <w:rPr>
                      <w:rFonts w:hint="eastAsia"/>
                      <w:bCs/>
                      <w:lang w:val="en-US" w:eastAsia="zh-CN"/>
                    </w:rPr>
                    <w:t>否</w:t>
                  </w:r>
                </w:p>
              </w:tc>
              <w:tc>
                <w:tcPr>
                  <w:tcW w:w="1147" w:type="pct"/>
                  <w:vMerge w:val="continue"/>
                  <w:tcBorders>
                    <w:tl2br w:val="nil"/>
                    <w:tr2bl w:val="nil"/>
                  </w:tcBorders>
                  <w:vAlign w:val="center"/>
                </w:tcPr>
                <w:p>
                  <w:pPr>
                    <w:pStyle w:val="25"/>
                    <w:rPr>
                      <w:rFonts w:hint="eastAsia"/>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126" w:type="pct"/>
                  <w:vMerge w:val="restart"/>
                  <w:tcBorders>
                    <w:tl2br w:val="nil"/>
                    <w:tr2bl w:val="nil"/>
                  </w:tcBorders>
                  <w:vAlign w:val="center"/>
                </w:tcPr>
                <w:p>
                  <w:pPr>
                    <w:pStyle w:val="25"/>
                    <w:rPr>
                      <w:rFonts w:hint="default" w:eastAsia="宋体"/>
                      <w:bCs/>
                      <w:lang w:val="en-US" w:eastAsia="zh-CN"/>
                    </w:rPr>
                  </w:pPr>
                  <w:r>
                    <w:rPr>
                      <w:rFonts w:hint="eastAsia"/>
                      <w:bCs/>
                      <w:lang w:val="en-US" w:eastAsia="zh-CN"/>
                    </w:rPr>
                    <w:t>UV底漆</w:t>
                  </w:r>
                </w:p>
              </w:tc>
              <w:tc>
                <w:tcPr>
                  <w:tcW w:w="908" w:type="pct"/>
                  <w:vMerge w:val="restar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7t</w:t>
                  </w:r>
                </w:p>
              </w:tc>
              <w:tc>
                <w:tcPr>
                  <w:tcW w:w="1069" w:type="pct"/>
                  <w:tcBorders>
                    <w:tl2br w:val="nil"/>
                    <w:tr2bl w:val="nil"/>
                  </w:tcBorders>
                  <w:vAlign w:val="center"/>
                </w:tcPr>
                <w:p>
                  <w:pPr>
                    <w:pStyle w:val="25"/>
                    <w:rPr>
                      <w:rFonts w:hint="default"/>
                      <w:bCs/>
                      <w:lang w:val="en-US" w:eastAsia="zh-CN"/>
                    </w:rPr>
                  </w:pPr>
                  <w:r>
                    <w:rPr>
                      <w:rFonts w:hint="eastAsia"/>
                      <w:bCs/>
                      <w:lang w:val="en-US" w:eastAsia="zh-CN"/>
                    </w:rPr>
                    <w:t>聚氨酯丙稀酸树脂 5-10%</w:t>
                  </w:r>
                </w:p>
              </w:tc>
              <w:tc>
                <w:tcPr>
                  <w:tcW w:w="747"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否</w:t>
                  </w:r>
                </w:p>
              </w:tc>
              <w:tc>
                <w:tcPr>
                  <w:tcW w:w="1147" w:type="pct"/>
                  <w:vMerge w:val="restart"/>
                  <w:tcBorders>
                    <w:tl2br w:val="nil"/>
                    <w:tr2bl w:val="nil"/>
                  </w:tcBorders>
                  <w:vAlign w:val="center"/>
                </w:tcPr>
                <w:p>
                  <w:pPr>
                    <w:pStyle w:val="25"/>
                    <w:rPr>
                      <w:rFonts w:hint="eastAsia"/>
                      <w:bCs/>
                    </w:rPr>
                  </w:pPr>
                  <w:r>
                    <w:rPr>
                      <w:rFonts w:hint="eastAsia"/>
                      <w:bCs/>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126" w:type="pct"/>
                  <w:vMerge w:val="continue"/>
                  <w:tcBorders>
                    <w:tl2br w:val="nil"/>
                    <w:tr2bl w:val="nil"/>
                  </w:tcBorders>
                  <w:vAlign w:val="center"/>
                </w:tcPr>
                <w:p>
                  <w:pPr>
                    <w:pStyle w:val="25"/>
                  </w:pPr>
                </w:p>
              </w:tc>
              <w:tc>
                <w:tcPr>
                  <w:tcW w:w="908" w:type="pct"/>
                  <w:vMerge w:val="continue"/>
                  <w:tcBorders>
                    <w:tl2br w:val="nil"/>
                    <w:tr2bl w:val="nil"/>
                  </w:tcBorders>
                  <w:vAlign w:val="center"/>
                </w:tcPr>
                <w:p>
                  <w:pPr>
                    <w:pStyle w:val="25"/>
                  </w:pPr>
                </w:p>
              </w:tc>
              <w:tc>
                <w:tcPr>
                  <w:tcW w:w="1069"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聚酯丙烯酸脂 10-20%</w:t>
                  </w:r>
                </w:p>
              </w:tc>
              <w:tc>
                <w:tcPr>
                  <w:tcW w:w="747"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否</w:t>
                  </w:r>
                </w:p>
              </w:tc>
              <w:tc>
                <w:tcPr>
                  <w:tcW w:w="1147" w:type="pct"/>
                  <w:vMerge w:val="continue"/>
                  <w:tcBorders>
                    <w:tl2br w:val="nil"/>
                    <w:tr2bl w:val="nil"/>
                  </w:tcBorders>
                  <w:vAlign w:val="center"/>
                </w:tcPr>
                <w:p>
                  <w:pPr>
                    <w:pStyle w:val="25"/>
                    <w:rPr>
                      <w:rFonts w:hint="eastAsia"/>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126" w:type="pct"/>
                  <w:vMerge w:val="continue"/>
                  <w:tcBorders>
                    <w:tl2br w:val="nil"/>
                    <w:tr2bl w:val="nil"/>
                  </w:tcBorders>
                  <w:vAlign w:val="center"/>
                </w:tcPr>
                <w:p>
                  <w:pPr>
                    <w:pStyle w:val="25"/>
                    <w:rPr>
                      <w:rFonts w:hint="eastAsia"/>
                      <w:bCs/>
                      <w:lang w:val="en-US" w:eastAsia="zh-CN"/>
                    </w:rPr>
                  </w:pPr>
                </w:p>
              </w:tc>
              <w:tc>
                <w:tcPr>
                  <w:tcW w:w="908" w:type="pct"/>
                  <w:vMerge w:val="continue"/>
                  <w:tcBorders>
                    <w:tl2br w:val="nil"/>
                    <w:tr2bl w:val="nil"/>
                  </w:tcBorders>
                  <w:vAlign w:val="center"/>
                </w:tcPr>
                <w:p>
                  <w:pPr>
                    <w:pStyle w:val="25"/>
                    <w:rPr>
                      <w:rFonts w:hint="eastAsia"/>
                      <w:bCs/>
                      <w:lang w:val="en-US" w:eastAsia="zh-CN"/>
                    </w:rPr>
                  </w:pPr>
                </w:p>
              </w:tc>
              <w:tc>
                <w:tcPr>
                  <w:tcW w:w="1069"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环氧丙烯酸树脂 10-20%</w:t>
                  </w:r>
                </w:p>
              </w:tc>
              <w:tc>
                <w:tcPr>
                  <w:tcW w:w="747"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否</w:t>
                  </w:r>
                </w:p>
              </w:tc>
              <w:tc>
                <w:tcPr>
                  <w:tcW w:w="1147" w:type="pct"/>
                  <w:vMerge w:val="continue"/>
                  <w:tcBorders>
                    <w:tl2br w:val="nil"/>
                    <w:tr2bl w:val="nil"/>
                  </w:tcBorders>
                  <w:vAlign w:val="center"/>
                </w:tcPr>
                <w:p>
                  <w:pPr>
                    <w:pStyle w:val="25"/>
                    <w:rPr>
                      <w:rFonts w:hint="eastAsia"/>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126" w:type="pct"/>
                  <w:vMerge w:val="continue"/>
                  <w:tcBorders>
                    <w:tl2br w:val="nil"/>
                    <w:tr2bl w:val="nil"/>
                  </w:tcBorders>
                  <w:vAlign w:val="center"/>
                </w:tcPr>
                <w:p>
                  <w:pPr>
                    <w:pStyle w:val="25"/>
                    <w:rPr>
                      <w:rFonts w:hint="eastAsia"/>
                      <w:bCs/>
                      <w:lang w:val="en-US" w:eastAsia="zh-CN"/>
                    </w:rPr>
                  </w:pPr>
                </w:p>
              </w:tc>
              <w:tc>
                <w:tcPr>
                  <w:tcW w:w="908" w:type="pct"/>
                  <w:vMerge w:val="continue"/>
                  <w:tcBorders>
                    <w:tl2br w:val="nil"/>
                    <w:tr2bl w:val="nil"/>
                  </w:tcBorders>
                  <w:vAlign w:val="center"/>
                </w:tcPr>
                <w:p>
                  <w:pPr>
                    <w:pStyle w:val="25"/>
                    <w:rPr>
                      <w:rFonts w:hint="eastAsia"/>
                      <w:bCs/>
                      <w:lang w:val="en-US" w:eastAsia="zh-CN"/>
                    </w:rPr>
                  </w:pPr>
                </w:p>
              </w:tc>
              <w:tc>
                <w:tcPr>
                  <w:tcW w:w="1069"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粉剂 10-30%</w:t>
                  </w:r>
                </w:p>
              </w:tc>
              <w:tc>
                <w:tcPr>
                  <w:tcW w:w="747"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否</w:t>
                  </w:r>
                </w:p>
              </w:tc>
              <w:tc>
                <w:tcPr>
                  <w:tcW w:w="1147" w:type="pct"/>
                  <w:vMerge w:val="continue"/>
                  <w:tcBorders>
                    <w:tl2br w:val="nil"/>
                    <w:tr2bl w:val="nil"/>
                  </w:tcBorders>
                  <w:vAlign w:val="center"/>
                </w:tcPr>
                <w:p>
                  <w:pPr>
                    <w:pStyle w:val="25"/>
                    <w:rPr>
                      <w:rFonts w:hint="eastAsia"/>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126" w:type="pct"/>
                  <w:vMerge w:val="continue"/>
                  <w:tcBorders>
                    <w:tl2br w:val="nil"/>
                    <w:tr2bl w:val="nil"/>
                  </w:tcBorders>
                  <w:vAlign w:val="center"/>
                </w:tcPr>
                <w:p>
                  <w:pPr>
                    <w:pStyle w:val="25"/>
                    <w:rPr>
                      <w:rFonts w:hint="eastAsia"/>
                      <w:bCs/>
                      <w:lang w:val="en-US" w:eastAsia="zh-CN"/>
                    </w:rPr>
                  </w:pPr>
                </w:p>
              </w:tc>
              <w:tc>
                <w:tcPr>
                  <w:tcW w:w="908" w:type="pct"/>
                  <w:vMerge w:val="continue"/>
                  <w:tcBorders>
                    <w:tl2br w:val="nil"/>
                    <w:tr2bl w:val="nil"/>
                  </w:tcBorders>
                  <w:vAlign w:val="center"/>
                </w:tcPr>
                <w:p>
                  <w:pPr>
                    <w:pStyle w:val="25"/>
                    <w:rPr>
                      <w:rFonts w:hint="eastAsia"/>
                      <w:bCs/>
                      <w:lang w:val="en-US" w:eastAsia="zh-CN"/>
                    </w:rPr>
                  </w:pPr>
                </w:p>
              </w:tc>
              <w:tc>
                <w:tcPr>
                  <w:tcW w:w="1069"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丙稀酸活性单体 1-20%</w:t>
                  </w:r>
                </w:p>
              </w:tc>
              <w:tc>
                <w:tcPr>
                  <w:tcW w:w="747"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是</w:t>
                  </w:r>
                </w:p>
              </w:tc>
              <w:tc>
                <w:tcPr>
                  <w:tcW w:w="1147" w:type="pct"/>
                  <w:vMerge w:val="continue"/>
                  <w:tcBorders>
                    <w:tl2br w:val="nil"/>
                    <w:tr2bl w:val="nil"/>
                  </w:tcBorders>
                  <w:vAlign w:val="center"/>
                </w:tcPr>
                <w:p>
                  <w:pPr>
                    <w:pStyle w:val="25"/>
                    <w:rPr>
                      <w:rFonts w:hint="eastAsia"/>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126" w:type="pct"/>
                  <w:vMerge w:val="continue"/>
                  <w:tcBorders>
                    <w:tl2br w:val="nil"/>
                    <w:tr2bl w:val="nil"/>
                  </w:tcBorders>
                  <w:vAlign w:val="center"/>
                </w:tcPr>
                <w:p>
                  <w:pPr>
                    <w:pStyle w:val="25"/>
                    <w:rPr>
                      <w:rFonts w:hint="eastAsia"/>
                      <w:bCs/>
                      <w:lang w:val="en-US" w:eastAsia="zh-CN"/>
                    </w:rPr>
                  </w:pPr>
                </w:p>
              </w:tc>
              <w:tc>
                <w:tcPr>
                  <w:tcW w:w="908" w:type="pct"/>
                  <w:vMerge w:val="continue"/>
                  <w:tcBorders>
                    <w:tl2br w:val="nil"/>
                    <w:tr2bl w:val="nil"/>
                  </w:tcBorders>
                  <w:vAlign w:val="center"/>
                </w:tcPr>
                <w:p>
                  <w:pPr>
                    <w:pStyle w:val="25"/>
                    <w:rPr>
                      <w:rFonts w:hint="eastAsia"/>
                      <w:bCs/>
                      <w:lang w:val="en-US" w:eastAsia="zh-CN"/>
                    </w:rPr>
                  </w:pPr>
                </w:p>
              </w:tc>
              <w:tc>
                <w:tcPr>
                  <w:tcW w:w="1069"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助剂 1-5%</w:t>
                  </w:r>
                </w:p>
              </w:tc>
              <w:tc>
                <w:tcPr>
                  <w:tcW w:w="747"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否</w:t>
                  </w:r>
                </w:p>
              </w:tc>
              <w:tc>
                <w:tcPr>
                  <w:tcW w:w="1147" w:type="pct"/>
                  <w:vMerge w:val="continue"/>
                  <w:tcBorders>
                    <w:tl2br w:val="nil"/>
                    <w:tr2bl w:val="nil"/>
                  </w:tcBorders>
                  <w:vAlign w:val="center"/>
                </w:tcPr>
                <w:p>
                  <w:pPr>
                    <w:pStyle w:val="25"/>
                    <w:rPr>
                      <w:rFonts w:hint="eastAsia"/>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126" w:type="pct"/>
                  <w:vMerge w:val="continue"/>
                  <w:tcBorders>
                    <w:tl2br w:val="nil"/>
                    <w:tr2bl w:val="nil"/>
                  </w:tcBorders>
                  <w:vAlign w:val="center"/>
                </w:tcPr>
                <w:p>
                  <w:pPr>
                    <w:pStyle w:val="25"/>
                    <w:rPr>
                      <w:rFonts w:hint="eastAsia"/>
                      <w:bCs/>
                      <w:lang w:val="en-US" w:eastAsia="zh-CN"/>
                    </w:rPr>
                  </w:pPr>
                </w:p>
              </w:tc>
              <w:tc>
                <w:tcPr>
                  <w:tcW w:w="908" w:type="pct"/>
                  <w:vMerge w:val="continue"/>
                  <w:tcBorders>
                    <w:tl2br w:val="nil"/>
                    <w:tr2bl w:val="nil"/>
                  </w:tcBorders>
                  <w:vAlign w:val="center"/>
                </w:tcPr>
                <w:p>
                  <w:pPr>
                    <w:pStyle w:val="25"/>
                    <w:rPr>
                      <w:rFonts w:hint="eastAsia"/>
                      <w:bCs/>
                      <w:lang w:val="en-US" w:eastAsia="zh-CN"/>
                    </w:rPr>
                  </w:pPr>
                </w:p>
              </w:tc>
              <w:tc>
                <w:tcPr>
                  <w:tcW w:w="1069"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val="en-US" w:eastAsia="zh-CN"/>
                    </w:rPr>
                    <w:t>光引发剂 1-5%</w:t>
                  </w:r>
                </w:p>
              </w:tc>
              <w:tc>
                <w:tcPr>
                  <w:tcW w:w="747" w:type="pct"/>
                  <w:tcBorders>
                    <w:tl2br w:val="nil"/>
                    <w:tr2bl w:val="nil"/>
                  </w:tcBorders>
                  <w:vAlign w:val="center"/>
                </w:tcPr>
                <w:p>
                  <w:pPr>
                    <w:pStyle w:val="25"/>
                    <w:rPr>
                      <w:rFonts w:hint="eastAsia"/>
                      <w:bCs/>
                      <w:lang w:val="en-US" w:eastAsia="zh-CN"/>
                    </w:rPr>
                  </w:pPr>
                  <w:r>
                    <w:rPr>
                      <w:rFonts w:hint="eastAsia"/>
                      <w:bCs/>
                      <w:lang w:val="en-US" w:eastAsia="zh-CN"/>
                    </w:rPr>
                    <w:t>否</w:t>
                  </w:r>
                </w:p>
              </w:tc>
              <w:tc>
                <w:tcPr>
                  <w:tcW w:w="1147" w:type="pct"/>
                  <w:vMerge w:val="continue"/>
                  <w:tcBorders>
                    <w:tl2br w:val="nil"/>
                    <w:tr2bl w:val="nil"/>
                  </w:tcBorders>
                  <w:vAlign w:val="center"/>
                </w:tcPr>
                <w:p>
                  <w:pPr>
                    <w:pStyle w:val="25"/>
                    <w:rPr>
                      <w:rFonts w:hint="eastAsia"/>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126" w:type="pct"/>
                  <w:tcBorders>
                    <w:tl2br w:val="nil"/>
                    <w:tr2bl w:val="nil"/>
                  </w:tcBorders>
                  <w:vAlign w:val="center"/>
                </w:tcPr>
                <w:p>
                  <w:pPr>
                    <w:pStyle w:val="25"/>
                    <w:rPr>
                      <w:rFonts w:hint="eastAsia"/>
                      <w:bCs/>
                      <w:lang w:val="en-US" w:eastAsia="zh-CN"/>
                    </w:rPr>
                  </w:pPr>
                  <w:r>
                    <w:rPr>
                      <w:rFonts w:hint="eastAsia"/>
                      <w:bCs/>
                      <w:lang w:val="en-US" w:eastAsia="zh-CN"/>
                    </w:rPr>
                    <w:t>润滑油</w:t>
                  </w:r>
                </w:p>
              </w:tc>
              <w:tc>
                <w:tcPr>
                  <w:tcW w:w="908" w:type="pct"/>
                  <w:tcBorders>
                    <w:tl2br w:val="nil"/>
                    <w:tr2bl w:val="nil"/>
                  </w:tcBorders>
                  <w:vAlign w:val="center"/>
                </w:tcPr>
                <w:p>
                  <w:pPr>
                    <w:pStyle w:val="25"/>
                    <w:rPr>
                      <w:rFonts w:hint="default"/>
                      <w:bCs/>
                      <w:lang w:val="en-US" w:eastAsia="zh-CN"/>
                    </w:rPr>
                  </w:pPr>
                  <w:r>
                    <w:rPr>
                      <w:rFonts w:hint="eastAsia"/>
                      <w:bCs/>
                      <w:lang w:val="en-US" w:eastAsia="zh-CN"/>
                    </w:rPr>
                    <w:t>0.1t</w:t>
                  </w:r>
                </w:p>
              </w:tc>
              <w:tc>
                <w:tcPr>
                  <w:tcW w:w="1069" w:type="pct"/>
                  <w:tcBorders>
                    <w:tl2br w:val="nil"/>
                    <w:tr2bl w:val="nil"/>
                  </w:tcBorders>
                  <w:vAlign w:val="center"/>
                </w:tcPr>
                <w:p>
                  <w:pPr>
                    <w:pStyle w:val="25"/>
                    <w:ind w:firstLine="0" w:firstLineChars="0"/>
                    <w:rPr>
                      <w:rFonts w:hint="eastAsia"/>
                      <w:bCs/>
                      <w:lang w:val="en-US" w:eastAsia="zh-CN"/>
                    </w:rPr>
                  </w:pPr>
                  <w:r>
                    <w:rPr>
                      <w:rFonts w:hint="eastAsia"/>
                      <w:bCs/>
                      <w:lang w:val="en-US" w:eastAsia="zh-CN"/>
                    </w:rPr>
                    <w:t>矿物油</w:t>
                  </w:r>
                </w:p>
              </w:tc>
              <w:tc>
                <w:tcPr>
                  <w:tcW w:w="747" w:type="pct"/>
                  <w:tcBorders>
                    <w:tl2br w:val="nil"/>
                    <w:tr2bl w:val="nil"/>
                  </w:tcBorders>
                  <w:vAlign w:val="center"/>
                </w:tcPr>
                <w:p>
                  <w:pPr>
                    <w:pStyle w:val="25"/>
                    <w:rPr>
                      <w:rFonts w:hint="eastAsia"/>
                      <w:bCs/>
                      <w:lang w:val="en-US" w:eastAsia="zh-CN"/>
                    </w:rPr>
                  </w:pPr>
                  <w:r>
                    <w:rPr>
                      <w:rFonts w:hint="eastAsia"/>
                      <w:bCs/>
                      <w:lang w:val="en-US" w:eastAsia="zh-CN"/>
                    </w:rPr>
                    <w:t>否</w:t>
                  </w:r>
                </w:p>
              </w:tc>
              <w:tc>
                <w:tcPr>
                  <w:tcW w:w="1147" w:type="pct"/>
                  <w:tcBorders>
                    <w:tl2br w:val="nil"/>
                    <w:tr2bl w:val="nil"/>
                  </w:tcBorders>
                  <w:vAlign w:val="center"/>
                </w:tcPr>
                <w:p>
                  <w:pPr>
                    <w:pStyle w:val="25"/>
                    <w:rPr>
                      <w:rFonts w:hint="eastAsia"/>
                      <w:bCs/>
                      <w:lang w:val="en-US" w:eastAsia="zh-CN"/>
                    </w:rPr>
                  </w:pPr>
                  <w:r>
                    <w:rPr>
                      <w:rFonts w:hint="eastAsia"/>
                      <w:bCs/>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26" w:type="pct"/>
                  <w:tcBorders>
                    <w:tl2br w:val="nil"/>
                    <w:tr2bl w:val="nil"/>
                  </w:tcBorders>
                  <w:vAlign w:val="center"/>
                </w:tcPr>
                <w:p>
                  <w:pPr>
                    <w:pStyle w:val="25"/>
                    <w:rPr>
                      <w:bCs/>
                    </w:rPr>
                  </w:pPr>
                  <w:r>
                    <w:rPr>
                      <w:rFonts w:hint="eastAsia"/>
                      <w:bCs/>
                    </w:rPr>
                    <w:t>电</w:t>
                  </w:r>
                </w:p>
              </w:tc>
              <w:tc>
                <w:tcPr>
                  <w:tcW w:w="908" w:type="pct"/>
                  <w:tcBorders>
                    <w:tl2br w:val="nil"/>
                    <w:tr2bl w:val="nil"/>
                  </w:tcBorders>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rPr>
                    <w:t>40</w:t>
                  </w:r>
                  <w:r>
                    <w:rPr>
                      <w:bCs/>
                    </w:rPr>
                    <w:t>万kWh</w:t>
                  </w:r>
                </w:p>
              </w:tc>
              <w:tc>
                <w:tcPr>
                  <w:tcW w:w="1069" w:type="pct"/>
                  <w:tcBorders>
                    <w:tl2br w:val="nil"/>
                    <w:tr2bl w:val="nil"/>
                  </w:tcBorders>
                  <w:vAlign w:val="center"/>
                </w:tcPr>
                <w:p>
                  <w:pPr>
                    <w:pStyle w:val="25"/>
                    <w:rPr>
                      <w:rFonts w:hint="eastAsia" w:eastAsia="宋体"/>
                      <w:bCs/>
                      <w:lang w:val="en-US" w:eastAsia="zh-CN"/>
                    </w:rPr>
                  </w:pPr>
                  <w:r>
                    <w:rPr>
                      <w:rFonts w:hint="eastAsia"/>
                      <w:bCs/>
                      <w:lang w:val="en-US" w:eastAsia="zh-CN"/>
                    </w:rPr>
                    <w:t>/</w:t>
                  </w:r>
                </w:p>
              </w:tc>
              <w:tc>
                <w:tcPr>
                  <w:tcW w:w="747" w:type="pct"/>
                  <w:tcBorders>
                    <w:tl2br w:val="nil"/>
                    <w:tr2bl w:val="nil"/>
                  </w:tcBorders>
                  <w:vAlign w:val="center"/>
                </w:tcPr>
                <w:p>
                  <w:pPr>
                    <w:pStyle w:val="25"/>
                    <w:rPr>
                      <w:rFonts w:hint="eastAsia" w:eastAsia="宋体"/>
                      <w:bCs/>
                      <w:lang w:val="en-US" w:eastAsia="zh-CN"/>
                    </w:rPr>
                  </w:pPr>
                  <w:r>
                    <w:rPr>
                      <w:rFonts w:hint="eastAsia"/>
                      <w:bCs/>
                      <w:lang w:val="en-US" w:eastAsia="zh-CN"/>
                    </w:rPr>
                    <w:t>/</w:t>
                  </w:r>
                </w:p>
              </w:tc>
              <w:tc>
                <w:tcPr>
                  <w:tcW w:w="1147" w:type="pct"/>
                  <w:tcBorders>
                    <w:tl2br w:val="nil"/>
                    <w:tr2bl w:val="nil"/>
                  </w:tcBorders>
                  <w:vAlign w:val="center"/>
                </w:tcPr>
                <w:p>
                  <w:pPr>
                    <w:pStyle w:val="25"/>
                    <w:rPr>
                      <w:bCs/>
                    </w:rPr>
                  </w:pPr>
                  <w:r>
                    <w:rPr>
                      <w:bCs/>
                    </w:rPr>
                    <w:t>市政电网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26" w:type="pct"/>
                  <w:tcBorders>
                    <w:tl2br w:val="nil"/>
                    <w:tr2bl w:val="nil"/>
                  </w:tcBorders>
                  <w:vAlign w:val="center"/>
                </w:tcPr>
                <w:p>
                  <w:pPr>
                    <w:pStyle w:val="25"/>
                    <w:rPr>
                      <w:bCs/>
                    </w:rPr>
                  </w:pPr>
                  <w:r>
                    <w:rPr>
                      <w:rFonts w:hint="eastAsia"/>
                      <w:bCs/>
                    </w:rPr>
                    <w:t>自来水</w:t>
                  </w:r>
                </w:p>
              </w:tc>
              <w:tc>
                <w:tcPr>
                  <w:tcW w:w="908" w:type="pct"/>
                  <w:tcBorders>
                    <w:tl2br w:val="nil"/>
                    <w:tr2bl w:val="nil"/>
                  </w:tcBorders>
                  <w:vAlign w:val="center"/>
                </w:tcPr>
                <w:p>
                  <w:pPr>
                    <w:pStyle w:val="25"/>
                    <w:ind w:firstLine="0" w:firstLineChars="0"/>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14:textFill>
                        <w14:solidFill>
                          <w14:schemeClr w14:val="tx1"/>
                        </w14:solidFill>
                      </w14:textFill>
                    </w:rPr>
                    <w:t>1</w:t>
                  </w:r>
                  <w:r>
                    <w:rPr>
                      <w:rFonts w:hint="eastAsia"/>
                      <w:bCs/>
                      <w:color w:val="000000" w:themeColor="text1"/>
                      <w:lang w:val="en-US" w:eastAsia="zh-CN"/>
                      <w14:textFill>
                        <w14:solidFill>
                          <w14:schemeClr w14:val="tx1"/>
                        </w14:solidFill>
                      </w14:textFill>
                    </w:rPr>
                    <w:t>8</w:t>
                  </w:r>
                  <w:r>
                    <w:rPr>
                      <w:rFonts w:hint="eastAsia"/>
                      <w:bCs/>
                      <w:color w:val="000000" w:themeColor="text1"/>
                      <w14:textFill>
                        <w14:solidFill>
                          <w14:schemeClr w14:val="tx1"/>
                        </w14:solidFill>
                      </w14:textFill>
                    </w:rPr>
                    <w:t>0t</w:t>
                  </w:r>
                </w:p>
              </w:tc>
              <w:tc>
                <w:tcPr>
                  <w:tcW w:w="1069" w:type="pct"/>
                  <w:tcBorders>
                    <w:tl2br w:val="nil"/>
                    <w:tr2bl w:val="nil"/>
                  </w:tcBorders>
                  <w:vAlign w:val="center"/>
                </w:tcPr>
                <w:p>
                  <w:pPr>
                    <w:pStyle w:val="25"/>
                    <w:rPr>
                      <w:rFonts w:hint="eastAsia"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w:t>
                  </w:r>
                </w:p>
              </w:tc>
              <w:tc>
                <w:tcPr>
                  <w:tcW w:w="747" w:type="pct"/>
                  <w:tcBorders>
                    <w:tl2br w:val="nil"/>
                    <w:tr2bl w:val="nil"/>
                  </w:tcBorders>
                  <w:vAlign w:val="center"/>
                </w:tcPr>
                <w:p>
                  <w:pPr>
                    <w:pStyle w:val="25"/>
                    <w:rPr>
                      <w:rFonts w:hint="eastAsia"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w:t>
                  </w:r>
                </w:p>
              </w:tc>
              <w:tc>
                <w:tcPr>
                  <w:tcW w:w="1147" w:type="pct"/>
                  <w:tcBorders>
                    <w:tl2br w:val="nil"/>
                    <w:tr2bl w:val="nil"/>
                  </w:tcBorders>
                  <w:vAlign w:val="center"/>
                </w:tcPr>
                <w:p>
                  <w:pPr>
                    <w:pStyle w:val="25"/>
                    <w:rPr>
                      <w:bCs/>
                    </w:rPr>
                  </w:pPr>
                  <w:r>
                    <w:rPr>
                      <w:rFonts w:hint="eastAsia"/>
                      <w:bCs/>
                    </w:rPr>
                    <w:t>市政</w:t>
                  </w:r>
                  <w:r>
                    <w:rPr>
                      <w:bCs/>
                    </w:rPr>
                    <w:t>供水</w:t>
                  </w:r>
                </w:p>
              </w:tc>
            </w:tr>
          </w:tbl>
          <w:p>
            <w:pPr>
              <w:numPr>
                <w:ilvl w:val="0"/>
                <w:numId w:val="0"/>
              </w:numPr>
              <w:bidi w:val="0"/>
              <w:rPr>
                <w:rFonts w:hint="eastAsia"/>
                <w:b/>
                <w:bCs/>
                <w:lang w:eastAsia="zh-CN"/>
              </w:rPr>
            </w:pPr>
          </w:p>
          <w:p>
            <w:pPr>
              <w:numPr>
                <w:ilvl w:val="0"/>
                <w:numId w:val="0"/>
              </w:numPr>
              <w:bidi w:val="0"/>
              <w:rPr>
                <w:rFonts w:hint="eastAsia"/>
                <w:b/>
                <w:bCs/>
                <w:lang w:eastAsia="zh-CN"/>
              </w:rPr>
            </w:pPr>
            <w:r>
              <w:rPr>
                <w:rFonts w:hint="eastAsia"/>
                <w:b/>
                <w:bCs/>
                <w:lang w:eastAsia="zh-CN"/>
              </w:rPr>
              <w:t>四、主要生产设施</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pPr>
            <w:r>
              <w:t>表</w:t>
            </w:r>
            <w:r>
              <w:rPr>
                <w:rFonts w:hint="eastAsia"/>
              </w:rPr>
              <w:t>2-</w:t>
            </w:r>
            <w:r>
              <w:rPr>
                <w:rFonts w:hint="eastAsia"/>
                <w:lang w:val="en-US" w:eastAsia="zh-CN"/>
              </w:rPr>
              <w:t>3</w:t>
            </w:r>
            <w:r>
              <w:rPr>
                <w:rFonts w:hint="eastAsia"/>
              </w:rPr>
              <w:t xml:space="preserve">  生产设备一览表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730"/>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pct"/>
                  <w:vAlign w:val="center"/>
                </w:tcPr>
                <w:p>
                  <w:pPr>
                    <w:pStyle w:val="25"/>
                    <w:rPr>
                      <w:bCs/>
                    </w:rPr>
                  </w:pPr>
                  <w:r>
                    <w:rPr>
                      <w:rFonts w:hint="eastAsia"/>
                      <w:bCs/>
                    </w:rPr>
                    <w:t>设备名称</w:t>
                  </w:r>
                </w:p>
              </w:tc>
              <w:tc>
                <w:tcPr>
                  <w:tcW w:w="1708" w:type="pct"/>
                  <w:vAlign w:val="center"/>
                </w:tcPr>
                <w:p>
                  <w:pPr>
                    <w:pStyle w:val="25"/>
                    <w:rPr>
                      <w:bCs/>
                    </w:rPr>
                  </w:pPr>
                  <w:r>
                    <w:rPr>
                      <w:rFonts w:hint="eastAsia"/>
                      <w:bCs/>
                    </w:rPr>
                    <w:t>设备型号</w:t>
                  </w:r>
                </w:p>
              </w:tc>
              <w:tc>
                <w:tcPr>
                  <w:tcW w:w="1606" w:type="pct"/>
                  <w:vAlign w:val="center"/>
                </w:tcPr>
                <w:p>
                  <w:pPr>
                    <w:pStyle w:val="25"/>
                    <w:rPr>
                      <w:bCs/>
                    </w:rPr>
                  </w:pPr>
                  <w:r>
                    <w:rPr>
                      <w:rFonts w:hint="eastAsia"/>
                      <w:bCs/>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pct"/>
                  <w:vAlign w:val="center"/>
                </w:tcPr>
                <w:p>
                  <w:pPr>
                    <w:pStyle w:val="25"/>
                    <w:rPr>
                      <w:bCs/>
                    </w:rPr>
                  </w:pPr>
                  <w:r>
                    <w:rPr>
                      <w:rFonts w:hint="eastAsia"/>
                      <w:bCs/>
                    </w:rPr>
                    <w:t>智能往复式喷涂机</w:t>
                  </w:r>
                </w:p>
              </w:tc>
              <w:tc>
                <w:tcPr>
                  <w:tcW w:w="1708" w:type="pct"/>
                  <w:vAlign w:val="center"/>
                </w:tcPr>
                <w:p>
                  <w:pPr>
                    <w:pStyle w:val="25"/>
                    <w:rPr>
                      <w:bCs/>
                    </w:rPr>
                  </w:pPr>
                  <w:r>
                    <w:rPr>
                      <w:rFonts w:hint="eastAsia"/>
                      <w:bCs/>
                    </w:rPr>
                    <w:t>MK-PJ-1300</w:t>
                  </w:r>
                </w:p>
              </w:tc>
              <w:tc>
                <w:tcPr>
                  <w:tcW w:w="1606" w:type="pct"/>
                  <w:vAlign w:val="center"/>
                </w:tcPr>
                <w:p>
                  <w:pPr>
                    <w:pStyle w:val="25"/>
                    <w:rPr>
                      <w:bCs/>
                    </w:rPr>
                  </w:pPr>
                  <w:r>
                    <w:rPr>
                      <w:rFonts w:hint="eastAsia"/>
                      <w:bC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pct"/>
                  <w:vAlign w:val="center"/>
                </w:tcPr>
                <w:p>
                  <w:pPr>
                    <w:pStyle w:val="25"/>
                    <w:rPr>
                      <w:bCs/>
                    </w:rPr>
                  </w:pPr>
                  <w:r>
                    <w:rPr>
                      <w:rFonts w:hint="eastAsia"/>
                      <w:bCs/>
                    </w:rPr>
                    <w:t>15米流平机</w:t>
                  </w:r>
                </w:p>
              </w:tc>
              <w:tc>
                <w:tcPr>
                  <w:tcW w:w="1708" w:type="pct"/>
                  <w:vAlign w:val="center"/>
                </w:tcPr>
                <w:p>
                  <w:pPr>
                    <w:pStyle w:val="25"/>
                    <w:rPr>
                      <w:bCs/>
                    </w:rPr>
                  </w:pPr>
                  <w:r>
                    <w:rPr>
                      <w:rFonts w:hint="eastAsia"/>
                      <w:bCs/>
                    </w:rPr>
                    <w:t>MK-LP15-1300</w:t>
                  </w:r>
                </w:p>
              </w:tc>
              <w:tc>
                <w:tcPr>
                  <w:tcW w:w="1606" w:type="pct"/>
                  <w:vAlign w:val="center"/>
                </w:tcPr>
                <w:p>
                  <w:pPr>
                    <w:pStyle w:val="25"/>
                    <w:rPr>
                      <w:bCs/>
                    </w:rPr>
                  </w:pPr>
                  <w:r>
                    <w:rPr>
                      <w:rFonts w:hint="eastAsia"/>
                      <w:bC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pct"/>
                  <w:vAlign w:val="center"/>
                </w:tcPr>
                <w:p>
                  <w:pPr>
                    <w:pStyle w:val="25"/>
                    <w:rPr>
                      <w:bCs/>
                    </w:rPr>
                  </w:pPr>
                  <w:r>
                    <w:rPr>
                      <w:rFonts w:hint="eastAsia"/>
                      <w:bCs/>
                    </w:rPr>
                    <w:t>UV固化机</w:t>
                  </w:r>
                </w:p>
              </w:tc>
              <w:tc>
                <w:tcPr>
                  <w:tcW w:w="1708" w:type="pct"/>
                  <w:vAlign w:val="center"/>
                </w:tcPr>
                <w:p>
                  <w:pPr>
                    <w:pStyle w:val="25"/>
                    <w:rPr>
                      <w:bCs/>
                    </w:rPr>
                  </w:pPr>
                  <w:r>
                    <w:rPr>
                      <w:rFonts w:hint="eastAsia"/>
                      <w:bCs/>
                    </w:rPr>
                    <w:t>MK-UV06-1300</w:t>
                  </w:r>
                </w:p>
              </w:tc>
              <w:tc>
                <w:tcPr>
                  <w:tcW w:w="1606" w:type="pct"/>
                  <w:vAlign w:val="center"/>
                </w:tcPr>
                <w:p>
                  <w:pPr>
                    <w:pStyle w:val="25"/>
                    <w:rPr>
                      <w:bCs/>
                    </w:rPr>
                  </w:pPr>
                  <w:r>
                    <w:rPr>
                      <w:rFonts w:hint="eastAsia"/>
                      <w:bC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pct"/>
                  <w:vAlign w:val="center"/>
                </w:tcPr>
                <w:p>
                  <w:pPr>
                    <w:pStyle w:val="25"/>
                    <w:rPr>
                      <w:bCs/>
                    </w:rPr>
                  </w:pPr>
                  <w:r>
                    <w:rPr>
                      <w:rFonts w:hint="eastAsia"/>
                      <w:bCs/>
                    </w:rPr>
                    <w:t>异性砂光机</w:t>
                  </w:r>
                </w:p>
              </w:tc>
              <w:tc>
                <w:tcPr>
                  <w:tcW w:w="1708" w:type="pct"/>
                  <w:vAlign w:val="center"/>
                </w:tcPr>
                <w:p>
                  <w:pPr>
                    <w:pStyle w:val="25"/>
                    <w:rPr>
                      <w:bCs/>
                    </w:rPr>
                  </w:pPr>
                  <w:r>
                    <w:rPr>
                      <w:rFonts w:hint="eastAsia"/>
                      <w:bCs/>
                    </w:rPr>
                    <w:t>MK-SG-1300</w:t>
                  </w:r>
                </w:p>
              </w:tc>
              <w:tc>
                <w:tcPr>
                  <w:tcW w:w="1606" w:type="pct"/>
                  <w:vAlign w:val="center"/>
                </w:tcPr>
                <w:p>
                  <w:pPr>
                    <w:pStyle w:val="25"/>
                    <w:rPr>
                      <w:bCs/>
                    </w:rPr>
                  </w:pPr>
                  <w:r>
                    <w:rPr>
                      <w:rFonts w:hint="eastAsia"/>
                      <w:bC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pct"/>
                  <w:vAlign w:val="center"/>
                </w:tcPr>
                <w:p>
                  <w:pPr>
                    <w:pStyle w:val="25"/>
                    <w:rPr>
                      <w:bCs/>
                    </w:rPr>
                  </w:pPr>
                  <w:r>
                    <w:rPr>
                      <w:rFonts w:hint="eastAsia"/>
                      <w:bCs/>
                    </w:rPr>
                    <w:t>3M输送机</w:t>
                  </w:r>
                </w:p>
              </w:tc>
              <w:tc>
                <w:tcPr>
                  <w:tcW w:w="1708" w:type="pct"/>
                  <w:vAlign w:val="center"/>
                </w:tcPr>
                <w:p>
                  <w:pPr>
                    <w:pStyle w:val="25"/>
                    <w:rPr>
                      <w:bCs/>
                    </w:rPr>
                  </w:pPr>
                  <w:r>
                    <w:rPr>
                      <w:rFonts w:hint="eastAsia"/>
                      <w:bCs/>
                    </w:rPr>
                    <w:t>MK-SS03-1300</w:t>
                  </w:r>
                </w:p>
              </w:tc>
              <w:tc>
                <w:tcPr>
                  <w:tcW w:w="1606" w:type="pct"/>
                  <w:vAlign w:val="center"/>
                </w:tcPr>
                <w:p>
                  <w:pPr>
                    <w:pStyle w:val="25"/>
                    <w:rPr>
                      <w:bCs/>
                    </w:rPr>
                  </w:pPr>
                  <w:r>
                    <w:rPr>
                      <w:rFonts w:hint="eastAsia"/>
                      <w:bCs/>
                    </w:rPr>
                    <w:t>2台</w:t>
                  </w:r>
                </w:p>
              </w:tc>
            </w:tr>
          </w:tbl>
          <w:p>
            <w:pPr>
              <w:numPr>
                <w:ilvl w:val="0"/>
                <w:numId w:val="0"/>
              </w:numPr>
              <w:bidi w:val="0"/>
              <w:rPr>
                <w:rFonts w:hint="eastAsia"/>
                <w:b/>
                <w:bCs/>
                <w:lang w:eastAsia="zh-CN"/>
              </w:rPr>
            </w:pPr>
          </w:p>
          <w:p>
            <w:pPr>
              <w:numPr>
                <w:ilvl w:val="0"/>
                <w:numId w:val="0"/>
              </w:numPr>
              <w:bidi w:val="0"/>
              <w:rPr>
                <w:rFonts w:hint="eastAsia"/>
                <w:b/>
                <w:bCs/>
                <w:lang w:eastAsia="zh-CN"/>
              </w:rPr>
            </w:pPr>
          </w:p>
          <w:p>
            <w:pPr>
              <w:numPr>
                <w:ilvl w:val="0"/>
                <w:numId w:val="0"/>
              </w:numPr>
              <w:bidi w:val="0"/>
              <w:rPr>
                <w:rFonts w:hint="eastAsia"/>
                <w:b/>
                <w:bCs/>
                <w:lang w:eastAsia="zh-CN"/>
              </w:rPr>
            </w:pPr>
            <w:r>
              <w:rPr>
                <w:rFonts w:hint="eastAsia"/>
                <w:b/>
                <w:bCs/>
                <w:lang w:eastAsia="zh-CN"/>
              </w:rPr>
              <w:t>五、产品方案</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表2-</w:t>
            </w:r>
            <w:r>
              <w:rPr>
                <w:rFonts w:hint="eastAsia"/>
                <w:lang w:val="en-US" w:eastAsia="zh-CN"/>
              </w:rPr>
              <w:t>4</w:t>
            </w:r>
            <w:r>
              <w:rPr>
                <w:rFonts w:hint="eastAsia"/>
              </w:rPr>
              <w:t xml:space="preserve">  本项目产品方案一览表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295"/>
              <w:gridCol w:w="1851"/>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pct"/>
                  <w:vAlign w:val="center"/>
                </w:tcPr>
                <w:p>
                  <w:pPr>
                    <w:pStyle w:val="25"/>
                    <w:rPr>
                      <w:bCs/>
                    </w:rPr>
                  </w:pPr>
                  <w:r>
                    <w:rPr>
                      <w:rFonts w:hint="eastAsia"/>
                      <w:bCs/>
                      <w:lang w:eastAsia="zh-CN"/>
                    </w:rPr>
                    <w:t>产品</w:t>
                  </w:r>
                  <w:r>
                    <w:rPr>
                      <w:rFonts w:hint="eastAsia"/>
                      <w:bCs/>
                    </w:rPr>
                    <w:t>名称</w:t>
                  </w:r>
                </w:p>
              </w:tc>
              <w:tc>
                <w:tcPr>
                  <w:tcW w:w="811" w:type="pct"/>
                  <w:vAlign w:val="center"/>
                </w:tcPr>
                <w:p>
                  <w:pPr>
                    <w:pStyle w:val="25"/>
                    <w:rPr>
                      <w:rFonts w:hint="eastAsia" w:eastAsia="宋体"/>
                      <w:bCs/>
                      <w:lang w:eastAsia="zh-CN"/>
                    </w:rPr>
                  </w:pPr>
                  <w:r>
                    <w:rPr>
                      <w:rFonts w:hint="eastAsia"/>
                      <w:bCs/>
                      <w:lang w:eastAsia="zh-CN"/>
                    </w:rPr>
                    <w:t>数量</w:t>
                  </w:r>
                </w:p>
              </w:tc>
              <w:tc>
                <w:tcPr>
                  <w:tcW w:w="1862" w:type="dxa"/>
                  <w:vAlign w:val="center"/>
                </w:tcPr>
                <w:p>
                  <w:pPr>
                    <w:pStyle w:val="25"/>
                    <w:ind w:firstLine="0" w:firstLineChars="0"/>
                    <w:rPr>
                      <w:bCs/>
                    </w:rPr>
                  </w:pPr>
                  <w:r>
                    <w:rPr>
                      <w:rFonts w:hint="eastAsia"/>
                      <w:bCs/>
                      <w:lang w:eastAsia="zh-CN"/>
                    </w:rPr>
                    <w:t>单位</w:t>
                  </w:r>
                </w:p>
              </w:tc>
              <w:tc>
                <w:tcPr>
                  <w:tcW w:w="1755" w:type="pct"/>
                  <w:vAlign w:val="center"/>
                </w:tcPr>
                <w:p>
                  <w:pPr>
                    <w:pStyle w:val="25"/>
                    <w:rPr>
                      <w:rFonts w:hint="eastAsia" w:eastAsia="宋体"/>
                      <w:bCs/>
                      <w:lang w:eastAsia="zh-CN"/>
                    </w:rPr>
                  </w:pPr>
                  <w:r>
                    <w:rPr>
                      <w:rFonts w:hint="eastAsia"/>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pct"/>
                  <w:vAlign w:val="center"/>
                </w:tcPr>
                <w:p>
                  <w:pPr>
                    <w:pStyle w:val="25"/>
                    <w:rPr>
                      <w:bCs/>
                    </w:rPr>
                  </w:pPr>
                  <w:r>
                    <w:rPr>
                      <w:rFonts w:hint="eastAsia"/>
                      <w:bCs/>
                    </w:rPr>
                    <w:t>缝纫机台板</w:t>
                  </w:r>
                </w:p>
              </w:tc>
              <w:tc>
                <w:tcPr>
                  <w:tcW w:w="811" w:type="pct"/>
                  <w:vAlign w:val="center"/>
                </w:tcPr>
                <w:p>
                  <w:pPr>
                    <w:pStyle w:val="25"/>
                    <w:rPr>
                      <w:rFonts w:hint="default" w:eastAsia="宋体"/>
                      <w:bCs/>
                      <w:lang w:val="en-US" w:eastAsia="zh-CN"/>
                    </w:rPr>
                  </w:pPr>
                  <w:r>
                    <w:rPr>
                      <w:rFonts w:hint="eastAsia"/>
                      <w:bCs/>
                      <w:lang w:val="en-US" w:eastAsia="zh-CN"/>
                    </w:rPr>
                    <w:t>10万</w:t>
                  </w:r>
                </w:p>
              </w:tc>
              <w:tc>
                <w:tcPr>
                  <w:tcW w:w="1862" w:type="dxa"/>
                  <w:vAlign w:val="center"/>
                </w:tcPr>
                <w:p>
                  <w:pPr>
                    <w:pStyle w:val="25"/>
                    <w:ind w:firstLine="0" w:firstLineChars="0"/>
                    <w:rPr>
                      <w:rFonts w:hint="default" w:eastAsia="宋体"/>
                      <w:bCs/>
                      <w:lang w:val="en-US" w:eastAsia="zh-CN"/>
                    </w:rPr>
                  </w:pPr>
                  <w:r>
                    <w:rPr>
                      <w:rFonts w:hint="eastAsia"/>
                      <w:bCs/>
                      <w:lang w:eastAsia="zh-CN"/>
                    </w:rPr>
                    <w:t>套</w:t>
                  </w:r>
                </w:p>
              </w:tc>
              <w:tc>
                <w:tcPr>
                  <w:tcW w:w="1755" w:type="pct"/>
                  <w:vAlign w:val="center"/>
                </w:tcPr>
                <w:p>
                  <w:pPr>
                    <w:pStyle w:val="25"/>
                    <w:rPr>
                      <w:rFonts w:hint="default"/>
                      <w:bCs/>
                      <w:lang w:val="en-US" w:eastAsia="zh-CN"/>
                    </w:rPr>
                  </w:pPr>
                  <w:r>
                    <w:rPr>
                      <w:rFonts w:hint="eastAsia"/>
                      <w:bCs/>
                      <w:lang w:val="en-US" w:eastAsia="zh-CN"/>
                    </w:rPr>
                    <w:t>每套包含①，②，③各1件</w:t>
                  </w:r>
                </w:p>
              </w:tc>
            </w:tr>
          </w:tbl>
          <w:p>
            <w:pPr>
              <w:pStyle w:val="12"/>
              <w:ind w:firstLine="480"/>
              <w:jc w:val="center"/>
              <w:rPr>
                <w:b/>
                <w:bCs/>
              </w:rPr>
            </w:pPr>
            <w:r>
              <w:drawing>
                <wp:inline distT="0" distB="0" distL="114300" distR="114300">
                  <wp:extent cx="3705225" cy="2494915"/>
                  <wp:effectExtent l="0" t="0" r="9525" b="635"/>
                  <wp:docPr id="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pic:cNvPicPr>
                            <a:picLocks noChangeAspect="1"/>
                          </pic:cNvPicPr>
                        </pic:nvPicPr>
                        <pic:blipFill>
                          <a:blip r:embed="rId9"/>
                          <a:stretch>
                            <a:fillRect/>
                          </a:stretch>
                        </pic:blipFill>
                        <pic:spPr>
                          <a:xfrm>
                            <a:off x="0" y="0"/>
                            <a:ext cx="3705225" cy="2494915"/>
                          </a:xfrm>
                          <a:prstGeom prst="rect">
                            <a:avLst/>
                          </a:prstGeom>
                          <a:noFill/>
                          <a:ln>
                            <a:noFill/>
                          </a:ln>
                        </pic:spPr>
                      </pic:pic>
                    </a:graphicData>
                  </a:graphic>
                </wp:inline>
              </w:drawing>
            </w:r>
          </w:p>
          <w:p>
            <w:pPr>
              <w:pStyle w:val="24"/>
              <w:bidi w:val="0"/>
            </w:pPr>
            <w:r>
              <w:t>图</w:t>
            </w:r>
            <w:r>
              <w:rPr>
                <w:rFonts w:hint="eastAsia"/>
              </w:rPr>
              <w:t>2-</w:t>
            </w:r>
            <w:r>
              <w:t xml:space="preserve">1 </w:t>
            </w:r>
            <w:r>
              <w:rPr>
                <w:rFonts w:hint="eastAsia"/>
              </w:rPr>
              <w:t xml:space="preserve"> 本项目</w:t>
            </w:r>
            <w:r>
              <w:t>缝纫机台板图</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表2-</w:t>
            </w:r>
            <w:r>
              <w:rPr>
                <w:rFonts w:hint="eastAsia"/>
                <w:lang w:val="en-US" w:eastAsia="zh-CN"/>
              </w:rPr>
              <w:t>5</w:t>
            </w:r>
            <w:r>
              <w:rPr>
                <w:rFonts w:hint="eastAsia"/>
              </w:rPr>
              <w:t xml:space="preserve">  本项目主要规格及喷涂面积一览表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415"/>
              <w:gridCol w:w="1566"/>
              <w:gridCol w:w="199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8" w:type="pct"/>
                  <w:vAlign w:val="center"/>
                </w:tcPr>
                <w:p>
                  <w:pPr>
                    <w:pStyle w:val="25"/>
                    <w:rPr>
                      <w:bCs/>
                    </w:rPr>
                  </w:pPr>
                  <w:r>
                    <w:rPr>
                      <w:bCs/>
                    </w:rPr>
                    <w:t>名称</w:t>
                  </w:r>
                </w:p>
              </w:tc>
              <w:tc>
                <w:tcPr>
                  <w:tcW w:w="885" w:type="pct"/>
                  <w:vAlign w:val="center"/>
                </w:tcPr>
                <w:p>
                  <w:pPr>
                    <w:pStyle w:val="25"/>
                    <w:rPr>
                      <w:bCs/>
                    </w:rPr>
                  </w:pPr>
                  <w:r>
                    <w:rPr>
                      <w:bCs/>
                    </w:rPr>
                    <w:t>规格（cm）</w:t>
                  </w:r>
                </w:p>
              </w:tc>
              <w:tc>
                <w:tcPr>
                  <w:tcW w:w="980" w:type="pct"/>
                  <w:vAlign w:val="center"/>
                </w:tcPr>
                <w:p>
                  <w:pPr>
                    <w:pStyle w:val="25"/>
                    <w:rPr>
                      <w:bCs/>
                    </w:rPr>
                  </w:pPr>
                  <w:r>
                    <w:rPr>
                      <w:bCs/>
                    </w:rPr>
                    <w:t>镂空尺寸（cm）</w:t>
                  </w:r>
                </w:p>
              </w:tc>
              <w:tc>
                <w:tcPr>
                  <w:tcW w:w="1246" w:type="pct"/>
                  <w:vAlign w:val="center"/>
                </w:tcPr>
                <w:p>
                  <w:pPr>
                    <w:pStyle w:val="25"/>
                    <w:rPr>
                      <w:bCs/>
                    </w:rPr>
                  </w:pPr>
                  <w:r>
                    <w:rPr>
                      <w:bCs/>
                    </w:rPr>
                    <w:t>单块板需喷涂面积（m</w:t>
                  </w:r>
                  <w:r>
                    <w:rPr>
                      <w:bCs/>
                      <w:vertAlign w:val="superscript"/>
                    </w:rPr>
                    <w:t>2</w:t>
                  </w:r>
                  <w:r>
                    <w:rPr>
                      <w:bCs/>
                    </w:rPr>
                    <w:t>）</w:t>
                  </w:r>
                </w:p>
              </w:tc>
              <w:tc>
                <w:tcPr>
                  <w:tcW w:w="788" w:type="pct"/>
                  <w:vAlign w:val="center"/>
                </w:tcPr>
                <w:p>
                  <w:pPr>
                    <w:pStyle w:val="25"/>
                    <w:rPr>
                      <w:bCs/>
                    </w:rPr>
                  </w:pPr>
                  <w:r>
                    <w:rPr>
                      <w:bCs/>
                    </w:rPr>
                    <w:t>年产量（</w:t>
                  </w:r>
                  <w:r>
                    <w:rPr>
                      <w:rFonts w:hint="eastAsia"/>
                      <w:bCs/>
                      <w:lang w:eastAsia="zh-CN"/>
                    </w:rPr>
                    <w:t>套</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8" w:type="pct"/>
                  <w:vAlign w:val="center"/>
                </w:tcPr>
                <w:p>
                  <w:pPr>
                    <w:pStyle w:val="25"/>
                    <w:rPr>
                      <w:bCs/>
                    </w:rPr>
                  </w:pPr>
                  <w:r>
                    <w:rPr>
                      <w:bCs/>
                    </w:rPr>
                    <w:t>缝纫机台板①（单面喷漆）</w:t>
                  </w:r>
                </w:p>
              </w:tc>
              <w:tc>
                <w:tcPr>
                  <w:tcW w:w="885" w:type="pct"/>
                  <w:vAlign w:val="center"/>
                </w:tcPr>
                <w:p>
                  <w:pPr>
                    <w:pStyle w:val="25"/>
                    <w:rPr>
                      <w:bCs/>
                    </w:rPr>
                  </w:pPr>
                  <w:r>
                    <w:rPr>
                      <w:bCs/>
                    </w:rPr>
                    <w:t>86×41×1.7</w:t>
                  </w:r>
                </w:p>
              </w:tc>
              <w:tc>
                <w:tcPr>
                  <w:tcW w:w="980" w:type="pct"/>
                  <w:vAlign w:val="center"/>
                </w:tcPr>
                <w:p>
                  <w:pPr>
                    <w:pStyle w:val="25"/>
                    <w:rPr>
                      <w:bCs/>
                    </w:rPr>
                  </w:pPr>
                  <w:r>
                    <w:rPr>
                      <w:rFonts w:hint="eastAsia"/>
                      <w:bCs/>
                      <w:lang w:val="en-US" w:eastAsia="zh-CN"/>
                    </w:rPr>
                    <w:t>43</w:t>
                  </w:r>
                  <w:r>
                    <w:rPr>
                      <w:bCs/>
                    </w:rPr>
                    <w:t>×</w:t>
                  </w:r>
                  <w:r>
                    <w:rPr>
                      <w:rFonts w:hint="eastAsia"/>
                      <w:bCs/>
                      <w:lang w:val="en-US" w:eastAsia="zh-CN"/>
                    </w:rPr>
                    <w:t>28</w:t>
                  </w:r>
                  <w:r>
                    <w:rPr>
                      <w:bCs/>
                    </w:rPr>
                    <w:t>×1.7</w:t>
                  </w:r>
                </w:p>
              </w:tc>
              <w:tc>
                <w:tcPr>
                  <w:tcW w:w="1246" w:type="pct"/>
                  <w:vAlign w:val="center"/>
                </w:tcPr>
                <w:p>
                  <w:pPr>
                    <w:pStyle w:val="25"/>
                    <w:rPr>
                      <w:bCs/>
                    </w:rPr>
                  </w:pPr>
                  <w:r>
                    <w:rPr>
                      <w:bCs/>
                    </w:rPr>
                    <w:t>0.29952</w:t>
                  </w:r>
                </w:p>
              </w:tc>
              <w:tc>
                <w:tcPr>
                  <w:tcW w:w="788" w:type="pct"/>
                  <w:vMerge w:val="restart"/>
                  <w:vAlign w:val="center"/>
                </w:tcPr>
                <w:p>
                  <w:pPr>
                    <w:pStyle w:val="25"/>
                    <w:rPr>
                      <w:bCs/>
                    </w:rPr>
                  </w:pPr>
                  <w:r>
                    <w:rPr>
                      <w:bCs/>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98" w:type="pct"/>
                  <w:vAlign w:val="center"/>
                </w:tcPr>
                <w:p>
                  <w:pPr>
                    <w:pStyle w:val="25"/>
                    <w:rPr>
                      <w:bCs/>
                    </w:rPr>
                  </w:pPr>
                  <w:r>
                    <w:rPr>
                      <w:bCs/>
                    </w:rPr>
                    <w:t>缝纫机台板②（双面喷漆）</w:t>
                  </w:r>
                </w:p>
              </w:tc>
              <w:tc>
                <w:tcPr>
                  <w:tcW w:w="885" w:type="pct"/>
                  <w:vAlign w:val="center"/>
                </w:tcPr>
                <w:p>
                  <w:pPr>
                    <w:pStyle w:val="25"/>
                    <w:rPr>
                      <w:bCs/>
                    </w:rPr>
                  </w:pPr>
                  <w:r>
                    <w:rPr>
                      <w:bCs/>
                    </w:rPr>
                    <w:t>50×36×1.7</w:t>
                  </w:r>
                </w:p>
              </w:tc>
              <w:tc>
                <w:tcPr>
                  <w:tcW w:w="980" w:type="pct"/>
                  <w:vAlign w:val="center"/>
                </w:tcPr>
                <w:p>
                  <w:pPr>
                    <w:pStyle w:val="25"/>
                    <w:rPr>
                      <w:bCs/>
                    </w:rPr>
                  </w:pPr>
                  <w:r>
                    <w:rPr>
                      <w:bCs/>
                    </w:rPr>
                    <w:t>/</w:t>
                  </w:r>
                </w:p>
              </w:tc>
              <w:tc>
                <w:tcPr>
                  <w:tcW w:w="1246" w:type="pct"/>
                  <w:vAlign w:val="center"/>
                </w:tcPr>
                <w:p>
                  <w:pPr>
                    <w:pStyle w:val="25"/>
                    <w:rPr>
                      <w:bCs/>
                    </w:rPr>
                  </w:pPr>
                  <w:r>
                    <w:rPr>
                      <w:bCs/>
                    </w:rPr>
                    <w:t>0.38924</w:t>
                  </w:r>
                </w:p>
              </w:tc>
              <w:tc>
                <w:tcPr>
                  <w:tcW w:w="788" w:type="pct"/>
                  <w:vMerge w:val="continue"/>
                  <w:vAlign w:val="center"/>
                </w:tcPr>
                <w:p>
                  <w:pPr>
                    <w:pStyle w:val="25"/>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8" w:type="pct"/>
                  <w:vAlign w:val="center"/>
                </w:tcPr>
                <w:p>
                  <w:pPr>
                    <w:pStyle w:val="25"/>
                    <w:rPr>
                      <w:bCs/>
                    </w:rPr>
                  </w:pPr>
                  <w:r>
                    <w:rPr>
                      <w:bCs/>
                    </w:rPr>
                    <w:t>缝纫机台③</w:t>
                  </w:r>
                </w:p>
                <w:p>
                  <w:pPr>
                    <w:pStyle w:val="25"/>
                    <w:rPr>
                      <w:rFonts w:hint="eastAsia" w:eastAsia="宋体"/>
                      <w:bCs/>
                      <w:lang w:eastAsia="zh-CN"/>
                    </w:rPr>
                  </w:pPr>
                  <w:r>
                    <w:rPr>
                      <w:rFonts w:hint="eastAsia"/>
                      <w:bCs/>
                      <w:lang w:eastAsia="zh-CN"/>
                    </w:rPr>
                    <w:t>（</w:t>
                  </w:r>
                  <w:r>
                    <w:rPr>
                      <w:bCs/>
                    </w:rPr>
                    <w:t>单面喷漆</w:t>
                  </w:r>
                  <w:r>
                    <w:rPr>
                      <w:rFonts w:hint="eastAsia"/>
                      <w:bCs/>
                      <w:lang w:eastAsia="zh-CN"/>
                    </w:rPr>
                    <w:t>）</w:t>
                  </w:r>
                </w:p>
              </w:tc>
              <w:tc>
                <w:tcPr>
                  <w:tcW w:w="885" w:type="pct"/>
                  <w:vAlign w:val="center"/>
                </w:tcPr>
                <w:p>
                  <w:pPr>
                    <w:pStyle w:val="25"/>
                    <w:rPr>
                      <w:bCs/>
                    </w:rPr>
                  </w:pPr>
                  <w:r>
                    <w:rPr>
                      <w:bCs/>
                    </w:rPr>
                    <w:t>50×36×1.7</w:t>
                  </w:r>
                </w:p>
              </w:tc>
              <w:tc>
                <w:tcPr>
                  <w:tcW w:w="980" w:type="pct"/>
                  <w:vAlign w:val="center"/>
                </w:tcPr>
                <w:p>
                  <w:pPr>
                    <w:pStyle w:val="25"/>
                    <w:rPr>
                      <w:bCs/>
                    </w:rPr>
                  </w:pPr>
                  <w:r>
                    <w:rPr>
                      <w:bCs/>
                    </w:rPr>
                    <w:t>42×18×1.7</w:t>
                  </w:r>
                </w:p>
              </w:tc>
              <w:tc>
                <w:tcPr>
                  <w:tcW w:w="1246" w:type="pct"/>
                  <w:vAlign w:val="center"/>
                </w:tcPr>
                <w:p>
                  <w:pPr>
                    <w:pStyle w:val="25"/>
                    <w:rPr>
                      <w:bCs/>
                    </w:rPr>
                  </w:pPr>
                  <w:r>
                    <w:rPr>
                      <w:bCs/>
                    </w:rPr>
                    <w:t>0.15404</w:t>
                  </w:r>
                </w:p>
              </w:tc>
              <w:tc>
                <w:tcPr>
                  <w:tcW w:w="788" w:type="pct"/>
                  <w:vMerge w:val="continue"/>
                  <w:vAlign w:val="center"/>
                </w:tcPr>
                <w:p>
                  <w:pPr>
                    <w:pStyle w:val="25"/>
                    <w:rPr>
                      <w:bCs/>
                    </w:rPr>
                  </w:pPr>
                </w:p>
              </w:tc>
            </w:tr>
          </w:tbl>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表2-</w:t>
            </w:r>
            <w:r>
              <w:rPr>
                <w:rFonts w:hint="eastAsia"/>
                <w:lang w:val="en-US" w:eastAsia="zh-CN"/>
              </w:rPr>
              <w:t>6</w:t>
            </w:r>
            <w:r>
              <w:rPr>
                <w:rFonts w:hint="eastAsia"/>
              </w:rPr>
              <w:t xml:space="preserve">  本项目</w:t>
            </w:r>
            <w:r>
              <w:rPr>
                <w:rFonts w:hint="eastAsia"/>
                <w:lang w:eastAsia="zh-CN"/>
              </w:rPr>
              <w:t>漆用量</w:t>
            </w:r>
            <w:r>
              <w:rPr>
                <w:rFonts w:hint="eastAsia"/>
              </w:rPr>
              <w:t>一览表</w:t>
            </w:r>
          </w:p>
          <w:tbl>
            <w:tblPr>
              <w:tblStyle w:val="21"/>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934"/>
              <w:gridCol w:w="765"/>
              <w:gridCol w:w="773"/>
              <w:gridCol w:w="1207"/>
              <w:gridCol w:w="995"/>
              <w:gridCol w:w="1116"/>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pct"/>
                  <w:vAlign w:val="center"/>
                </w:tcPr>
                <w:p>
                  <w:pPr>
                    <w:pStyle w:val="25"/>
                    <w:rPr>
                      <w:bCs/>
                    </w:rPr>
                  </w:pPr>
                  <w:r>
                    <w:rPr>
                      <w:bCs/>
                    </w:rPr>
                    <w:t>涂料名称</w:t>
                  </w:r>
                </w:p>
              </w:tc>
              <w:tc>
                <w:tcPr>
                  <w:tcW w:w="590" w:type="pct"/>
                  <w:vAlign w:val="center"/>
                </w:tcPr>
                <w:p>
                  <w:pPr>
                    <w:pStyle w:val="25"/>
                    <w:rPr>
                      <w:bCs/>
                    </w:rPr>
                  </w:pPr>
                  <w:r>
                    <w:rPr>
                      <w:bCs/>
                    </w:rPr>
                    <w:t>产品名称</w:t>
                  </w:r>
                </w:p>
              </w:tc>
              <w:tc>
                <w:tcPr>
                  <w:tcW w:w="483" w:type="pct"/>
                  <w:vAlign w:val="center"/>
                </w:tcPr>
                <w:p>
                  <w:pPr>
                    <w:pStyle w:val="25"/>
                    <w:rPr>
                      <w:bCs/>
                    </w:rPr>
                  </w:pPr>
                  <w:r>
                    <w:rPr>
                      <w:bCs/>
                    </w:rPr>
                    <w:t>件数（</w:t>
                  </w:r>
                  <w:r>
                    <w:rPr>
                      <w:rFonts w:hint="eastAsia"/>
                      <w:bCs/>
                      <w:lang w:eastAsia="zh-CN"/>
                    </w:rPr>
                    <w:t>套</w:t>
                  </w:r>
                  <w:r>
                    <w:rPr>
                      <w:bCs/>
                    </w:rPr>
                    <w:t>）</w:t>
                  </w:r>
                </w:p>
              </w:tc>
              <w:tc>
                <w:tcPr>
                  <w:tcW w:w="488"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bCs/>
                    </w:rPr>
                    <w:t>用量（t）</w:t>
                  </w:r>
                </w:p>
              </w:tc>
              <w:tc>
                <w:tcPr>
                  <w:tcW w:w="762" w:type="pct"/>
                  <w:vAlign w:val="center"/>
                </w:tcPr>
                <w:p>
                  <w:pPr>
                    <w:pStyle w:val="25"/>
                    <w:rPr>
                      <w:bCs/>
                    </w:rPr>
                  </w:pPr>
                  <w:r>
                    <w:rPr>
                      <w:bCs/>
                    </w:rPr>
                    <w:t>单件喷涂面积（m</w:t>
                  </w:r>
                  <w:r>
                    <w:rPr>
                      <w:bCs/>
                      <w:vertAlign w:val="superscript"/>
                    </w:rPr>
                    <w:t>2</w:t>
                  </w:r>
                  <w:r>
                    <w:rPr>
                      <w:bCs/>
                    </w:rPr>
                    <w:t>）</w:t>
                  </w:r>
                </w:p>
              </w:tc>
              <w:tc>
                <w:tcPr>
                  <w:tcW w:w="628" w:type="pct"/>
                  <w:vAlign w:val="center"/>
                </w:tcPr>
                <w:p>
                  <w:pPr>
                    <w:pStyle w:val="25"/>
                    <w:rPr>
                      <w:bCs/>
                    </w:rPr>
                  </w:pPr>
                  <w:r>
                    <w:rPr>
                      <w:bCs/>
                    </w:rPr>
                    <w:t>漆膜厚度（μm）</w:t>
                  </w:r>
                </w:p>
              </w:tc>
              <w:tc>
                <w:tcPr>
                  <w:tcW w:w="704" w:type="pct"/>
                  <w:vAlign w:val="center"/>
                </w:tcPr>
                <w:p>
                  <w:pPr>
                    <w:pStyle w:val="25"/>
                    <w:rPr>
                      <w:bCs/>
                    </w:rPr>
                  </w:pPr>
                  <w:r>
                    <w:rPr>
                      <w:bCs/>
                    </w:rPr>
                    <w:t>涂料密度（g/cm</w:t>
                  </w:r>
                  <w:r>
                    <w:rPr>
                      <w:bCs/>
                      <w:vertAlign w:val="superscript"/>
                    </w:rPr>
                    <w:t>3</w:t>
                  </w:r>
                  <w:r>
                    <w:rPr>
                      <w:bCs/>
                    </w:rPr>
                    <w:t>）</w:t>
                  </w:r>
                </w:p>
              </w:tc>
              <w:tc>
                <w:tcPr>
                  <w:tcW w:w="577"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rFonts w:hint="eastAsia"/>
                      <w:bCs/>
                      <w:lang w:eastAsia="zh-CN"/>
                    </w:rPr>
                    <w:t>上</w:t>
                  </w:r>
                  <w:r>
                    <w:rPr>
                      <w:rFonts w:hint="eastAsia"/>
                      <w:bCs/>
                    </w:rPr>
                    <w:t>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pct"/>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rPr>
                    <w:t>UV</w:t>
                  </w:r>
                  <w:r>
                    <w:rPr>
                      <w:bCs/>
                    </w:rPr>
                    <w:t>面漆</w:t>
                  </w:r>
                </w:p>
              </w:tc>
              <w:tc>
                <w:tcPr>
                  <w:tcW w:w="590" w:type="pct"/>
                  <w:vMerge w:val="restart"/>
                  <w:vAlign w:val="center"/>
                </w:tcPr>
                <w:p>
                  <w:pPr>
                    <w:pStyle w:val="25"/>
                    <w:ind w:firstLine="0" w:firstLineChars="0"/>
                    <w:rPr>
                      <w:rFonts w:ascii="Times New Roman" w:hAnsi="Times New Roman" w:eastAsia="宋体" w:cs="Times New Roman"/>
                      <w:bCs/>
                      <w:kern w:val="2"/>
                      <w:sz w:val="21"/>
                      <w:szCs w:val="21"/>
                      <w:lang w:val="en-US" w:eastAsia="zh-CN" w:bidi="ar-SA"/>
                    </w:rPr>
                  </w:pPr>
                  <w:r>
                    <w:rPr>
                      <w:bCs/>
                    </w:rPr>
                    <w:t>缝纫机台板</w:t>
                  </w:r>
                </w:p>
              </w:tc>
              <w:tc>
                <w:tcPr>
                  <w:tcW w:w="483" w:type="pct"/>
                  <w:vMerge w:val="restart"/>
                  <w:vAlign w:val="center"/>
                </w:tcPr>
                <w:p>
                  <w:pPr>
                    <w:pStyle w:val="25"/>
                    <w:ind w:firstLine="0" w:firstLineChars="0"/>
                    <w:rPr>
                      <w:rFonts w:ascii="Times New Roman" w:hAnsi="Times New Roman" w:eastAsia="宋体" w:cs="Times New Roman"/>
                      <w:bCs/>
                      <w:kern w:val="2"/>
                      <w:sz w:val="21"/>
                      <w:szCs w:val="21"/>
                      <w:lang w:val="en-US" w:eastAsia="zh-CN" w:bidi="ar-SA"/>
                    </w:rPr>
                  </w:pPr>
                  <w:r>
                    <w:rPr>
                      <w:bCs/>
                    </w:rPr>
                    <w:t>10万</w:t>
                  </w:r>
                </w:p>
              </w:tc>
              <w:tc>
                <w:tcPr>
                  <w:tcW w:w="488"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rFonts w:hint="eastAsia"/>
                      <w:bCs/>
                    </w:rPr>
                    <w:t>7.6</w:t>
                  </w:r>
                </w:p>
              </w:tc>
              <w:tc>
                <w:tcPr>
                  <w:tcW w:w="762" w:type="pct"/>
                  <w:vAlign w:val="center"/>
                </w:tcPr>
                <w:p>
                  <w:pPr>
                    <w:pStyle w:val="25"/>
                    <w:ind w:firstLine="0" w:firstLineChars="0"/>
                    <w:rPr>
                      <w:rFonts w:hint="default" w:ascii="Times New Roman" w:hAnsi="Times New Roman" w:eastAsia="宋体" w:cs="Times New Roman"/>
                      <w:bCs/>
                      <w:kern w:val="2"/>
                      <w:sz w:val="21"/>
                      <w:szCs w:val="21"/>
                      <w:lang w:val="en-US" w:eastAsia="zh-CN" w:bidi="ar-SA"/>
                    </w:rPr>
                  </w:pPr>
                  <w:r>
                    <w:rPr>
                      <w:bCs/>
                    </w:rPr>
                    <w:t>0.</w:t>
                  </w:r>
                  <w:r>
                    <w:rPr>
                      <w:rFonts w:hint="eastAsia"/>
                      <w:bCs/>
                    </w:rPr>
                    <w:t>8</w:t>
                  </w:r>
                  <w:r>
                    <w:rPr>
                      <w:rFonts w:hint="eastAsia"/>
                      <w:bCs/>
                      <w:lang w:val="en-US" w:eastAsia="zh-CN"/>
                    </w:rPr>
                    <w:t>43</w:t>
                  </w:r>
                </w:p>
              </w:tc>
              <w:tc>
                <w:tcPr>
                  <w:tcW w:w="628"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rFonts w:hint="eastAsia"/>
                      <w:bCs/>
                    </w:rPr>
                    <w:t>40</w:t>
                  </w:r>
                </w:p>
              </w:tc>
              <w:tc>
                <w:tcPr>
                  <w:tcW w:w="704"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bCs/>
                    </w:rPr>
                    <w:t>1.4</w:t>
                  </w:r>
                </w:p>
              </w:tc>
              <w:tc>
                <w:tcPr>
                  <w:tcW w:w="577"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rFonts w:hint="eastAsia"/>
                      <w:bCs/>
                      <w:lang w:val="en-US" w:eastAsia="zh-CN"/>
                    </w:rPr>
                    <w:t>62.1</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765" w:type="pct"/>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rPr>
                    <w:t>UV</w:t>
                  </w:r>
                  <w:r>
                    <w:rPr>
                      <w:bCs/>
                    </w:rPr>
                    <w:t>底漆</w:t>
                  </w:r>
                </w:p>
              </w:tc>
              <w:tc>
                <w:tcPr>
                  <w:tcW w:w="590" w:type="pct"/>
                  <w:vMerge w:val="continue"/>
                  <w:vAlign w:val="center"/>
                </w:tcPr>
                <w:p>
                  <w:pPr>
                    <w:pStyle w:val="25"/>
                    <w:ind w:firstLine="0" w:firstLineChars="0"/>
                    <w:rPr>
                      <w:rFonts w:ascii="Times New Roman" w:hAnsi="Times New Roman" w:eastAsia="宋体" w:cs="Times New Roman"/>
                      <w:bCs/>
                      <w:kern w:val="2"/>
                      <w:sz w:val="21"/>
                      <w:szCs w:val="21"/>
                      <w:lang w:val="en-US" w:eastAsia="zh-CN" w:bidi="ar-SA"/>
                    </w:rPr>
                  </w:pPr>
                </w:p>
              </w:tc>
              <w:tc>
                <w:tcPr>
                  <w:tcW w:w="483" w:type="pct"/>
                  <w:vMerge w:val="continue"/>
                  <w:vAlign w:val="center"/>
                </w:tcPr>
                <w:p>
                  <w:pPr>
                    <w:pStyle w:val="25"/>
                    <w:ind w:firstLine="0" w:firstLineChars="0"/>
                    <w:rPr>
                      <w:rFonts w:ascii="Times New Roman" w:hAnsi="Times New Roman" w:eastAsia="宋体" w:cs="Times New Roman"/>
                      <w:bCs/>
                      <w:kern w:val="2"/>
                      <w:sz w:val="21"/>
                      <w:szCs w:val="21"/>
                      <w:lang w:val="en-US" w:eastAsia="zh-CN" w:bidi="ar-SA"/>
                    </w:rPr>
                  </w:pPr>
                </w:p>
              </w:tc>
              <w:tc>
                <w:tcPr>
                  <w:tcW w:w="488"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rFonts w:hint="eastAsia"/>
                      <w:bCs/>
                    </w:rPr>
                    <w:t>7.0</w:t>
                  </w:r>
                </w:p>
              </w:tc>
              <w:tc>
                <w:tcPr>
                  <w:tcW w:w="762" w:type="pct"/>
                  <w:vAlign w:val="center"/>
                </w:tcPr>
                <w:p>
                  <w:pPr>
                    <w:pStyle w:val="25"/>
                    <w:ind w:firstLine="0" w:firstLineChars="0"/>
                    <w:rPr>
                      <w:rFonts w:hint="default" w:ascii="Times New Roman" w:hAnsi="Times New Roman" w:eastAsia="宋体" w:cs="Times New Roman"/>
                      <w:bCs/>
                      <w:kern w:val="2"/>
                      <w:sz w:val="21"/>
                      <w:szCs w:val="21"/>
                      <w:lang w:val="en-US" w:eastAsia="zh-CN" w:bidi="ar-SA"/>
                    </w:rPr>
                  </w:pPr>
                  <w:r>
                    <w:rPr>
                      <w:bCs/>
                    </w:rPr>
                    <w:t>0.</w:t>
                  </w:r>
                  <w:r>
                    <w:rPr>
                      <w:rFonts w:hint="eastAsia"/>
                      <w:bCs/>
                    </w:rPr>
                    <w:t>8</w:t>
                  </w:r>
                  <w:r>
                    <w:rPr>
                      <w:rFonts w:hint="eastAsia"/>
                      <w:bCs/>
                      <w:lang w:val="en-US" w:eastAsia="zh-CN"/>
                    </w:rPr>
                    <w:t>43</w:t>
                  </w:r>
                </w:p>
              </w:tc>
              <w:tc>
                <w:tcPr>
                  <w:tcW w:w="628"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rFonts w:hint="eastAsia"/>
                      <w:bCs/>
                    </w:rPr>
                    <w:t>40</w:t>
                  </w:r>
                </w:p>
              </w:tc>
              <w:tc>
                <w:tcPr>
                  <w:tcW w:w="704"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bCs/>
                    </w:rPr>
                    <w:t>1.3</w:t>
                  </w:r>
                </w:p>
              </w:tc>
              <w:tc>
                <w:tcPr>
                  <w:tcW w:w="577"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rFonts w:hint="eastAsia"/>
                      <w:bCs/>
                      <w:lang w:val="en-US" w:eastAsia="zh-CN"/>
                    </w:rPr>
                    <w:t>62.6</w:t>
                  </w:r>
                  <w:r>
                    <w:rPr>
                      <w:rFonts w:hint="eastAsia"/>
                      <w:bCs/>
                    </w:rPr>
                    <w:t>%</w:t>
                  </w:r>
                </w:p>
              </w:tc>
            </w:tr>
          </w:tbl>
          <w:p>
            <w:pPr>
              <w:ind w:firstLine="480"/>
            </w:pPr>
            <w:r>
              <w:rPr>
                <w:rFonts w:hint="eastAsia"/>
                <w:highlight w:val="none"/>
              </w:rPr>
              <w:t>UV</w:t>
            </w:r>
            <w:r>
              <w:rPr>
                <w:rFonts w:hint="eastAsia"/>
                <w:highlight w:val="none"/>
                <w:lang w:eastAsia="zh-CN"/>
              </w:rPr>
              <w:t>漆</w:t>
            </w:r>
            <w:r>
              <w:rPr>
                <w:highlight w:val="none"/>
              </w:rPr>
              <w:t>是一</w:t>
            </w:r>
            <w:r>
              <w:t>种环保，高效的新型光固化涂料，具有环保，漆膜丰富、晶莹透亮、柔韧性好并且具有耐水、耐老化、耐黄变、干燥快、使用方便等特点。可使用在木器、金属、塑料、剥离、建筑表面等多种材质上。</w:t>
            </w:r>
          </w:p>
          <w:p>
            <w:pPr>
              <w:bidi w:val="0"/>
              <w:rPr>
                <w:rFonts w:hint="eastAsia"/>
                <w:lang w:val="en-US" w:eastAsia="zh-CN"/>
              </w:rPr>
            </w:pPr>
            <w:r>
              <w:rPr>
                <w:rFonts w:hint="eastAsia"/>
                <w:lang w:eastAsia="zh-CN"/>
              </w:rPr>
              <w:t>根据涂料</w:t>
            </w:r>
            <w:r>
              <w:rPr>
                <w:rFonts w:hint="eastAsia"/>
                <w:lang w:val="en-US" w:eastAsia="zh-CN"/>
              </w:rPr>
              <w:t>MSDS计算，面漆中挥发分为二丙二醇丁醚，含量为1%-5%，即面漆中VOCs最大</w:t>
            </w:r>
            <w:r>
              <w:rPr>
                <w:rFonts w:hint="eastAsia"/>
                <w:lang w:eastAsia="zh-CN"/>
              </w:rPr>
              <w:t>含量</w:t>
            </w:r>
            <w:r>
              <w:rPr>
                <w:rFonts w:hint="eastAsia"/>
                <w:lang w:val="en-US" w:eastAsia="zh-CN"/>
              </w:rPr>
              <w:t>50g/kg（35.7g/L）；</w:t>
            </w:r>
            <w:r>
              <w:rPr>
                <w:rFonts w:hint="eastAsia"/>
                <w:lang w:eastAsia="zh-CN"/>
              </w:rPr>
              <w:t>底漆中</w:t>
            </w:r>
            <w:r>
              <w:rPr>
                <w:rFonts w:hint="eastAsia"/>
                <w:lang w:val="en-US" w:eastAsia="zh-CN"/>
              </w:rPr>
              <w:t>挥发分为丙烯酸活性单体，含量为10-20%，即面漆中VOCs最大</w:t>
            </w:r>
            <w:r>
              <w:rPr>
                <w:rFonts w:hint="eastAsia"/>
                <w:lang w:eastAsia="zh-CN"/>
              </w:rPr>
              <w:t>含量</w:t>
            </w:r>
            <w:r>
              <w:rPr>
                <w:rFonts w:hint="eastAsia"/>
                <w:lang w:val="en-US" w:eastAsia="zh-CN"/>
              </w:rPr>
              <w:t>200g/kg（153.8g/L）。</w:t>
            </w:r>
          </w:p>
          <w:p>
            <w:pPr>
              <w:pStyle w:val="24"/>
              <w:bidi w:val="0"/>
              <w:rPr>
                <w:rFonts w:hint="default" w:eastAsia="宋体"/>
                <w:color w:val="000000"/>
                <w:highlight w:val="none"/>
                <w:lang w:val="en-US" w:eastAsia="zh-CN"/>
              </w:rPr>
            </w:pPr>
            <w:r>
              <w:rPr>
                <w:rFonts w:hint="eastAsia"/>
                <w:color w:val="000000"/>
                <w:highlight w:val="none"/>
                <w:lang w:eastAsia="zh-CN"/>
              </w:rPr>
              <w:t>表</w:t>
            </w:r>
            <w:r>
              <w:rPr>
                <w:rFonts w:hint="eastAsia"/>
                <w:color w:val="000000"/>
                <w:highlight w:val="none"/>
                <w:lang w:val="en-US" w:eastAsia="zh-CN"/>
              </w:rPr>
              <w:t>2-7 涂料选用与相关规定要求符合性分析 单位：</w:t>
            </w:r>
            <w:r>
              <w:rPr>
                <w:rFonts w:hint="eastAsia"/>
                <w:b/>
                <w:bCs/>
                <w:color w:val="000000"/>
                <w:highlight w:val="none"/>
                <w:vertAlign w:val="baseline"/>
                <w:lang w:val="en-US" w:eastAsia="zh-CN"/>
              </w:rPr>
              <w:t>g/L</w:t>
            </w:r>
          </w:p>
          <w:tbl>
            <w:tblPr>
              <w:tblStyle w:val="21"/>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278"/>
              <w:gridCol w:w="3015"/>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629" w:type="dxa"/>
                  <w:vMerge w:val="restart"/>
                  <w:noWrap w:val="0"/>
                  <w:vAlign w:val="center"/>
                </w:tcPr>
                <w:p>
                  <w:pPr>
                    <w:pStyle w:val="25"/>
                    <w:bidi w:val="0"/>
                    <w:rPr>
                      <w:rFonts w:hint="eastAsia"/>
                      <w:lang w:eastAsia="zh-CN"/>
                    </w:rPr>
                  </w:pPr>
                  <w:r>
                    <w:rPr>
                      <w:rFonts w:hint="eastAsia"/>
                      <w:lang w:eastAsia="zh-CN"/>
                    </w:rPr>
                    <w:t>原辅料</w:t>
                  </w:r>
                </w:p>
              </w:tc>
              <w:tc>
                <w:tcPr>
                  <w:tcW w:w="1278" w:type="dxa"/>
                  <w:vMerge w:val="restart"/>
                  <w:noWrap w:val="0"/>
                  <w:vAlign w:val="center"/>
                </w:tcPr>
                <w:p>
                  <w:pPr>
                    <w:pStyle w:val="25"/>
                    <w:bidi w:val="0"/>
                    <w:rPr>
                      <w:rFonts w:hint="default"/>
                      <w:lang w:val="en-US" w:eastAsia="zh-CN"/>
                    </w:rPr>
                  </w:pPr>
                  <w:r>
                    <w:rPr>
                      <w:rFonts w:hint="eastAsia"/>
                      <w:lang w:val="en-US" w:eastAsia="zh-CN"/>
                    </w:rPr>
                    <w:t>VOCs含量</w:t>
                  </w:r>
                </w:p>
              </w:tc>
              <w:tc>
                <w:tcPr>
                  <w:tcW w:w="4971" w:type="dxa"/>
                  <w:gridSpan w:val="2"/>
                  <w:noWrap w:val="0"/>
                  <w:vAlign w:val="center"/>
                </w:tcPr>
                <w:p>
                  <w:pPr>
                    <w:pStyle w:val="25"/>
                    <w:bidi w:val="0"/>
                    <w:rPr>
                      <w:rFonts w:hint="eastAsia"/>
                      <w:lang w:eastAsia="zh-CN"/>
                    </w:rPr>
                  </w:pPr>
                  <w:r>
                    <w:rPr>
                      <w:rFonts w:hint="eastAsia"/>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vMerge w:val="continue"/>
                  <w:noWrap w:val="0"/>
                  <w:vAlign w:val="center"/>
                </w:tcPr>
                <w:p>
                  <w:pPr>
                    <w:pStyle w:val="25"/>
                    <w:bidi w:val="0"/>
                  </w:pPr>
                </w:p>
              </w:tc>
              <w:tc>
                <w:tcPr>
                  <w:tcW w:w="1278" w:type="dxa"/>
                  <w:vMerge w:val="continue"/>
                  <w:noWrap w:val="0"/>
                  <w:vAlign w:val="center"/>
                </w:tcPr>
                <w:p>
                  <w:pPr>
                    <w:pStyle w:val="25"/>
                    <w:bidi w:val="0"/>
                  </w:pPr>
                </w:p>
              </w:tc>
              <w:tc>
                <w:tcPr>
                  <w:tcW w:w="3015" w:type="dxa"/>
                  <w:noWrap w:val="0"/>
                  <w:vAlign w:val="center"/>
                </w:tcPr>
                <w:p>
                  <w:pPr>
                    <w:pStyle w:val="25"/>
                    <w:bidi w:val="0"/>
                    <w:rPr>
                      <w:rFonts w:hint="eastAsia"/>
                      <w:lang w:eastAsia="zh-CN"/>
                    </w:rPr>
                  </w:pPr>
                  <w:r>
                    <w:rPr>
                      <w:rFonts w:hint="eastAsia"/>
                      <w:lang w:eastAsia="zh-CN"/>
                    </w:rPr>
                    <w:t>政策</w:t>
                  </w:r>
                </w:p>
              </w:tc>
              <w:tc>
                <w:tcPr>
                  <w:tcW w:w="1956" w:type="dxa"/>
                  <w:noWrap w:val="0"/>
                  <w:vAlign w:val="center"/>
                </w:tcPr>
                <w:p>
                  <w:pPr>
                    <w:pStyle w:val="25"/>
                    <w:bidi w:val="0"/>
                    <w:rPr>
                      <w:rFonts w:hint="default"/>
                      <w:lang w:val="en-US" w:eastAsia="zh-CN"/>
                    </w:rPr>
                  </w:pPr>
                  <w:r>
                    <w:rPr>
                      <w:rFonts w:hint="eastAsia"/>
                      <w:lang w:eastAsia="zh-CN"/>
                    </w:rPr>
                    <w:t>限值量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29" w:type="dxa"/>
                  <w:noWrap w:val="0"/>
                  <w:vAlign w:val="center"/>
                </w:tcPr>
                <w:p>
                  <w:pPr>
                    <w:pStyle w:val="25"/>
                    <w:bidi w:val="0"/>
                    <w:rPr>
                      <w:rFonts w:hint="default"/>
                      <w:lang w:val="en-US" w:eastAsia="zh-CN"/>
                    </w:rPr>
                  </w:pPr>
                  <w:r>
                    <w:rPr>
                      <w:rFonts w:hint="eastAsia"/>
                      <w:lang w:val="en-US" w:eastAsia="zh-CN"/>
                    </w:rPr>
                    <w:t>UV面漆</w:t>
                  </w:r>
                </w:p>
              </w:tc>
              <w:tc>
                <w:tcPr>
                  <w:tcW w:w="1278" w:type="dxa"/>
                  <w:noWrap w:val="0"/>
                  <w:vAlign w:val="center"/>
                </w:tcPr>
                <w:p>
                  <w:pPr>
                    <w:pStyle w:val="25"/>
                    <w:bidi w:val="0"/>
                    <w:rPr>
                      <w:rFonts w:hint="default"/>
                      <w:lang w:val="en-US" w:eastAsia="zh-CN"/>
                    </w:rPr>
                  </w:pPr>
                  <w:r>
                    <w:rPr>
                      <w:rFonts w:hint="eastAsia"/>
                      <w:lang w:val="en-US" w:eastAsia="zh-CN"/>
                    </w:rPr>
                    <w:t>35.7</w:t>
                  </w:r>
                </w:p>
              </w:tc>
              <w:tc>
                <w:tcPr>
                  <w:tcW w:w="3015" w:type="dxa"/>
                  <w:vMerge w:val="restart"/>
                  <w:noWrap w:val="0"/>
                  <w:vAlign w:val="center"/>
                </w:tcPr>
                <w:p>
                  <w:pPr>
                    <w:pStyle w:val="25"/>
                    <w:bidi w:val="0"/>
                    <w:rPr>
                      <w:rFonts w:hint="eastAsia"/>
                    </w:rPr>
                  </w:pPr>
                  <w:r>
                    <w:rPr>
                      <w:rFonts w:hint="eastAsia"/>
                    </w:rPr>
                    <w:t>木器涂料中有害物质限量GB 18581-2020</w:t>
                  </w:r>
                </w:p>
              </w:tc>
              <w:tc>
                <w:tcPr>
                  <w:tcW w:w="1956" w:type="dxa"/>
                  <w:noWrap w:val="0"/>
                  <w:vAlign w:val="center"/>
                </w:tcPr>
                <w:p>
                  <w:pPr>
                    <w:pStyle w:val="25"/>
                    <w:bidi w:val="0"/>
                    <w:rPr>
                      <w:rFonts w:hint="default"/>
                      <w:lang w:val="en-US" w:eastAsia="zh-CN"/>
                    </w:rPr>
                  </w:pPr>
                  <w:r>
                    <w:rPr>
                      <w:rFonts w:hint="default" w:ascii="Arial" w:hAnsi="Arial" w:cs="Arial"/>
                      <w:lang w:val="en-US" w:eastAsia="zh-CN"/>
                    </w:rPr>
                    <w:t>≤</w:t>
                  </w:r>
                  <w:r>
                    <w:rPr>
                      <w:rFonts w:hint="default"/>
                      <w:lang w:val="en-US" w:eastAsia="zh-CN"/>
                    </w:rPr>
                    <w:t>250</w:t>
                  </w:r>
                  <w:r>
                    <w:rPr>
                      <w:rFonts w:hint="eastAsia"/>
                      <w:lang w:val="en-US" w:eastAsia="zh-CN"/>
                    </w:rPr>
                    <w:t>（水性）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629" w:type="dxa"/>
                  <w:noWrap w:val="0"/>
                  <w:vAlign w:val="center"/>
                </w:tcPr>
                <w:p>
                  <w:pPr>
                    <w:pStyle w:val="25"/>
                    <w:bidi w:val="0"/>
                    <w:rPr>
                      <w:rFonts w:hint="default"/>
                      <w:lang w:val="en-US" w:eastAsia="zh-CN"/>
                    </w:rPr>
                  </w:pPr>
                  <w:r>
                    <w:rPr>
                      <w:rFonts w:hint="eastAsia"/>
                      <w:lang w:val="en-US" w:eastAsia="zh-CN"/>
                    </w:rPr>
                    <w:t>UV底漆</w:t>
                  </w:r>
                </w:p>
              </w:tc>
              <w:tc>
                <w:tcPr>
                  <w:tcW w:w="1278" w:type="dxa"/>
                  <w:noWrap w:val="0"/>
                  <w:vAlign w:val="center"/>
                </w:tcPr>
                <w:p>
                  <w:pPr>
                    <w:pStyle w:val="25"/>
                    <w:bidi w:val="0"/>
                    <w:rPr>
                      <w:rFonts w:hint="default"/>
                      <w:lang w:val="en-US" w:eastAsia="zh-CN"/>
                    </w:rPr>
                  </w:pPr>
                  <w:r>
                    <w:rPr>
                      <w:rFonts w:hint="eastAsia"/>
                      <w:lang w:val="en-US" w:eastAsia="zh-CN"/>
                    </w:rPr>
                    <w:t>153.8</w:t>
                  </w:r>
                </w:p>
              </w:tc>
              <w:tc>
                <w:tcPr>
                  <w:tcW w:w="3015" w:type="dxa"/>
                  <w:vMerge w:val="continue"/>
                  <w:noWrap w:val="0"/>
                  <w:vAlign w:val="center"/>
                </w:tcPr>
                <w:p>
                  <w:pPr>
                    <w:pStyle w:val="25"/>
                    <w:bidi w:val="0"/>
                    <w:rPr>
                      <w:rFonts w:hint="eastAsia"/>
                    </w:rPr>
                  </w:pPr>
                </w:p>
              </w:tc>
              <w:tc>
                <w:tcPr>
                  <w:tcW w:w="1956" w:type="dxa"/>
                  <w:noWrap w:val="0"/>
                  <w:vAlign w:val="center"/>
                </w:tcPr>
                <w:p>
                  <w:pPr>
                    <w:pStyle w:val="25"/>
                    <w:bidi w:val="0"/>
                    <w:rPr>
                      <w:rFonts w:hint="default"/>
                      <w:lang w:val="en-US" w:eastAsia="zh-CN"/>
                    </w:rPr>
                  </w:pPr>
                  <w:r>
                    <w:rPr>
                      <w:rFonts w:hint="default" w:ascii="Arial" w:hAnsi="Arial" w:cs="Arial"/>
                      <w:lang w:val="en-US" w:eastAsia="zh-CN"/>
                    </w:rPr>
                    <w:t>≤</w:t>
                  </w:r>
                  <w:r>
                    <w:rPr>
                      <w:rFonts w:hint="eastAsia"/>
                      <w:lang w:val="en-US" w:eastAsia="zh-CN"/>
                    </w:rPr>
                    <w:t>42</w:t>
                  </w:r>
                  <w:r>
                    <w:rPr>
                      <w:rFonts w:hint="default"/>
                      <w:lang w:val="en-US" w:eastAsia="zh-CN"/>
                    </w:rPr>
                    <w:t>0</w:t>
                  </w:r>
                  <w:r>
                    <w:rPr>
                      <w:rFonts w:hint="eastAsia"/>
                      <w:lang w:val="en-US" w:eastAsia="zh-CN"/>
                    </w:rPr>
                    <w:t>（非水性）</w:t>
                  </w:r>
                </w:p>
              </w:tc>
            </w:tr>
          </w:tbl>
          <w:p>
            <w:pPr>
              <w:bidi w:val="0"/>
              <w:rPr>
                <w:rFonts w:hint="eastAsia"/>
                <w:color w:val="000000"/>
                <w:highlight w:val="none"/>
              </w:rPr>
            </w:pPr>
          </w:p>
          <w:p>
            <w:pPr>
              <w:bidi w:val="0"/>
              <w:rPr>
                <w:rFonts w:hint="default"/>
                <w:lang w:val="en-US" w:eastAsia="zh-CN"/>
              </w:rPr>
            </w:pPr>
            <w:r>
              <w:rPr>
                <w:rFonts w:hint="eastAsia"/>
                <w:lang w:eastAsia="zh-CN"/>
              </w:rPr>
              <w:t>因此，本项目</w:t>
            </w:r>
            <w:r>
              <w:rPr>
                <w:rFonts w:hint="eastAsia"/>
                <w:lang w:val="en-US" w:eastAsia="zh-CN"/>
              </w:rPr>
              <w:t>UV涂料VOCs含量符合《木器涂料中有害物质限量》（GB 18581-2020）中辐射固化涂料限值要求（水性</w:t>
            </w:r>
            <w:r>
              <w:rPr>
                <w:rFonts w:hint="default" w:ascii="Arial" w:hAnsi="Arial" w:cs="Arial"/>
                <w:lang w:val="en-US" w:eastAsia="zh-CN"/>
              </w:rPr>
              <w:t>≤</w:t>
            </w:r>
            <w:r>
              <w:rPr>
                <w:rFonts w:hint="default"/>
                <w:lang w:val="en-US" w:eastAsia="zh-CN"/>
              </w:rPr>
              <w:t>250</w:t>
            </w:r>
            <w:r>
              <w:rPr>
                <w:rFonts w:hint="eastAsia"/>
                <w:lang w:val="en-US" w:eastAsia="zh-CN"/>
              </w:rPr>
              <w:t>g/L，非水性</w:t>
            </w:r>
            <w:r>
              <w:rPr>
                <w:rFonts w:hint="default" w:ascii="Arial" w:hAnsi="Arial" w:cs="Arial"/>
                <w:lang w:val="en-US" w:eastAsia="zh-CN"/>
              </w:rPr>
              <w:t>≤</w:t>
            </w:r>
            <w:r>
              <w:rPr>
                <w:rFonts w:hint="eastAsia"/>
                <w:lang w:val="en-US" w:eastAsia="zh-CN"/>
              </w:rPr>
              <w:t>42</w:t>
            </w:r>
            <w:r>
              <w:rPr>
                <w:rFonts w:hint="default"/>
                <w:lang w:val="en-US" w:eastAsia="zh-CN"/>
              </w:rPr>
              <w:t>0</w:t>
            </w:r>
            <w:r>
              <w:rPr>
                <w:rFonts w:hint="eastAsia"/>
                <w:lang w:val="en-US" w:eastAsia="zh-CN"/>
              </w:rPr>
              <w:t>g/L）。</w:t>
            </w:r>
          </w:p>
          <w:p>
            <w:pPr>
              <w:pStyle w:val="13"/>
              <w:ind w:left="0" w:leftChars="0" w:right="0" w:rightChars="0" w:firstLine="0" w:firstLineChars="0"/>
              <w:jc w:val="center"/>
              <w:rPr>
                <w:rFonts w:hint="eastAsia" w:eastAsia="宋体"/>
                <w:b/>
                <w:bCs/>
                <w:color w:val="000000"/>
                <w:szCs w:val="24"/>
                <w:highlight w:val="none"/>
                <w:lang w:eastAsia="zh-CN"/>
              </w:rPr>
            </w:pPr>
            <w:r>
              <w:rPr>
                <w:rFonts w:hint="eastAsia" w:eastAsia="宋体"/>
                <w:b/>
                <w:bCs/>
                <w:color w:val="000000"/>
                <w:szCs w:val="24"/>
                <w:highlight w:val="none"/>
                <w:lang w:eastAsia="zh-CN"/>
              </w:rPr>
              <w:object>
                <v:shape id="_x0000_i1025" o:spt="75" type="#_x0000_t75" style="height:180.25pt;width:384.55pt;" o:ole="t" filled="f" o:preferrelative="t" stroked="f" coordsize="21600,21600">
                  <v:path/>
                  <v:fill on="f" focussize="0,0"/>
                  <v:stroke on="f"/>
                  <v:imagedata r:id="rId11" cropleft="5759f" croptop="1440f" cropright="18625f" cropbottom="36844f" o:title=""/>
                  <o:lock v:ext="edit" aspectratio="t"/>
                  <w10:wrap type="none"/>
                  <w10:anchorlock/>
                </v:shape>
                <o:OLEObject Type="Embed" ProgID="Visio.Drawing.15" ShapeID="_x0000_i1025" DrawAspect="Content" ObjectID="_1468075725" r:id="rId10">
                  <o:LockedField>false</o:LockedField>
                </o:OLEObject>
              </w:object>
            </w:r>
          </w:p>
          <w:p>
            <w:pPr>
              <w:pStyle w:val="24"/>
              <w:bidi w:val="0"/>
              <w:rPr>
                <w:rFonts w:hint="default"/>
                <w:lang w:val="en-US" w:eastAsia="zh-CN"/>
              </w:rPr>
            </w:pPr>
            <w:r>
              <w:rPr>
                <w:rFonts w:hint="eastAsia"/>
                <w:lang w:eastAsia="zh-CN"/>
              </w:rPr>
              <w:t>图</w:t>
            </w:r>
            <w:r>
              <w:rPr>
                <w:rFonts w:hint="eastAsia"/>
                <w:lang w:val="en-US" w:eastAsia="zh-CN"/>
              </w:rPr>
              <w:t>2-2  VOCs平衡图 单位：t/a</w:t>
            </w:r>
          </w:p>
          <w:p>
            <w:pPr>
              <w:bidi w:val="0"/>
              <w:rPr>
                <w:rFonts w:hint="eastAsia"/>
              </w:rPr>
            </w:pPr>
          </w:p>
          <w:p>
            <w:pPr>
              <w:pStyle w:val="24"/>
              <w:bidi w:val="0"/>
              <w:rPr>
                <w:rFonts w:hint="eastAsia"/>
                <w:lang w:val="en-US" w:eastAsia="zh-CN"/>
              </w:rPr>
            </w:pPr>
            <w:r>
              <w:rPr>
                <w:rFonts w:hint="eastAsia"/>
                <w:lang w:eastAsia="zh-CN"/>
              </w:rPr>
              <w:t>表</w:t>
            </w:r>
            <w:r>
              <w:rPr>
                <w:rFonts w:hint="eastAsia"/>
                <w:lang w:val="en-US" w:eastAsia="zh-CN"/>
              </w:rPr>
              <w:t>2-8  VOCs平衡一览表</w:t>
            </w:r>
          </w:p>
          <w:tbl>
            <w:tblPr>
              <w:tblStyle w:val="21"/>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2115"/>
              <w:gridCol w:w="840"/>
              <w:gridCol w:w="87"/>
              <w:gridCol w:w="9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979" w:type="dxa"/>
                  <w:gridSpan w:val="2"/>
                  <w:noWrap w:val="0"/>
                  <w:vAlign w:val="center"/>
                </w:tcPr>
                <w:p>
                  <w:pPr>
                    <w:pStyle w:val="25"/>
                    <w:bidi w:val="0"/>
                    <w:rPr>
                      <w:rFonts w:hint="eastAsia"/>
                      <w:lang w:eastAsia="zh-CN"/>
                    </w:rPr>
                  </w:pPr>
                  <w:r>
                    <w:rPr>
                      <w:rFonts w:hint="eastAsia"/>
                      <w:lang w:eastAsia="zh-CN"/>
                    </w:rPr>
                    <w:t>输入（</w:t>
                  </w:r>
                  <w:r>
                    <w:rPr>
                      <w:rFonts w:hint="eastAsia"/>
                      <w:lang w:val="en-US" w:eastAsia="zh-CN"/>
                    </w:rPr>
                    <w:t>t/a</w:t>
                  </w:r>
                  <w:r>
                    <w:rPr>
                      <w:rFonts w:hint="eastAsia"/>
                      <w:lang w:eastAsia="zh-CN"/>
                    </w:rPr>
                    <w:t>）</w:t>
                  </w:r>
                </w:p>
              </w:tc>
              <w:tc>
                <w:tcPr>
                  <w:tcW w:w="3980" w:type="dxa"/>
                  <w:gridSpan w:val="4"/>
                  <w:noWrap w:val="0"/>
                  <w:vAlign w:val="center"/>
                </w:tcPr>
                <w:p>
                  <w:pPr>
                    <w:pStyle w:val="25"/>
                    <w:bidi w:val="0"/>
                    <w:rPr>
                      <w:rFonts w:hint="eastAsia"/>
                      <w:lang w:eastAsia="zh-CN"/>
                    </w:rPr>
                  </w:pPr>
                  <w:r>
                    <w:rPr>
                      <w:rFonts w:hint="eastAsia"/>
                      <w:lang w:eastAsia="zh-CN"/>
                    </w:rPr>
                    <w:t>输出（</w:t>
                  </w:r>
                  <w:r>
                    <w:rPr>
                      <w:rFonts w:hint="eastAsia"/>
                      <w:lang w:val="en-US" w:eastAsia="zh-CN"/>
                    </w:rPr>
                    <w:t>t/a</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64" w:type="dxa"/>
                  <w:noWrap w:val="0"/>
                  <w:vAlign w:val="center"/>
                </w:tcPr>
                <w:p>
                  <w:pPr>
                    <w:pStyle w:val="25"/>
                    <w:bidi w:val="0"/>
                    <w:rPr>
                      <w:rFonts w:hint="default"/>
                      <w:lang w:val="en-US" w:eastAsia="zh-CN"/>
                    </w:rPr>
                  </w:pPr>
                  <w:r>
                    <w:rPr>
                      <w:rFonts w:hint="eastAsia"/>
                      <w:lang w:val="en-US" w:eastAsia="zh-CN"/>
                    </w:rPr>
                    <w:t>UV面漆</w:t>
                  </w:r>
                </w:p>
              </w:tc>
              <w:tc>
                <w:tcPr>
                  <w:tcW w:w="2115" w:type="dxa"/>
                  <w:noWrap w:val="0"/>
                  <w:vAlign w:val="center"/>
                </w:tcPr>
                <w:p>
                  <w:pPr>
                    <w:pStyle w:val="25"/>
                    <w:bidi w:val="0"/>
                    <w:rPr>
                      <w:rFonts w:hint="default"/>
                      <w:lang w:val="en-US" w:eastAsia="zh-CN"/>
                    </w:rPr>
                  </w:pPr>
                  <w:r>
                    <w:rPr>
                      <w:rFonts w:hint="eastAsia"/>
                      <w:lang w:val="en-US" w:eastAsia="zh-CN"/>
                    </w:rPr>
                    <w:t>7</w:t>
                  </w:r>
                </w:p>
              </w:tc>
              <w:tc>
                <w:tcPr>
                  <w:tcW w:w="1855" w:type="dxa"/>
                  <w:gridSpan w:val="3"/>
                  <w:noWrap w:val="0"/>
                  <w:vAlign w:val="center"/>
                </w:tcPr>
                <w:p>
                  <w:pPr>
                    <w:pStyle w:val="25"/>
                    <w:bidi w:val="0"/>
                    <w:rPr>
                      <w:rFonts w:hint="eastAsia"/>
                      <w:lang w:eastAsia="zh-CN"/>
                    </w:rPr>
                  </w:pPr>
                  <w:r>
                    <w:rPr>
                      <w:rFonts w:hint="eastAsia"/>
                      <w:lang w:eastAsia="zh-CN"/>
                    </w:rPr>
                    <w:t>进入产品</w:t>
                  </w:r>
                </w:p>
              </w:tc>
              <w:tc>
                <w:tcPr>
                  <w:tcW w:w="2125" w:type="dxa"/>
                  <w:noWrap w:val="0"/>
                  <w:vAlign w:val="center"/>
                </w:tcPr>
                <w:p>
                  <w:pPr>
                    <w:pStyle w:val="25"/>
                    <w:bidi w:val="0"/>
                    <w:rPr>
                      <w:rFonts w:hint="default"/>
                      <w:lang w:val="en-US" w:eastAsia="zh-CN"/>
                    </w:rPr>
                  </w:pPr>
                  <w:r>
                    <w:rPr>
                      <w:rFonts w:hint="eastAsia"/>
                      <w:lang w:val="en-US" w:eastAsia="zh-CN"/>
                    </w:rPr>
                    <w:t>9.102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64" w:type="dxa"/>
                  <w:noWrap w:val="0"/>
                  <w:vAlign w:val="center"/>
                </w:tcPr>
                <w:p>
                  <w:pPr>
                    <w:pStyle w:val="25"/>
                    <w:bidi w:val="0"/>
                    <w:rPr>
                      <w:rFonts w:hint="default"/>
                      <w:lang w:val="en-US" w:eastAsia="zh-CN"/>
                    </w:rPr>
                  </w:pPr>
                  <w:r>
                    <w:rPr>
                      <w:rFonts w:hint="eastAsia"/>
                      <w:lang w:val="en-US" w:eastAsia="zh-CN"/>
                    </w:rPr>
                    <w:t>UV底漆</w:t>
                  </w:r>
                </w:p>
              </w:tc>
              <w:tc>
                <w:tcPr>
                  <w:tcW w:w="2115" w:type="dxa"/>
                  <w:noWrap w:val="0"/>
                  <w:vAlign w:val="center"/>
                </w:tcPr>
                <w:p>
                  <w:pPr>
                    <w:pStyle w:val="25"/>
                    <w:bidi w:val="0"/>
                    <w:rPr>
                      <w:rFonts w:hint="default"/>
                      <w:lang w:val="en-US" w:eastAsia="zh-CN"/>
                    </w:rPr>
                  </w:pPr>
                  <w:r>
                    <w:rPr>
                      <w:rFonts w:hint="eastAsia"/>
                      <w:lang w:val="en-US" w:eastAsia="zh-CN"/>
                    </w:rPr>
                    <w:t>7.6</w:t>
                  </w:r>
                </w:p>
              </w:tc>
              <w:tc>
                <w:tcPr>
                  <w:tcW w:w="840" w:type="dxa"/>
                  <w:vMerge w:val="restart"/>
                  <w:noWrap w:val="0"/>
                  <w:vAlign w:val="center"/>
                </w:tcPr>
                <w:p>
                  <w:pPr>
                    <w:pStyle w:val="25"/>
                    <w:bidi w:val="0"/>
                    <w:rPr>
                      <w:rFonts w:hint="eastAsia"/>
                      <w:lang w:eastAsia="zh-CN"/>
                    </w:rPr>
                  </w:pPr>
                  <w:r>
                    <w:rPr>
                      <w:rFonts w:hint="eastAsia"/>
                      <w:lang w:eastAsia="zh-CN"/>
                    </w:rPr>
                    <w:t>有机废气</w:t>
                  </w:r>
                </w:p>
              </w:tc>
              <w:tc>
                <w:tcPr>
                  <w:tcW w:w="1015" w:type="dxa"/>
                  <w:gridSpan w:val="2"/>
                  <w:noWrap w:val="0"/>
                  <w:vAlign w:val="center"/>
                </w:tcPr>
                <w:p>
                  <w:pPr>
                    <w:pStyle w:val="25"/>
                    <w:bidi w:val="0"/>
                    <w:rPr>
                      <w:rFonts w:hint="eastAsia"/>
                      <w:lang w:eastAsia="zh-CN"/>
                    </w:rPr>
                  </w:pPr>
                  <w:r>
                    <w:rPr>
                      <w:rFonts w:hint="eastAsia"/>
                      <w:lang w:eastAsia="zh-CN"/>
                    </w:rPr>
                    <w:t>有组织</w:t>
                  </w:r>
                </w:p>
              </w:tc>
              <w:tc>
                <w:tcPr>
                  <w:tcW w:w="2125" w:type="dxa"/>
                  <w:noWrap w:val="0"/>
                  <w:vAlign w:val="center"/>
                </w:tcPr>
                <w:p>
                  <w:pPr>
                    <w:pStyle w:val="25"/>
                    <w:bidi w:val="0"/>
                    <w:rPr>
                      <w:rFonts w:hint="default"/>
                      <w:lang w:val="en-US" w:eastAsia="zh-CN"/>
                    </w:rPr>
                  </w:pPr>
                  <w:r>
                    <w:rPr>
                      <w:rFonts w:hint="eastAsia"/>
                      <w:lang w:val="en-US" w:eastAsia="zh-CN"/>
                    </w:rPr>
                    <w:t>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64" w:type="dxa"/>
                  <w:noWrap w:val="0"/>
                  <w:vAlign w:val="center"/>
                </w:tcPr>
                <w:p>
                  <w:pPr>
                    <w:pStyle w:val="25"/>
                    <w:bidi w:val="0"/>
                    <w:rPr>
                      <w:rFonts w:hint="eastAsia"/>
                      <w:lang w:eastAsia="zh-CN"/>
                    </w:rPr>
                  </w:pPr>
                </w:p>
              </w:tc>
              <w:tc>
                <w:tcPr>
                  <w:tcW w:w="2115" w:type="dxa"/>
                  <w:noWrap w:val="0"/>
                  <w:vAlign w:val="center"/>
                </w:tcPr>
                <w:p>
                  <w:pPr>
                    <w:pStyle w:val="25"/>
                    <w:bidi w:val="0"/>
                    <w:rPr>
                      <w:rFonts w:hint="default"/>
                      <w:lang w:val="en-US" w:eastAsia="zh-CN"/>
                    </w:rPr>
                  </w:pPr>
                </w:p>
              </w:tc>
              <w:tc>
                <w:tcPr>
                  <w:tcW w:w="840" w:type="dxa"/>
                  <w:vMerge w:val="continue"/>
                  <w:noWrap w:val="0"/>
                  <w:vAlign w:val="center"/>
                </w:tcPr>
                <w:p>
                  <w:pPr>
                    <w:pStyle w:val="25"/>
                    <w:bidi w:val="0"/>
                    <w:rPr>
                      <w:rFonts w:hint="eastAsia"/>
                      <w:lang w:eastAsia="zh-CN"/>
                    </w:rPr>
                  </w:pPr>
                </w:p>
              </w:tc>
              <w:tc>
                <w:tcPr>
                  <w:tcW w:w="1015" w:type="dxa"/>
                  <w:gridSpan w:val="2"/>
                  <w:noWrap w:val="0"/>
                  <w:vAlign w:val="center"/>
                </w:tcPr>
                <w:p>
                  <w:pPr>
                    <w:pStyle w:val="25"/>
                    <w:bidi w:val="0"/>
                    <w:rPr>
                      <w:rFonts w:hint="eastAsia"/>
                      <w:lang w:eastAsia="zh-CN"/>
                    </w:rPr>
                  </w:pPr>
                  <w:r>
                    <w:rPr>
                      <w:rFonts w:hint="eastAsia"/>
                      <w:lang w:eastAsia="zh-CN"/>
                    </w:rPr>
                    <w:t>无组织</w:t>
                  </w:r>
                </w:p>
              </w:tc>
              <w:tc>
                <w:tcPr>
                  <w:tcW w:w="2125" w:type="dxa"/>
                  <w:noWrap w:val="0"/>
                  <w:vAlign w:val="center"/>
                </w:tcPr>
                <w:p>
                  <w:pPr>
                    <w:pStyle w:val="25"/>
                    <w:bidi w:val="0"/>
                    <w:rPr>
                      <w:rFonts w:hint="default"/>
                      <w:lang w:val="en-US" w:eastAsia="zh-CN"/>
                    </w:rPr>
                  </w:pPr>
                  <w:r>
                    <w:rPr>
                      <w:rFonts w:hint="eastAsia"/>
                      <w:lang w:val="en-US" w:eastAsia="zh-CN"/>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64" w:type="dxa"/>
                  <w:noWrap w:val="0"/>
                  <w:vAlign w:val="center"/>
                </w:tcPr>
                <w:p>
                  <w:pPr>
                    <w:pStyle w:val="25"/>
                    <w:bidi w:val="0"/>
                    <w:rPr>
                      <w:rFonts w:hint="default"/>
                    </w:rPr>
                  </w:pPr>
                </w:p>
              </w:tc>
              <w:tc>
                <w:tcPr>
                  <w:tcW w:w="2115" w:type="dxa"/>
                  <w:noWrap w:val="0"/>
                  <w:vAlign w:val="center"/>
                </w:tcPr>
                <w:p>
                  <w:pPr>
                    <w:pStyle w:val="25"/>
                    <w:bidi w:val="0"/>
                    <w:rPr>
                      <w:rFonts w:hint="default"/>
                    </w:rPr>
                  </w:pPr>
                </w:p>
              </w:tc>
              <w:tc>
                <w:tcPr>
                  <w:tcW w:w="1855" w:type="dxa"/>
                  <w:gridSpan w:val="3"/>
                  <w:noWrap w:val="0"/>
                  <w:vAlign w:val="center"/>
                </w:tcPr>
                <w:p>
                  <w:pPr>
                    <w:pStyle w:val="25"/>
                    <w:bidi w:val="0"/>
                    <w:rPr>
                      <w:rFonts w:hint="default"/>
                      <w:lang w:val="en-US" w:eastAsia="zh-CN"/>
                    </w:rPr>
                  </w:pPr>
                  <w:r>
                    <w:rPr>
                      <w:rFonts w:hint="eastAsia"/>
                      <w:lang w:val="en-US" w:eastAsia="zh-CN"/>
                    </w:rPr>
                    <w:t>活性炭吸附</w:t>
                  </w:r>
                </w:p>
              </w:tc>
              <w:tc>
                <w:tcPr>
                  <w:tcW w:w="2125" w:type="dxa"/>
                  <w:noWrap w:val="0"/>
                  <w:vAlign w:val="center"/>
                </w:tcPr>
                <w:p>
                  <w:pPr>
                    <w:pStyle w:val="25"/>
                    <w:bidi w:val="0"/>
                    <w:rPr>
                      <w:rFonts w:hint="default"/>
                      <w:lang w:val="en-US" w:eastAsia="zh-CN"/>
                    </w:rPr>
                  </w:pPr>
                  <w:r>
                    <w:rPr>
                      <w:rFonts w:hint="eastAsia"/>
                      <w:lang w:val="en-US" w:eastAsia="zh-CN"/>
                    </w:rPr>
                    <w:t>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64" w:type="dxa"/>
                  <w:noWrap w:val="0"/>
                  <w:vAlign w:val="center"/>
                </w:tcPr>
                <w:p>
                  <w:pPr>
                    <w:pStyle w:val="25"/>
                    <w:bidi w:val="0"/>
                    <w:rPr>
                      <w:rFonts w:hint="default"/>
                    </w:rPr>
                  </w:pPr>
                </w:p>
              </w:tc>
              <w:tc>
                <w:tcPr>
                  <w:tcW w:w="2115" w:type="dxa"/>
                  <w:noWrap w:val="0"/>
                  <w:vAlign w:val="center"/>
                </w:tcPr>
                <w:p>
                  <w:pPr>
                    <w:pStyle w:val="25"/>
                    <w:bidi w:val="0"/>
                    <w:rPr>
                      <w:rFonts w:hint="default"/>
                    </w:rPr>
                  </w:pPr>
                </w:p>
              </w:tc>
              <w:tc>
                <w:tcPr>
                  <w:tcW w:w="927" w:type="dxa"/>
                  <w:gridSpan w:val="2"/>
                  <w:vMerge w:val="restart"/>
                  <w:noWrap w:val="0"/>
                  <w:vAlign w:val="center"/>
                </w:tcPr>
                <w:p>
                  <w:pPr>
                    <w:pStyle w:val="25"/>
                    <w:bidi w:val="0"/>
                    <w:rPr>
                      <w:rFonts w:hint="eastAsia"/>
                      <w:lang w:val="en-US" w:eastAsia="zh-CN"/>
                    </w:rPr>
                  </w:pPr>
                  <w:r>
                    <w:rPr>
                      <w:rFonts w:hint="eastAsia"/>
                      <w:lang w:val="en-US" w:eastAsia="zh-CN"/>
                    </w:rPr>
                    <w:t>漆雾</w:t>
                  </w:r>
                </w:p>
              </w:tc>
              <w:tc>
                <w:tcPr>
                  <w:tcW w:w="928"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eastAsia="zh-CN"/>
                    </w:rPr>
                    <w:t>有组织</w:t>
                  </w:r>
                </w:p>
              </w:tc>
              <w:tc>
                <w:tcPr>
                  <w:tcW w:w="2125" w:type="dxa"/>
                  <w:noWrap w:val="0"/>
                  <w:vAlign w:val="center"/>
                </w:tcPr>
                <w:p>
                  <w:pPr>
                    <w:pStyle w:val="25"/>
                    <w:bidi w:val="0"/>
                    <w:rPr>
                      <w:rFonts w:hint="default"/>
                      <w:lang w:val="en-US" w:eastAsia="zh-CN"/>
                    </w:rPr>
                  </w:pPr>
                  <w:r>
                    <w:rPr>
                      <w:rFonts w:hint="eastAsia"/>
                      <w:lang w:val="en-US" w:eastAsia="zh-CN"/>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64" w:type="dxa"/>
                  <w:noWrap w:val="0"/>
                  <w:vAlign w:val="center"/>
                </w:tcPr>
                <w:p>
                  <w:pPr>
                    <w:pStyle w:val="25"/>
                    <w:bidi w:val="0"/>
                    <w:rPr>
                      <w:rFonts w:hint="default"/>
                    </w:rPr>
                  </w:pPr>
                </w:p>
              </w:tc>
              <w:tc>
                <w:tcPr>
                  <w:tcW w:w="2115" w:type="dxa"/>
                  <w:noWrap w:val="0"/>
                  <w:vAlign w:val="center"/>
                </w:tcPr>
                <w:p>
                  <w:pPr>
                    <w:pStyle w:val="25"/>
                    <w:bidi w:val="0"/>
                    <w:rPr>
                      <w:rFonts w:hint="default"/>
                    </w:rPr>
                  </w:pPr>
                </w:p>
              </w:tc>
              <w:tc>
                <w:tcPr>
                  <w:tcW w:w="927" w:type="dxa"/>
                  <w:gridSpan w:val="2"/>
                  <w:vMerge w:val="continue"/>
                  <w:noWrap w:val="0"/>
                  <w:vAlign w:val="center"/>
                </w:tcPr>
                <w:p>
                  <w:pPr>
                    <w:pStyle w:val="25"/>
                    <w:bidi w:val="0"/>
                    <w:rPr>
                      <w:rFonts w:hint="eastAsia"/>
                      <w:lang w:val="en-US" w:eastAsia="zh-CN"/>
                    </w:rPr>
                  </w:pPr>
                </w:p>
              </w:tc>
              <w:tc>
                <w:tcPr>
                  <w:tcW w:w="928"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eastAsia="zh-CN"/>
                    </w:rPr>
                    <w:t>无组织</w:t>
                  </w:r>
                </w:p>
              </w:tc>
              <w:tc>
                <w:tcPr>
                  <w:tcW w:w="2125" w:type="dxa"/>
                  <w:noWrap w:val="0"/>
                  <w:vAlign w:val="center"/>
                </w:tcPr>
                <w:p>
                  <w:pPr>
                    <w:pStyle w:val="25"/>
                    <w:bidi w:val="0"/>
                    <w:rPr>
                      <w:rFonts w:hint="default"/>
                      <w:lang w:val="en-US" w:eastAsia="zh-CN"/>
                    </w:rPr>
                  </w:pPr>
                  <w:r>
                    <w:rPr>
                      <w:rFonts w:hint="eastAsia"/>
                      <w:lang w:val="en-US" w:eastAsia="zh-CN"/>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64" w:type="dxa"/>
                  <w:noWrap w:val="0"/>
                  <w:vAlign w:val="center"/>
                </w:tcPr>
                <w:p>
                  <w:pPr>
                    <w:pStyle w:val="25"/>
                    <w:bidi w:val="0"/>
                    <w:rPr>
                      <w:rFonts w:hint="default"/>
                    </w:rPr>
                  </w:pPr>
                </w:p>
              </w:tc>
              <w:tc>
                <w:tcPr>
                  <w:tcW w:w="2115" w:type="dxa"/>
                  <w:noWrap w:val="0"/>
                  <w:vAlign w:val="center"/>
                </w:tcPr>
                <w:p>
                  <w:pPr>
                    <w:pStyle w:val="25"/>
                    <w:bidi w:val="0"/>
                    <w:rPr>
                      <w:rFonts w:hint="default"/>
                    </w:rPr>
                  </w:pPr>
                </w:p>
              </w:tc>
              <w:tc>
                <w:tcPr>
                  <w:tcW w:w="1855" w:type="dxa"/>
                  <w:gridSpan w:val="3"/>
                  <w:noWrap w:val="0"/>
                  <w:vAlign w:val="center"/>
                </w:tcPr>
                <w:p>
                  <w:pPr>
                    <w:pStyle w:val="25"/>
                    <w:bidi w:val="0"/>
                    <w:rPr>
                      <w:rFonts w:hint="eastAsia"/>
                      <w:lang w:val="en-US" w:eastAsia="zh-CN"/>
                    </w:rPr>
                  </w:pPr>
                  <w:r>
                    <w:rPr>
                      <w:rFonts w:hint="eastAsia"/>
                      <w:lang w:val="en-US" w:eastAsia="zh-CN"/>
                    </w:rPr>
                    <w:t>过滤棉吸附</w:t>
                  </w:r>
                </w:p>
              </w:tc>
              <w:tc>
                <w:tcPr>
                  <w:tcW w:w="2125" w:type="dxa"/>
                  <w:noWrap w:val="0"/>
                  <w:vAlign w:val="center"/>
                </w:tcPr>
                <w:p>
                  <w:pPr>
                    <w:pStyle w:val="25"/>
                    <w:bidi w:val="0"/>
                    <w:rPr>
                      <w:rFonts w:hint="default"/>
                      <w:lang w:val="en-US" w:eastAsia="zh-CN"/>
                    </w:rPr>
                  </w:pPr>
                  <w:r>
                    <w:rPr>
                      <w:rFonts w:hint="eastAsia"/>
                      <w:lang w:val="en-US" w:eastAsia="zh-CN"/>
                    </w:rPr>
                    <w:t>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64" w:type="dxa"/>
                  <w:noWrap w:val="0"/>
                  <w:vAlign w:val="center"/>
                </w:tcPr>
                <w:p>
                  <w:pPr>
                    <w:pStyle w:val="25"/>
                    <w:bidi w:val="0"/>
                    <w:rPr>
                      <w:rFonts w:hint="default"/>
                    </w:rPr>
                  </w:pPr>
                </w:p>
              </w:tc>
              <w:tc>
                <w:tcPr>
                  <w:tcW w:w="2115" w:type="dxa"/>
                  <w:noWrap w:val="0"/>
                  <w:vAlign w:val="center"/>
                </w:tcPr>
                <w:p>
                  <w:pPr>
                    <w:pStyle w:val="25"/>
                    <w:bidi w:val="0"/>
                    <w:rPr>
                      <w:rFonts w:hint="default"/>
                    </w:rPr>
                  </w:pPr>
                </w:p>
              </w:tc>
              <w:tc>
                <w:tcPr>
                  <w:tcW w:w="1855" w:type="dxa"/>
                  <w:gridSpan w:val="3"/>
                  <w:noWrap w:val="0"/>
                  <w:vAlign w:val="center"/>
                </w:tcPr>
                <w:p>
                  <w:pPr>
                    <w:pStyle w:val="25"/>
                    <w:bidi w:val="0"/>
                    <w:rPr>
                      <w:rFonts w:hint="eastAsia"/>
                      <w:lang w:val="en-US" w:eastAsia="zh-CN"/>
                    </w:rPr>
                  </w:pPr>
                  <w:r>
                    <w:rPr>
                      <w:rFonts w:hint="eastAsia"/>
                      <w:lang w:val="en-US" w:eastAsia="zh-CN"/>
                    </w:rPr>
                    <w:t>漆渣</w:t>
                  </w:r>
                </w:p>
              </w:tc>
              <w:tc>
                <w:tcPr>
                  <w:tcW w:w="2125" w:type="dxa"/>
                  <w:noWrap w:val="0"/>
                  <w:vAlign w:val="center"/>
                </w:tcPr>
                <w:p>
                  <w:pPr>
                    <w:pStyle w:val="25"/>
                    <w:bidi w:val="0"/>
                    <w:rPr>
                      <w:rFonts w:hint="default"/>
                      <w:lang w:val="en-US" w:eastAsia="zh-CN"/>
                    </w:rPr>
                  </w:pPr>
                  <w:r>
                    <w:rPr>
                      <w:rFonts w:hint="eastAsia"/>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864" w:type="dxa"/>
                  <w:noWrap w:val="0"/>
                  <w:vAlign w:val="center"/>
                </w:tcPr>
                <w:p>
                  <w:pPr>
                    <w:pStyle w:val="25"/>
                    <w:bidi w:val="0"/>
                    <w:rPr>
                      <w:rFonts w:hint="eastAsia"/>
                      <w:lang w:eastAsia="zh-CN"/>
                    </w:rPr>
                  </w:pPr>
                  <w:r>
                    <w:rPr>
                      <w:rFonts w:hint="eastAsia"/>
                      <w:lang w:eastAsia="zh-CN"/>
                    </w:rPr>
                    <w:t>合计</w:t>
                  </w:r>
                </w:p>
              </w:tc>
              <w:tc>
                <w:tcPr>
                  <w:tcW w:w="2115" w:type="dxa"/>
                  <w:noWrap w:val="0"/>
                  <w:vAlign w:val="center"/>
                </w:tcPr>
                <w:p>
                  <w:pPr>
                    <w:pStyle w:val="25"/>
                    <w:bidi w:val="0"/>
                    <w:rPr>
                      <w:rFonts w:hint="default"/>
                      <w:lang w:val="en-US" w:eastAsia="zh-CN"/>
                    </w:rPr>
                  </w:pPr>
                  <w:r>
                    <w:rPr>
                      <w:rFonts w:hint="eastAsia"/>
                      <w:lang w:val="en-US" w:eastAsia="zh-CN"/>
                    </w:rPr>
                    <w:t>14.6</w:t>
                  </w:r>
                </w:p>
              </w:tc>
              <w:tc>
                <w:tcPr>
                  <w:tcW w:w="1855" w:type="dxa"/>
                  <w:gridSpan w:val="3"/>
                  <w:noWrap w:val="0"/>
                  <w:vAlign w:val="center"/>
                </w:tcPr>
                <w:p>
                  <w:pPr>
                    <w:pStyle w:val="25"/>
                    <w:bidi w:val="0"/>
                    <w:rPr>
                      <w:rFonts w:hint="eastAsia"/>
                      <w:lang w:eastAsia="zh-CN"/>
                    </w:rPr>
                  </w:pPr>
                  <w:r>
                    <w:rPr>
                      <w:rFonts w:hint="eastAsia"/>
                      <w:lang w:eastAsia="zh-CN"/>
                    </w:rPr>
                    <w:t>合计</w:t>
                  </w:r>
                </w:p>
              </w:tc>
              <w:tc>
                <w:tcPr>
                  <w:tcW w:w="2125" w:type="dxa"/>
                  <w:noWrap w:val="0"/>
                  <w:vAlign w:val="center"/>
                </w:tcPr>
                <w:p>
                  <w:pPr>
                    <w:pStyle w:val="25"/>
                    <w:bidi w:val="0"/>
                    <w:rPr>
                      <w:rFonts w:hint="default"/>
                      <w:lang w:val="en-US" w:eastAsia="zh-CN"/>
                    </w:rPr>
                  </w:pPr>
                  <w:r>
                    <w:rPr>
                      <w:rFonts w:hint="eastAsia"/>
                      <w:lang w:val="en-US" w:eastAsia="zh-CN"/>
                    </w:rPr>
                    <w:t>14.6</w:t>
                  </w:r>
                </w:p>
              </w:tc>
            </w:tr>
          </w:tbl>
          <w:p>
            <w:pPr>
              <w:ind w:left="0" w:leftChars="0" w:firstLine="0" w:firstLineChars="0"/>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textAlignment w:val="auto"/>
            </w:pPr>
            <w:r>
              <w:rPr>
                <w:rFonts w:hint="eastAsia"/>
                <w:lang w:eastAsia="zh-CN"/>
              </w:rPr>
              <w:t>六、</w:t>
            </w:r>
            <w:r>
              <w:t>劳动定员</w:t>
            </w:r>
          </w:p>
          <w:p>
            <w:pPr>
              <w:ind w:firstLine="480"/>
              <w:rPr>
                <w:b/>
              </w:rPr>
            </w:pPr>
            <w:r>
              <w:t>本次改扩建新增劳动定员</w:t>
            </w:r>
            <w:r>
              <w:rPr>
                <w:rFonts w:hint="eastAsia"/>
              </w:rPr>
              <w:t>10</w:t>
            </w:r>
            <w:r>
              <w:t>人</w:t>
            </w:r>
            <w:r>
              <w:rPr>
                <w:rFonts w:hint="eastAsia"/>
              </w:rPr>
              <w:t>，</w:t>
            </w:r>
            <w:r>
              <w:t>每天生产8小时，1班制。全年生产300天</w:t>
            </w:r>
            <w:r>
              <w:rPr>
                <w:rFonts w:hint="eastAsia"/>
              </w:rPr>
              <w:t>，</w:t>
            </w:r>
            <w:r>
              <w:t>不提供住宿、餐饮。</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lang w:eastAsia="zh-CN"/>
              </w:rPr>
            </w:pPr>
            <w:r>
              <w:rPr>
                <w:rFonts w:hint="eastAsia"/>
                <w:lang w:eastAsia="zh-CN"/>
              </w:rPr>
              <w:t>七、水平衡</w:t>
            </w:r>
          </w:p>
          <w:p>
            <w:pPr>
              <w:ind w:firstLine="48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给水</w:t>
            </w:r>
          </w:p>
          <w:p>
            <w:pPr>
              <w:bidi w:val="0"/>
            </w:pPr>
            <w:r>
              <w:rPr>
                <w:rFonts w:hint="eastAsia"/>
              </w:rPr>
              <w:t>本项目用水为生活用水</w:t>
            </w:r>
            <w:r>
              <w:rPr>
                <w:rFonts w:hint="eastAsia"/>
                <w:lang w:val="en-US" w:eastAsia="zh-CN"/>
              </w:rPr>
              <w:t>，</w:t>
            </w:r>
            <w:r>
              <w:rPr>
                <w:rFonts w:hint="eastAsia"/>
              </w:rPr>
              <w:t>用水取自</w:t>
            </w:r>
            <w:r>
              <w:rPr>
                <w:rFonts w:hint="eastAsia"/>
                <w:lang w:val="en-US" w:eastAsia="zh-CN"/>
              </w:rPr>
              <w:t>城镇供水</w:t>
            </w:r>
            <w:r>
              <w:rPr>
                <w:rFonts w:hint="eastAsia"/>
              </w:rPr>
              <w:t>管网。</w:t>
            </w:r>
          </w:p>
          <w:p>
            <w:pPr>
              <w:bidi w:val="0"/>
              <w:rPr>
                <w:rFonts w:hint="default" w:ascii="Times New Roman" w:hAnsi="Times New Roman" w:eastAsia="宋体" w:cs="Times New Roman"/>
                <w:color w:val="auto"/>
                <w:kern w:val="2"/>
                <w:szCs w:val="24"/>
                <w:highlight w:val="none"/>
                <w:lang w:val="en-US" w:eastAsia="zh-CN" w:bidi="ar-SA"/>
              </w:rPr>
            </w:pPr>
            <w:r>
              <w:rPr>
                <w:rFonts w:hint="eastAsia"/>
                <w:lang w:val="en-US" w:eastAsia="zh-CN"/>
              </w:rPr>
              <w:t>拟建项目劳动定员10人，厂内不设食宿。参照《安徽省行业用水定额》（DB3</w:t>
            </w:r>
            <w:r>
              <w:rPr>
                <w:rFonts w:hint="default"/>
                <w:lang w:val="en-US" w:eastAsia="zh-CN"/>
              </w:rPr>
              <w:t>4/T 679-201</w:t>
            </w:r>
            <w:r>
              <w:rPr>
                <w:rFonts w:hint="eastAsia"/>
                <w:lang w:val="en-US" w:eastAsia="zh-CN"/>
              </w:rPr>
              <w:t>9</w:t>
            </w:r>
            <w:r>
              <w:rPr>
                <w:rFonts w:hint="default"/>
                <w:lang w:val="en-US" w:eastAsia="zh-CN"/>
              </w:rPr>
              <w:t>），人均生活用水量按照</w:t>
            </w:r>
            <w:r>
              <w:rPr>
                <w:rFonts w:hint="eastAsia"/>
                <w:lang w:val="en-US" w:eastAsia="zh-CN"/>
              </w:rPr>
              <w:t>6</w:t>
            </w:r>
            <w:r>
              <w:rPr>
                <w:rFonts w:hint="default"/>
                <w:lang w:val="en-US" w:eastAsia="zh-CN"/>
              </w:rPr>
              <w:t>0L/人</w:t>
            </w:r>
            <w:r>
              <w:rPr>
                <w:rFonts w:hint="eastAsia"/>
                <w:lang w:val="en-US" w:eastAsia="zh-CN"/>
              </w:rPr>
              <w:t>·</w:t>
            </w:r>
            <w:r>
              <w:rPr>
                <w:rFonts w:hint="default"/>
                <w:lang w:val="en-US" w:eastAsia="zh-CN"/>
              </w:rPr>
              <w:t>d计，</w:t>
            </w:r>
            <w:r>
              <w:rPr>
                <w:rFonts w:hint="default" w:ascii="Times New Roman" w:hAnsi="Times New Roman" w:eastAsia="宋体" w:cs="Times New Roman"/>
                <w:color w:val="auto"/>
                <w:kern w:val="2"/>
                <w:szCs w:val="24"/>
                <w:highlight w:val="none"/>
                <w:lang w:val="en-US" w:eastAsia="zh-CN" w:bidi="ar-SA"/>
              </w:rPr>
              <w:t>全年工作天数</w:t>
            </w:r>
            <w:r>
              <w:rPr>
                <w:rFonts w:hint="eastAsia" w:ascii="Times New Roman" w:hAnsi="Times New Roman" w:eastAsia="宋体" w:cs="Times New Roman"/>
                <w:color w:val="auto"/>
                <w:kern w:val="2"/>
                <w:szCs w:val="24"/>
                <w:highlight w:val="none"/>
                <w:lang w:val="en-US" w:eastAsia="zh-CN" w:bidi="ar-SA"/>
              </w:rPr>
              <w:t>300</w:t>
            </w:r>
            <w:r>
              <w:rPr>
                <w:rFonts w:hint="default" w:ascii="Times New Roman" w:hAnsi="Times New Roman" w:eastAsia="宋体" w:cs="Times New Roman"/>
                <w:color w:val="auto"/>
                <w:kern w:val="2"/>
                <w:szCs w:val="24"/>
                <w:highlight w:val="none"/>
                <w:lang w:val="en-US" w:eastAsia="zh-CN" w:bidi="ar-SA"/>
              </w:rPr>
              <w:t>天，用水量为</w:t>
            </w:r>
            <w:r>
              <w:rPr>
                <w:rFonts w:hint="eastAsia" w:ascii="Times New Roman" w:hAnsi="Times New Roman" w:cs="Times New Roman"/>
                <w:color w:val="auto"/>
                <w:kern w:val="2"/>
                <w:szCs w:val="24"/>
                <w:highlight w:val="none"/>
                <w:lang w:val="en-US" w:eastAsia="zh-CN" w:bidi="ar-SA"/>
              </w:rPr>
              <w:t>0.6</w:t>
            </w:r>
            <w:r>
              <w:rPr>
                <w:rFonts w:hint="eastAsia" w:ascii="Times New Roman" w:hAnsi="Times New Roman" w:eastAsia="宋体" w:cs="Times New Roman"/>
                <w:color w:val="auto"/>
                <w:kern w:val="2"/>
                <w:szCs w:val="24"/>
                <w:highlight w:val="none"/>
                <w:lang w:val="en-US" w:eastAsia="zh-CN" w:bidi="ar-SA"/>
              </w:rPr>
              <w:t>m</w:t>
            </w:r>
            <w:r>
              <w:rPr>
                <w:rFonts w:hint="eastAsia" w:ascii="Times New Roman" w:hAnsi="Times New Roman" w:eastAsia="宋体" w:cs="Times New Roman"/>
                <w:color w:val="auto"/>
                <w:kern w:val="2"/>
                <w:szCs w:val="24"/>
                <w:highlight w:val="none"/>
                <w:vertAlign w:val="superscript"/>
                <w:lang w:val="en-US" w:eastAsia="zh-CN" w:bidi="ar-SA"/>
              </w:rPr>
              <w:t>3</w:t>
            </w:r>
            <w:r>
              <w:rPr>
                <w:rFonts w:hint="default" w:ascii="Times New Roman" w:hAnsi="Times New Roman" w:eastAsia="宋体" w:cs="Times New Roman"/>
                <w:color w:val="auto"/>
                <w:kern w:val="2"/>
                <w:szCs w:val="24"/>
                <w:highlight w:val="none"/>
                <w:lang w:val="en-US" w:eastAsia="zh-CN" w:bidi="ar-SA"/>
              </w:rPr>
              <w:t>/d（</w:t>
            </w:r>
            <w:r>
              <w:rPr>
                <w:rFonts w:hint="eastAsia" w:ascii="Times New Roman" w:hAnsi="Times New Roman" w:cs="Times New Roman"/>
                <w:color w:val="auto"/>
                <w:kern w:val="2"/>
                <w:szCs w:val="24"/>
                <w:highlight w:val="none"/>
                <w:lang w:val="en-US" w:eastAsia="zh-CN" w:bidi="ar-SA"/>
              </w:rPr>
              <w:t>180</w:t>
            </w:r>
            <w:r>
              <w:rPr>
                <w:rFonts w:hint="eastAsia" w:ascii="Times New Roman" w:hAnsi="Times New Roman" w:eastAsia="宋体" w:cs="Times New Roman"/>
                <w:color w:val="auto"/>
                <w:kern w:val="2"/>
                <w:szCs w:val="24"/>
                <w:highlight w:val="none"/>
                <w:lang w:val="en-US" w:eastAsia="zh-CN" w:bidi="ar-SA"/>
              </w:rPr>
              <w:t>m</w:t>
            </w:r>
            <w:r>
              <w:rPr>
                <w:rFonts w:hint="eastAsia" w:ascii="Times New Roman" w:hAnsi="Times New Roman" w:eastAsia="宋体" w:cs="Times New Roman"/>
                <w:color w:val="auto"/>
                <w:kern w:val="2"/>
                <w:szCs w:val="24"/>
                <w:highlight w:val="none"/>
                <w:vertAlign w:val="superscript"/>
                <w:lang w:val="en-US" w:eastAsia="zh-CN" w:bidi="ar-SA"/>
              </w:rPr>
              <w:t>3</w:t>
            </w:r>
            <w:r>
              <w:rPr>
                <w:rFonts w:hint="default" w:ascii="Times New Roman" w:hAnsi="Times New Roman" w:eastAsia="宋体" w:cs="Times New Roman"/>
                <w:color w:val="auto"/>
                <w:kern w:val="2"/>
                <w:szCs w:val="24"/>
                <w:highlight w:val="none"/>
                <w:lang w:val="en-US" w:eastAsia="zh-CN" w:bidi="ar-SA"/>
              </w:rPr>
              <w:t>/a）；排</w:t>
            </w:r>
            <w:r>
              <w:rPr>
                <w:rFonts w:hint="default"/>
                <w:lang w:val="en-US" w:eastAsia="zh-CN"/>
              </w:rPr>
              <w:t>水系数以80%计算，废水产生</w:t>
            </w:r>
            <w:r>
              <w:rPr>
                <w:rFonts w:hint="default" w:ascii="Times New Roman" w:hAnsi="Times New Roman" w:eastAsia="宋体" w:cs="Times New Roman"/>
                <w:color w:val="auto"/>
                <w:kern w:val="2"/>
                <w:szCs w:val="24"/>
                <w:highlight w:val="none"/>
                <w:lang w:val="en-US" w:eastAsia="zh-CN" w:bidi="ar-SA"/>
              </w:rPr>
              <w:t>量为</w:t>
            </w:r>
            <w:r>
              <w:rPr>
                <w:rFonts w:hint="eastAsia" w:ascii="Times New Roman" w:hAnsi="Times New Roman" w:cs="Times New Roman"/>
                <w:color w:val="auto"/>
                <w:kern w:val="2"/>
                <w:szCs w:val="24"/>
                <w:highlight w:val="none"/>
                <w:lang w:val="en-US" w:eastAsia="zh-CN" w:bidi="ar-SA"/>
              </w:rPr>
              <w:t>0.48</w:t>
            </w:r>
            <w:r>
              <w:rPr>
                <w:rFonts w:hint="eastAsia" w:ascii="Times New Roman" w:hAnsi="Times New Roman" w:eastAsia="宋体" w:cs="Times New Roman"/>
                <w:color w:val="auto"/>
                <w:kern w:val="2"/>
                <w:szCs w:val="24"/>
                <w:highlight w:val="none"/>
                <w:lang w:val="en-US" w:eastAsia="zh-CN" w:bidi="ar-SA"/>
              </w:rPr>
              <w:t>m</w:t>
            </w:r>
            <w:r>
              <w:rPr>
                <w:rFonts w:hint="eastAsia" w:ascii="Times New Roman" w:hAnsi="Times New Roman" w:eastAsia="宋体" w:cs="Times New Roman"/>
                <w:color w:val="auto"/>
                <w:kern w:val="2"/>
                <w:szCs w:val="24"/>
                <w:highlight w:val="none"/>
                <w:vertAlign w:val="superscript"/>
                <w:lang w:val="en-US" w:eastAsia="zh-CN" w:bidi="ar-SA"/>
              </w:rPr>
              <w:t>3</w:t>
            </w:r>
            <w:r>
              <w:rPr>
                <w:rFonts w:hint="default" w:ascii="Times New Roman" w:hAnsi="Times New Roman" w:eastAsia="宋体" w:cs="Times New Roman"/>
                <w:color w:val="auto"/>
                <w:kern w:val="2"/>
                <w:szCs w:val="24"/>
                <w:highlight w:val="none"/>
                <w:lang w:val="en-US" w:eastAsia="zh-CN" w:bidi="ar-SA"/>
              </w:rPr>
              <w:t>/d（</w:t>
            </w:r>
            <w:r>
              <w:rPr>
                <w:rFonts w:hint="eastAsia" w:ascii="Times New Roman" w:hAnsi="Times New Roman" w:cs="Times New Roman"/>
                <w:color w:val="auto"/>
                <w:kern w:val="2"/>
                <w:szCs w:val="24"/>
                <w:highlight w:val="none"/>
                <w:lang w:val="en-US" w:eastAsia="zh-CN" w:bidi="ar-SA"/>
              </w:rPr>
              <w:t>144</w:t>
            </w:r>
            <w:r>
              <w:rPr>
                <w:rFonts w:hint="eastAsia" w:ascii="Times New Roman" w:hAnsi="Times New Roman" w:eastAsia="宋体" w:cs="Times New Roman"/>
                <w:color w:val="auto"/>
                <w:kern w:val="2"/>
                <w:szCs w:val="24"/>
                <w:highlight w:val="none"/>
                <w:lang w:val="en-US" w:eastAsia="zh-CN" w:bidi="ar-SA"/>
              </w:rPr>
              <w:t>m</w:t>
            </w:r>
            <w:r>
              <w:rPr>
                <w:rFonts w:hint="eastAsia" w:ascii="Times New Roman" w:hAnsi="Times New Roman" w:eastAsia="宋体" w:cs="Times New Roman"/>
                <w:color w:val="auto"/>
                <w:kern w:val="2"/>
                <w:szCs w:val="24"/>
                <w:highlight w:val="none"/>
                <w:vertAlign w:val="superscript"/>
                <w:lang w:val="en-US" w:eastAsia="zh-CN" w:bidi="ar-SA"/>
              </w:rPr>
              <w:t>3</w:t>
            </w:r>
            <w:r>
              <w:rPr>
                <w:rFonts w:hint="default" w:ascii="Times New Roman" w:hAnsi="Times New Roman" w:eastAsia="宋体" w:cs="Times New Roman"/>
                <w:color w:val="auto"/>
                <w:kern w:val="2"/>
                <w:szCs w:val="24"/>
                <w:highlight w:val="none"/>
                <w:lang w:val="en-US" w:eastAsia="zh-CN" w:bidi="ar-SA"/>
              </w:rPr>
              <w:t>/a）</w:t>
            </w:r>
            <w:r>
              <w:rPr>
                <w:rFonts w:hint="default"/>
                <w:color w:val="auto"/>
              </w:rPr>
              <w:t>。</w:t>
            </w:r>
            <w:r>
              <w:rPr>
                <w:rFonts w:hint="eastAsia" w:ascii="Times New Roman" w:hAnsi="Times New Roman" w:eastAsia="宋体" w:cs="Times New Roman"/>
                <w:color w:val="auto"/>
                <w:kern w:val="2"/>
                <w:szCs w:val="24"/>
                <w:highlight w:val="none"/>
                <w:lang w:val="en-US" w:eastAsia="zh-CN" w:bidi="ar-SA"/>
              </w:rPr>
              <w:t>废水中主要污染物为COD、BOD</w:t>
            </w:r>
            <w:r>
              <w:rPr>
                <w:rFonts w:hint="eastAsia" w:ascii="Times New Roman" w:hAnsi="Times New Roman" w:eastAsia="宋体" w:cs="Times New Roman"/>
                <w:color w:val="auto"/>
                <w:kern w:val="2"/>
                <w:szCs w:val="24"/>
                <w:highlight w:val="none"/>
                <w:vertAlign w:val="subscript"/>
                <w:lang w:val="en-US" w:eastAsia="zh-CN" w:bidi="ar-SA"/>
              </w:rPr>
              <w:t>5</w:t>
            </w:r>
            <w:r>
              <w:rPr>
                <w:rFonts w:hint="eastAsia" w:ascii="Times New Roman" w:hAnsi="Times New Roman" w:eastAsia="宋体" w:cs="Times New Roman"/>
                <w:color w:val="auto"/>
                <w:kern w:val="2"/>
                <w:szCs w:val="24"/>
                <w:highlight w:val="none"/>
                <w:lang w:val="en-US" w:eastAsia="zh-CN" w:bidi="ar-SA"/>
              </w:rPr>
              <w:t>、SS、</w:t>
            </w:r>
            <w:r>
              <w:rPr>
                <w:rFonts w:hint="default" w:ascii="Times New Roman" w:hAnsi="Times New Roman" w:cs="Times New Roman"/>
                <w:b w:val="0"/>
                <w:bCs w:val="0"/>
                <w:color w:val="auto"/>
                <w:szCs w:val="24"/>
              </w:rPr>
              <w:t>NH</w:t>
            </w:r>
            <w:r>
              <w:rPr>
                <w:rFonts w:hint="default" w:ascii="Times New Roman" w:hAnsi="Times New Roman" w:cs="Times New Roman"/>
                <w:b w:val="0"/>
                <w:bCs w:val="0"/>
                <w:color w:val="auto"/>
                <w:szCs w:val="24"/>
                <w:vertAlign w:val="subscript"/>
              </w:rPr>
              <w:t>3</w:t>
            </w:r>
            <w:r>
              <w:rPr>
                <w:rFonts w:hint="default" w:ascii="Times New Roman" w:hAnsi="Times New Roman" w:cs="Times New Roman"/>
                <w:b w:val="0"/>
                <w:bCs w:val="0"/>
                <w:color w:val="auto"/>
                <w:szCs w:val="24"/>
              </w:rPr>
              <w:t>-N</w:t>
            </w:r>
            <w:r>
              <w:rPr>
                <w:rFonts w:hint="eastAsia" w:ascii="Times New Roman" w:hAnsi="Times New Roman" w:eastAsia="宋体" w:cs="Times New Roman"/>
                <w:color w:val="auto"/>
                <w:kern w:val="2"/>
                <w:szCs w:val="24"/>
                <w:highlight w:val="none"/>
                <w:lang w:val="en-US" w:eastAsia="zh-CN" w:bidi="ar-SA"/>
              </w:rPr>
              <w:t>；</w:t>
            </w:r>
          </w:p>
          <w:p>
            <w:pPr>
              <w:ind w:firstLine="48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排水</w:t>
            </w:r>
          </w:p>
          <w:p>
            <w:pPr>
              <w:bidi w:val="0"/>
              <w:rPr>
                <w:rFonts w:hint="default"/>
                <w:color w:val="auto"/>
                <w:highlight w:val="none"/>
                <w:lang w:val="en-US"/>
              </w:rPr>
            </w:pPr>
            <w:r>
              <w:rPr>
                <w:rFonts w:hint="eastAsia"/>
                <w:color w:val="auto"/>
                <w:highlight w:val="none"/>
              </w:rPr>
              <w:t>本项目实行“雨污分流、清污分流”，雨水排入雨水管网；生活污水经安徽省泗县友前木片餐盒有限公司</w:t>
            </w:r>
            <w:r>
              <w:rPr>
                <w:rFonts w:hint="eastAsia"/>
                <w:color w:val="auto"/>
                <w:highlight w:val="none"/>
                <w:lang w:eastAsia="zh-CN"/>
              </w:rPr>
              <w:t>现有</w:t>
            </w:r>
            <w:r>
              <w:rPr>
                <w:rFonts w:hint="eastAsia"/>
                <w:color w:val="auto"/>
                <w:highlight w:val="none"/>
                <w:lang w:val="en-US" w:eastAsia="zh-CN"/>
              </w:rPr>
              <w:t>化粪池预处理后接管至大庄镇污水处理厂，</w:t>
            </w:r>
            <w:r>
              <w:rPr>
                <w:rFonts w:hint="eastAsia"/>
                <w:color w:val="auto"/>
                <w:lang w:val="en-US" w:eastAsia="zh-CN"/>
              </w:rPr>
              <w:t>经大庄镇污水处理厂深度处理达《城镇污水处理厂污染物排放标准》（GB18918-2002）中一级A标准后排入老濉河</w:t>
            </w:r>
            <w:r>
              <w:rPr>
                <w:rFonts w:hint="eastAsia" w:cs="Times New Roman"/>
                <w:color w:val="auto"/>
                <w:kern w:val="2"/>
                <w:sz w:val="24"/>
                <w:szCs w:val="22"/>
                <w:lang w:val="en-US" w:eastAsia="zh-CN" w:bidi="ar-SA"/>
              </w:rPr>
              <w:t>。</w:t>
            </w:r>
          </w:p>
          <w:p>
            <w:pPr>
              <w:ind w:firstLine="480"/>
              <w:rPr>
                <w:rFonts w:hint="eastAsia"/>
                <w:color w:val="auto"/>
                <w:highlight w:val="none"/>
                <w:lang w:eastAsia="zh-CN"/>
              </w:rPr>
            </w:pPr>
            <w:r>
              <w:rPr>
                <w:rFonts w:hint="eastAsia"/>
                <w:color w:val="auto"/>
                <w:highlight w:val="none"/>
              </w:rPr>
              <w:t>项目水平衡见</w:t>
            </w:r>
            <w:r>
              <w:rPr>
                <w:rFonts w:hint="eastAsia"/>
                <w:color w:val="auto"/>
                <w:highlight w:val="none"/>
                <w:lang w:eastAsia="zh-CN"/>
              </w:rPr>
              <w:t>下</w:t>
            </w:r>
            <w:r>
              <w:rPr>
                <w:rFonts w:hint="eastAsia"/>
                <w:color w:val="auto"/>
                <w:highlight w:val="none"/>
              </w:rPr>
              <w:t>图</w:t>
            </w:r>
            <w:r>
              <w:rPr>
                <w:rFonts w:hint="eastAsia"/>
                <w:color w:val="auto"/>
                <w:highlight w:val="none"/>
                <w:lang w:eastAsia="zh-CN"/>
              </w:rPr>
              <w:t>：</w:t>
            </w:r>
          </w:p>
          <w:p>
            <w:pPr>
              <w:ind w:left="0" w:leftChars="0" w:right="0" w:rightChars="0" w:firstLine="0" w:firstLineChars="0"/>
              <w:jc w:val="center"/>
              <w:rPr>
                <w:b/>
              </w:rPr>
            </w:pPr>
            <w:r>
              <w:rPr>
                <w:rFonts w:hint="eastAsia"/>
                <w:color w:val="auto"/>
                <w:highlight w:val="none"/>
                <w:lang w:eastAsia="zh-CN"/>
              </w:rPr>
              <w:object>
                <v:shape id="_x0000_i1026" o:spt="75" type="#_x0000_t75" style="height:86pt;width:364.7pt;" o:ole="t" filled="f" o:preferrelative="t" stroked="f" coordsize="21600,21600">
                  <v:path/>
                  <v:fill on="f" focussize="0,0"/>
                  <v:stroke on="f"/>
                  <v:imagedata r:id="rId13" cropleft="5243f" croptop="13822f" cropright="17584f" cropbottom="37483f" o:title=""/>
                  <o:lock v:ext="edit" aspectratio="t"/>
                  <w10:wrap type="none"/>
                  <w10:anchorlock/>
                </v:shape>
                <o:OLEObject Type="Embed" ProgID="Visio.Drawing.15" ShapeID="_x0000_i1026" DrawAspect="Content" ObjectID="_1468075726" r:id="rId12">
                  <o:LockedField>false</o:LockedField>
                </o:OLEObject>
              </w:object>
            </w:r>
          </w:p>
          <w:p>
            <w:pPr>
              <w:pStyle w:val="24"/>
              <w:bidi w:val="0"/>
            </w:pPr>
            <w:r>
              <w:t>图</w:t>
            </w:r>
            <w:r>
              <w:rPr>
                <w:rFonts w:hint="eastAsia"/>
                <w:lang w:val="en-US" w:eastAsia="zh-CN"/>
              </w:rPr>
              <w:t>2-3</w:t>
            </w:r>
            <w:r>
              <w:rPr>
                <w:rFonts w:hint="eastAsia"/>
              </w:rPr>
              <w:t xml:space="preserve"> </w:t>
            </w:r>
            <w:r>
              <w:t xml:space="preserve"> </w:t>
            </w:r>
            <w:r>
              <w:rPr>
                <w:rFonts w:hint="eastAsia"/>
                <w:lang w:eastAsia="zh-CN"/>
              </w:rPr>
              <w:t>本</w:t>
            </w:r>
            <w:r>
              <w:t>项目水平衡</w:t>
            </w:r>
            <w:r>
              <w:rPr>
                <w:rFonts w:hint="eastAsia"/>
              </w:rPr>
              <w:t xml:space="preserve"> </w:t>
            </w:r>
            <w:r>
              <w:t xml:space="preserve">  单位</w:t>
            </w:r>
            <w:r>
              <w:rPr>
                <w:rFonts w:hint="eastAsia"/>
              </w:rPr>
              <w:t>（t/d）</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textAlignment w:val="auto"/>
            </w:pPr>
            <w:r>
              <w:rPr>
                <w:rFonts w:hint="eastAsia"/>
                <w:lang w:eastAsia="zh-CN"/>
              </w:rPr>
              <w:t>八、</w:t>
            </w:r>
            <w:r>
              <w:rPr>
                <w:rFonts w:hint="eastAsia"/>
              </w:rPr>
              <w:t>厂区平面布置</w:t>
            </w:r>
          </w:p>
          <w:p>
            <w:pPr>
              <w:ind w:firstLine="480"/>
            </w:pPr>
            <w:r>
              <w:t>本次扩建项目位于</w:t>
            </w:r>
            <w:r>
              <w:rPr>
                <w:rFonts w:hint="eastAsia"/>
              </w:rPr>
              <w:t>租赁厂房，与</w:t>
            </w:r>
            <w:r>
              <w:t>安徽省泗县多多乐板业制造厂</w:t>
            </w:r>
            <w:r>
              <w:rPr>
                <w:rFonts w:hint="eastAsia"/>
              </w:rPr>
              <w:t>原有项目厂房直线距离为388m，租赁厂房原为</w:t>
            </w:r>
            <w:r>
              <w:rPr>
                <w:kern w:val="0"/>
                <w:lang w:bidi="ar"/>
              </w:rPr>
              <w:t>安徽省泗县友前木片餐盒有限公司</w:t>
            </w:r>
            <w:r>
              <w:rPr>
                <w:rFonts w:hint="eastAsia"/>
                <w:kern w:val="0"/>
                <w:lang w:bidi="ar"/>
              </w:rPr>
              <w:t>，主要从事竹木托盘、木片餐盒、一次性餐具加工销售及相关产品对外贸易经营。</w:t>
            </w:r>
            <w:r>
              <w:rPr>
                <w:kern w:val="0"/>
                <w:lang w:bidi="ar"/>
              </w:rPr>
              <w:t>受疫情影响，外贸企业</w:t>
            </w:r>
            <w:r>
              <w:rPr>
                <w:rFonts w:hint="eastAsia"/>
                <w:kern w:val="0"/>
                <w:lang w:bidi="ar"/>
              </w:rPr>
              <w:t>面临巨大</w:t>
            </w:r>
            <w:r>
              <w:rPr>
                <w:kern w:val="0"/>
                <w:lang w:bidi="ar"/>
              </w:rPr>
              <w:t>困难，</w:t>
            </w:r>
            <w:r>
              <w:rPr>
                <w:rFonts w:hint="eastAsia"/>
                <w:kern w:val="0"/>
                <w:lang w:bidi="ar"/>
              </w:rPr>
              <w:t>该企业将厂区建筑面积为</w:t>
            </w:r>
            <w:r>
              <w:rPr>
                <w:rFonts w:hint="eastAsia"/>
                <w:kern w:val="0"/>
                <w:lang w:val="en-US" w:eastAsia="zh-CN" w:bidi="ar"/>
              </w:rPr>
              <w:t>15</w:t>
            </w:r>
            <w:r>
              <w:rPr>
                <w:rFonts w:hint="eastAsia"/>
                <w:kern w:val="0"/>
                <w:lang w:bidi="ar"/>
              </w:rPr>
              <w:t>00</w:t>
            </w:r>
            <w:r>
              <w:rPr>
                <w:kern w:val="0"/>
                <w:lang w:bidi="ar"/>
              </w:rPr>
              <w:t>m</w:t>
            </w:r>
            <w:r>
              <w:rPr>
                <w:kern w:val="0"/>
                <w:vertAlign w:val="superscript"/>
                <w:lang w:bidi="ar"/>
              </w:rPr>
              <w:t>2</w:t>
            </w:r>
            <w:r>
              <w:rPr>
                <w:rFonts w:hint="eastAsia"/>
                <w:kern w:val="0"/>
                <w:lang w:bidi="ar"/>
              </w:rPr>
              <w:t>的现有厂房清空并转租给泗县多多乐板业制造厂。</w:t>
            </w:r>
            <w:r>
              <w:t>根据厂区地块条件，在满足生产、安全、卫生等要求的前提下，按照工程合理、因地制宜、充分利用等原则进行项目的总平面布置。本项目布置原则是：在建项目必须符合该项目生产的行业要求，满足生产的工艺要求，必须满足安全生产，符合消防规范。生产区与办公、生活区分离，物流与人流分离，供电、供水线路简捷，土地利用及投资合理，建筑物平面布局美观、大方，突出与环境协调。便于企业进一步发展。</w:t>
            </w:r>
          </w:p>
          <w:p>
            <w:pPr>
              <w:tabs>
                <w:tab w:val="left" w:pos="624"/>
              </w:tabs>
              <w:ind w:firstLine="480"/>
            </w:pPr>
            <w:r>
              <w:t>厂区在总平面布置上主要分两大区，即生产区</w:t>
            </w:r>
            <w:r>
              <w:rPr>
                <w:rFonts w:hint="eastAsia"/>
              </w:rPr>
              <w:t>和</w:t>
            </w:r>
            <w:r>
              <w:t>办公区。办公区布置在厂</w:t>
            </w:r>
            <w:r>
              <w:rPr>
                <w:rFonts w:hint="eastAsia"/>
              </w:rPr>
              <w:t>房北侧</w:t>
            </w:r>
            <w:r>
              <w:t>，生产区布置在厂</w:t>
            </w:r>
            <w:r>
              <w:rPr>
                <w:rFonts w:hint="eastAsia"/>
              </w:rPr>
              <w:t>房南侧</w:t>
            </w:r>
            <w:r>
              <w:t>，本项目出入口位于厂区</w:t>
            </w:r>
            <w:r>
              <w:rPr>
                <w:rFonts w:hint="eastAsia"/>
              </w:rPr>
              <w:t>北侧</w:t>
            </w:r>
            <w:r>
              <w:t>，厂区设有6米宽主干道环形布置，贯穿全厂连接生产车间，既有利生产，又利于防火疏散。</w:t>
            </w:r>
          </w:p>
          <w:p>
            <w:pPr>
              <w:pStyle w:val="12"/>
              <w:bidi w:val="0"/>
              <w:rPr>
                <w:rFonts w:hint="default"/>
                <w:lang w:eastAsia="zh-CN"/>
              </w:rPr>
            </w:pPr>
            <w:r>
              <w:rPr>
                <w:rFonts w:hint="eastAsia"/>
              </w:rPr>
              <w:t>项目厂区平面布置功能分区明确，工艺流程顺畅，做到了人货流动畅通，保证了人身安全和货物的畅通运输；厂房平面布置亦充分考虑到工程行业特点、安全间距、物料运输和防火需要，各装置区之间留有足够的安全间距，便于生产管理。因此项目的平面布置基本合理。</w:t>
            </w:r>
          </w:p>
          <w:p>
            <w:pPr>
              <w:bidi w:val="0"/>
              <w:rPr>
                <w:rFonts w:hint="default"/>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rPr>
            </w:pPr>
            <w:r>
              <w:rPr>
                <w:rFonts w:hint="default"/>
              </w:rPr>
              <w:t>工艺流程和产排污环节</w:t>
            </w:r>
          </w:p>
        </w:tc>
        <w:tc>
          <w:tcPr>
            <w:tcW w:w="8215" w:type="dxa"/>
            <w:noWrap w:val="0"/>
            <w:vAlign w:val="top"/>
          </w:tcPr>
          <w:p>
            <w:pPr>
              <w:pStyle w:val="2"/>
              <w:spacing w:before="0" w:beforeLines="0" w:after="0" w:afterLines="0"/>
              <w:rPr>
                <w:sz w:val="28"/>
                <w:szCs w:val="28"/>
              </w:rPr>
            </w:pPr>
            <w:r>
              <w:rPr>
                <w:rFonts w:hint="eastAsia"/>
                <w:sz w:val="28"/>
                <w:szCs w:val="28"/>
              </w:rPr>
              <w:t>2.2.1工艺流程：</w:t>
            </w:r>
          </w:p>
          <w:p>
            <w:pPr>
              <w:ind w:left="0" w:leftChars="0" w:right="0" w:rightChars="0" w:firstLine="0" w:firstLineChars="0"/>
              <w:jc w:val="center"/>
            </w:pPr>
            <w:r>
              <w:object>
                <v:shape id="_x0000_i1027" o:spt="75" type="#_x0000_t75" style="height:376.15pt;width:309.75pt;" o:ole="t" filled="f" o:preferrelative="t" stroked="f" coordsize="21600,21600">
                  <v:path/>
                  <v:fill on="f" focussize="0,0"/>
                  <v:stroke on="f"/>
                  <v:imagedata r:id="rId15" cropleft="13070f" croptop="1208f" cropright="13240f" cropbottom="-5731f" o:title=""/>
                  <o:lock v:ext="edit" aspectratio="t"/>
                  <w10:wrap type="none"/>
                  <w10:anchorlock/>
                </v:shape>
                <o:OLEObject Type="Embed" ProgID="Visio.Drawing.11" ShapeID="_x0000_i1027" DrawAspect="Content" ObjectID="_1468075727" r:id="rId14">
                  <o:LockedField>false</o:LockedField>
                </o:OLEObject>
              </w:object>
            </w:r>
          </w:p>
          <w:p>
            <w:pPr>
              <w:ind w:left="0" w:leftChars="0" w:right="0" w:rightChars="0" w:firstLine="0" w:firstLineChars="0"/>
              <w:jc w:val="center"/>
            </w:pPr>
            <w:r>
              <w:rPr>
                <w:rStyle w:val="27"/>
              </w:rPr>
              <w:t>图2</w:t>
            </w:r>
            <w:r>
              <w:rPr>
                <w:rStyle w:val="27"/>
                <w:rFonts w:hint="eastAsia"/>
                <w:lang w:val="en-US"/>
              </w:rPr>
              <w:t xml:space="preserve">-4 </w:t>
            </w:r>
            <w:r>
              <w:rPr>
                <w:rStyle w:val="27"/>
              </w:rPr>
              <w:t xml:space="preserve"> 工艺流程图</w:t>
            </w:r>
          </w:p>
          <w:p>
            <w:pPr>
              <w:ind w:firstLine="480"/>
            </w:pPr>
            <w:r>
              <w:rPr>
                <w:rFonts w:hint="eastAsia"/>
                <w:kern w:val="0"/>
                <w:lang w:bidi="ar"/>
              </w:rPr>
              <w:t>1</w:t>
            </w:r>
            <w:r>
              <w:rPr>
                <w:rFonts w:hint="eastAsia" w:ascii="宋体" w:hAnsi="宋体" w:cs="宋体"/>
                <w:kern w:val="0"/>
                <w:lang w:bidi="ar"/>
              </w:rPr>
              <w:t>）底漆喷涂</w:t>
            </w:r>
          </w:p>
          <w:p>
            <w:pPr>
              <w:ind w:firstLine="480"/>
              <w:rPr>
                <w:kern w:val="0"/>
                <w:lang w:bidi="ar"/>
              </w:rPr>
            </w:pPr>
            <w:r>
              <w:rPr>
                <w:rFonts w:hint="eastAsia"/>
                <w:szCs w:val="22"/>
              </w:rPr>
              <w:t>本项目设置智能喷漆生产线</w:t>
            </w:r>
            <w:r>
              <w:rPr>
                <w:szCs w:val="22"/>
              </w:rPr>
              <w:t>1</w:t>
            </w:r>
            <w:r>
              <w:rPr>
                <w:rFonts w:hint="eastAsia"/>
                <w:szCs w:val="22"/>
              </w:rPr>
              <w:t>条，由上料轨道、自动喷涂机、15m流平机、光固化机组成。喷底漆工序在喷漆房内进行，</w:t>
            </w:r>
            <w:r>
              <w:rPr>
                <w:rFonts w:hint="eastAsia" w:ascii="宋体" w:hAnsi="宋体" w:cs="宋体"/>
                <w:kern w:val="0"/>
                <w:lang w:bidi="ar"/>
              </w:rPr>
              <w:t>在自动输送轨道的带动下未喷漆的台板半成品进入密闭喷漆室，通过往复移动的自动喷枪下方，对工件表面进行喷涂，</w:t>
            </w:r>
            <w:r>
              <w:rPr>
                <w:rFonts w:hint="eastAsia"/>
                <w:szCs w:val="22"/>
              </w:rPr>
              <w:t>底漆干膜厚度约为40</w:t>
            </w:r>
            <w:r>
              <w:rPr>
                <w:szCs w:val="22"/>
              </w:rPr>
              <w:t>μm</w:t>
            </w:r>
            <w:r>
              <w:rPr>
                <w:rFonts w:hint="eastAsia"/>
                <w:szCs w:val="22"/>
              </w:rPr>
              <w:t>。</w:t>
            </w:r>
            <w:r>
              <w:rPr>
                <w:rFonts w:hint="eastAsia"/>
                <w:szCs w:val="22"/>
                <w:lang w:eastAsia="zh-CN"/>
              </w:rPr>
              <w:t>该</w:t>
            </w:r>
            <w:r>
              <w:rPr>
                <w:rFonts w:hint="eastAsia"/>
                <w:szCs w:val="22"/>
              </w:rPr>
              <w:t>过程产生废</w:t>
            </w:r>
            <w:r>
              <w:rPr>
                <w:rFonts w:hint="eastAsia"/>
                <w:szCs w:val="22"/>
                <w:lang w:eastAsia="zh-CN"/>
              </w:rPr>
              <w:t>漆渣</w:t>
            </w:r>
            <w:r>
              <w:rPr>
                <w:rFonts w:hint="eastAsia"/>
                <w:szCs w:val="22"/>
              </w:rPr>
              <w:t>，喷漆废气（漆雾和</w:t>
            </w:r>
            <w:r>
              <w:rPr>
                <w:rFonts w:hint="eastAsia"/>
              </w:rPr>
              <w:t>非甲烷总烃</w:t>
            </w:r>
            <w:r>
              <w:rPr>
                <w:rFonts w:hint="eastAsia"/>
                <w:szCs w:val="22"/>
              </w:rPr>
              <w:t>），废漆桶。</w:t>
            </w:r>
          </w:p>
          <w:p>
            <w:pPr>
              <w:bidi w:val="0"/>
            </w:pPr>
            <w:r>
              <w:rPr>
                <w:rFonts w:hint="eastAsia"/>
                <w:kern w:val="0"/>
                <w:lang w:bidi="ar"/>
              </w:rPr>
              <w:t>2</w:t>
            </w:r>
            <w:r>
              <w:rPr>
                <w:rFonts w:hint="eastAsia"/>
              </w:rPr>
              <w:t>）流平</w:t>
            </w:r>
          </w:p>
          <w:p>
            <w:pPr>
              <w:bidi w:val="0"/>
            </w:pPr>
            <w:r>
              <w:rPr>
                <w:rFonts w:hint="eastAsia"/>
              </w:rPr>
              <w:t>喷涂底漆后工件在自动输送轨道的带动下进入流平机进行轨道流平</w:t>
            </w:r>
            <w:r>
              <w:rPr>
                <w:rFonts w:hint="eastAsia"/>
                <w:lang w:eastAsia="zh-CN"/>
              </w:rPr>
              <w:t>，时间约</w:t>
            </w:r>
            <w:r>
              <w:rPr>
                <w:rFonts w:hint="eastAsia"/>
                <w:lang w:val="en-US" w:eastAsia="zh-CN"/>
              </w:rPr>
              <w:t>1min，该过程产生非甲烷总烃</w:t>
            </w:r>
            <w:r>
              <w:rPr>
                <w:rFonts w:hint="eastAsia"/>
              </w:rPr>
              <w:t>。</w:t>
            </w:r>
          </w:p>
          <w:p>
            <w:pPr>
              <w:ind w:firstLine="480"/>
              <w:rPr>
                <w:rFonts w:ascii="宋体" w:hAnsi="宋体" w:cs="宋体"/>
                <w:kern w:val="0"/>
                <w:lang w:bidi="ar"/>
              </w:rPr>
            </w:pPr>
            <w:r>
              <w:rPr>
                <w:rFonts w:hint="eastAsia"/>
                <w:kern w:val="0"/>
                <w:lang w:bidi="ar"/>
              </w:rPr>
              <w:t>3</w:t>
            </w:r>
            <w:r>
              <w:rPr>
                <w:rFonts w:hint="eastAsia" w:ascii="宋体" w:hAnsi="宋体" w:cs="宋体"/>
                <w:kern w:val="0"/>
                <w:lang w:bidi="ar"/>
              </w:rPr>
              <w:t>）光固化</w:t>
            </w:r>
          </w:p>
          <w:p>
            <w:pPr>
              <w:ind w:firstLine="480"/>
            </w:pPr>
            <w:r>
              <w:rPr>
                <w:rFonts w:hint="eastAsia" w:ascii="宋体" w:hAnsi="宋体" w:cs="宋体"/>
                <w:kern w:val="0"/>
                <w:lang w:bidi="ar"/>
              </w:rPr>
              <w:t>流平后的产品进入光固化秒干机，即在紫外光的照射下促使引发剂分解，产生自由基，引发树酯反应，瞬间固化成膜</w:t>
            </w:r>
            <w:r>
              <w:rPr>
                <w:rFonts w:hint="eastAsia"/>
                <w:lang w:val="en-US" w:eastAsia="zh-CN"/>
              </w:rPr>
              <w:t>，该过程产生非甲烷总烃、废灯管</w:t>
            </w:r>
            <w:r>
              <w:rPr>
                <w:rFonts w:hint="eastAsia" w:ascii="宋体" w:hAnsi="宋体" w:cs="宋体"/>
                <w:kern w:val="0"/>
                <w:lang w:bidi="ar"/>
              </w:rPr>
              <w:t>。</w:t>
            </w:r>
          </w:p>
          <w:p>
            <w:pPr>
              <w:ind w:firstLine="480"/>
              <w:rPr>
                <w:rFonts w:ascii="宋体" w:hAnsi="宋体" w:cs="宋体"/>
                <w:kern w:val="0"/>
                <w:lang w:bidi="ar"/>
              </w:rPr>
            </w:pPr>
            <w:r>
              <w:rPr>
                <w:rFonts w:hint="eastAsia"/>
                <w:kern w:val="0"/>
                <w:lang w:bidi="ar"/>
              </w:rPr>
              <w:t>4</w:t>
            </w:r>
            <w:r>
              <w:rPr>
                <w:rFonts w:hint="eastAsia" w:ascii="宋体" w:hAnsi="宋体" w:cs="宋体"/>
                <w:kern w:val="0"/>
                <w:lang w:bidi="ar"/>
              </w:rPr>
              <w:t>）打磨</w:t>
            </w:r>
          </w:p>
          <w:p>
            <w:pPr>
              <w:ind w:firstLine="480"/>
              <w:rPr>
                <w:rFonts w:ascii="宋体" w:hAnsi="宋体" w:cs="宋体"/>
                <w:kern w:val="0"/>
                <w:lang w:bidi="ar"/>
              </w:rPr>
            </w:pPr>
            <w:r>
              <w:rPr>
                <w:rFonts w:hint="eastAsia" w:ascii="宋体" w:hAnsi="宋体" w:cs="宋体"/>
                <w:kern w:val="0"/>
                <w:lang w:bidi="ar"/>
              </w:rPr>
              <w:t>底漆固化成膜后，需要经过砂光机进行打磨处理，提升板面的平整度和光洁度，确保喷涂面漆工序的产品质量。</w:t>
            </w:r>
            <w:r>
              <w:rPr>
                <w:rFonts w:hint="eastAsia" w:ascii="宋体" w:hAnsi="宋体" w:cs="宋体"/>
                <w:kern w:val="0"/>
                <w:lang w:eastAsia="zh-CN" w:bidi="ar"/>
              </w:rPr>
              <w:t>该</w:t>
            </w:r>
            <w:r>
              <w:rPr>
                <w:rFonts w:hint="eastAsia" w:ascii="宋体" w:hAnsi="宋体" w:cs="宋体"/>
                <w:kern w:val="0"/>
                <w:lang w:bidi="ar"/>
              </w:rPr>
              <w:t>过程会产生含漆粉尘。</w:t>
            </w:r>
          </w:p>
          <w:p>
            <w:pPr>
              <w:ind w:firstLine="480"/>
            </w:pPr>
            <w:r>
              <w:rPr>
                <w:rFonts w:hint="eastAsia"/>
                <w:kern w:val="0"/>
                <w:lang w:bidi="ar"/>
              </w:rPr>
              <w:t>5</w:t>
            </w:r>
            <w:r>
              <w:rPr>
                <w:rFonts w:hint="eastAsia" w:ascii="宋体" w:hAnsi="宋体" w:cs="宋体"/>
                <w:kern w:val="0"/>
                <w:lang w:bidi="ar"/>
              </w:rPr>
              <w:t>）面漆喷涂</w:t>
            </w:r>
          </w:p>
          <w:p>
            <w:pPr>
              <w:ind w:firstLine="480"/>
              <w:rPr>
                <w:kern w:val="0"/>
                <w:lang w:bidi="ar"/>
              </w:rPr>
            </w:pPr>
            <w:r>
              <w:rPr>
                <w:rFonts w:hint="eastAsia" w:ascii="宋体" w:hAnsi="宋体" w:cs="宋体"/>
                <w:kern w:val="0"/>
                <w:lang w:bidi="ar"/>
              </w:rPr>
              <w:t>面漆喷涂的工艺原理同底漆喷涂一样，本项目采用一道面漆喷涂。</w:t>
            </w:r>
            <w:r>
              <w:rPr>
                <w:rFonts w:hint="eastAsia" w:ascii="宋体" w:hAnsi="宋体" w:cs="宋体"/>
                <w:kern w:val="0"/>
                <w:lang w:eastAsia="zh-CN" w:bidi="ar"/>
              </w:rPr>
              <w:t>该</w:t>
            </w:r>
            <w:r>
              <w:rPr>
                <w:rFonts w:hint="eastAsia"/>
                <w:szCs w:val="22"/>
              </w:rPr>
              <w:t>过程产生废漆渣，喷漆废气（漆雾和</w:t>
            </w:r>
            <w:r>
              <w:rPr>
                <w:rFonts w:hint="eastAsia"/>
              </w:rPr>
              <w:t>非甲烷总烃</w:t>
            </w:r>
            <w:r>
              <w:rPr>
                <w:rFonts w:hint="eastAsia"/>
                <w:szCs w:val="22"/>
              </w:rPr>
              <w:t>），废漆桶。</w:t>
            </w:r>
          </w:p>
          <w:p>
            <w:pPr>
              <w:ind w:firstLine="480"/>
            </w:pPr>
            <w:r>
              <w:rPr>
                <w:rFonts w:hint="eastAsia"/>
                <w:kern w:val="0"/>
                <w:lang w:bidi="ar"/>
              </w:rPr>
              <w:t>6</w:t>
            </w:r>
            <w:r>
              <w:rPr>
                <w:rFonts w:hint="eastAsia" w:ascii="宋体" w:hAnsi="宋体" w:cs="宋体"/>
                <w:kern w:val="0"/>
                <w:lang w:bidi="ar"/>
              </w:rPr>
              <w:t>）流平</w:t>
            </w:r>
          </w:p>
          <w:p>
            <w:pPr>
              <w:ind w:left="547" w:leftChars="228" w:firstLine="0" w:firstLineChars="0"/>
              <w:rPr>
                <w:rFonts w:ascii="宋体" w:hAnsi="宋体" w:cs="宋体"/>
                <w:kern w:val="0"/>
                <w:lang w:bidi="ar"/>
              </w:rPr>
            </w:pPr>
            <w:r>
              <w:rPr>
                <w:rFonts w:hint="eastAsia" w:ascii="宋体" w:hAnsi="宋体" w:cs="宋体"/>
                <w:kern w:val="0"/>
                <w:lang w:bidi="ar"/>
              </w:rPr>
              <w:t>喷涂面漆后工件在自动输送轨道的带动下进入流平机进行轨道流平</w:t>
            </w:r>
            <w:r>
              <w:rPr>
                <w:rFonts w:hint="eastAsia"/>
                <w:lang w:val="en-US" w:eastAsia="zh-CN"/>
              </w:rPr>
              <w:t>，该过程产生非甲烷总烃</w:t>
            </w:r>
            <w:r>
              <w:rPr>
                <w:rFonts w:hint="eastAsia" w:ascii="宋体" w:hAnsi="宋体" w:cs="宋体"/>
                <w:kern w:val="0"/>
                <w:lang w:bidi="ar"/>
              </w:rPr>
              <w:t>。</w:t>
            </w:r>
          </w:p>
          <w:p>
            <w:pPr>
              <w:ind w:left="547" w:leftChars="228" w:firstLine="0" w:firstLineChars="0"/>
            </w:pPr>
            <w:r>
              <w:rPr>
                <w:rFonts w:hint="eastAsia"/>
                <w:kern w:val="0"/>
                <w:lang w:bidi="ar"/>
              </w:rPr>
              <w:t>7</w:t>
            </w:r>
            <w:r>
              <w:rPr>
                <w:rFonts w:hint="eastAsia" w:ascii="宋体" w:hAnsi="宋体" w:cs="宋体"/>
                <w:kern w:val="0"/>
                <w:lang w:bidi="ar"/>
              </w:rPr>
              <w:t>）光固化</w:t>
            </w:r>
          </w:p>
          <w:p>
            <w:pPr>
              <w:ind w:firstLine="480"/>
              <w:rPr>
                <w:kern w:val="0"/>
                <w:lang w:bidi="ar"/>
              </w:rPr>
            </w:pPr>
            <w:r>
              <w:rPr>
                <w:rFonts w:hint="eastAsia" w:ascii="宋体" w:hAnsi="宋体" w:cs="宋体"/>
                <w:kern w:val="0"/>
                <w:lang w:bidi="ar"/>
              </w:rPr>
              <w:t>喷完面漆经流平后的产品进入</w:t>
            </w:r>
            <w:r>
              <w:rPr>
                <w:rFonts w:hint="eastAsia"/>
                <w:kern w:val="0"/>
                <w:lang w:bidi="ar"/>
              </w:rPr>
              <w:t>UV</w:t>
            </w:r>
            <w:r>
              <w:rPr>
                <w:rFonts w:hint="eastAsia" w:ascii="宋体" w:hAnsi="宋体" w:cs="宋体"/>
                <w:kern w:val="0"/>
                <w:lang w:bidi="ar"/>
              </w:rPr>
              <w:t>固化机，即在紫外光的照射下促使引发剂分解，产生自由基，引发树酯反应，瞬间固化成膜。</w:t>
            </w:r>
            <w:r>
              <w:rPr>
                <w:rFonts w:hint="eastAsia"/>
                <w:lang w:eastAsia="zh-CN"/>
              </w:rPr>
              <w:t>该过程</w:t>
            </w:r>
            <w:r>
              <w:rPr>
                <w:rFonts w:hint="eastAsia"/>
                <w:kern w:val="0"/>
                <w:lang w:bidi="ar"/>
              </w:rPr>
              <w:t>产生</w:t>
            </w:r>
            <w:r>
              <w:rPr>
                <w:rFonts w:hint="eastAsia"/>
                <w:kern w:val="0"/>
                <w:lang w:eastAsia="zh-CN" w:bidi="ar"/>
              </w:rPr>
              <w:t>非甲烷总烃、</w:t>
            </w:r>
            <w:r>
              <w:rPr>
                <w:rFonts w:hint="eastAsia"/>
                <w:kern w:val="0"/>
                <w:lang w:bidi="ar"/>
              </w:rPr>
              <w:t>废灯管。</w:t>
            </w:r>
          </w:p>
          <w:p>
            <w:pPr>
              <w:ind w:firstLine="480"/>
              <w:rPr>
                <w:rFonts w:ascii="宋体" w:hAnsi="宋体" w:cs="宋体"/>
                <w:kern w:val="0"/>
                <w:lang w:bidi="ar"/>
              </w:rPr>
            </w:pPr>
            <w:r>
              <w:rPr>
                <w:rFonts w:hint="eastAsia"/>
                <w:kern w:val="0"/>
                <w:lang w:bidi="ar"/>
              </w:rPr>
              <w:t>8</w:t>
            </w:r>
            <w:r>
              <w:rPr>
                <w:rFonts w:hint="eastAsia" w:ascii="宋体" w:hAnsi="宋体" w:cs="宋体"/>
                <w:kern w:val="0"/>
                <w:lang w:bidi="ar"/>
              </w:rPr>
              <w:t>）检验入库</w:t>
            </w:r>
          </w:p>
          <w:p>
            <w:pPr>
              <w:ind w:firstLine="480"/>
              <w:rPr>
                <w:rFonts w:ascii="宋体" w:hAnsi="宋体" w:cs="宋体"/>
                <w:kern w:val="0"/>
                <w:lang w:bidi="ar"/>
              </w:rPr>
            </w:pPr>
            <w:r>
              <w:rPr>
                <w:rFonts w:hint="eastAsia" w:ascii="宋体" w:hAnsi="宋体" w:cs="宋体"/>
                <w:kern w:val="0"/>
                <w:lang w:bidi="ar"/>
              </w:rPr>
              <w:t>最后经过自动线处理后的板材由轨道系统输出，由人工将板材摆放在货架上，送至检验区进行产品检查后入库。</w:t>
            </w:r>
          </w:p>
          <w:p>
            <w:pPr>
              <w:pStyle w:val="2"/>
              <w:spacing w:before="0" w:beforeLines="0" w:after="0" w:afterLines="0"/>
              <w:rPr>
                <w:sz w:val="28"/>
                <w:szCs w:val="28"/>
              </w:rPr>
            </w:pPr>
            <w:r>
              <w:rPr>
                <w:rFonts w:hint="eastAsia"/>
                <w:sz w:val="28"/>
                <w:szCs w:val="28"/>
              </w:rPr>
              <w:t>2.2.2产污环节</w:t>
            </w:r>
          </w:p>
          <w:p>
            <w:pPr>
              <w:ind w:firstLine="480"/>
            </w:pPr>
            <w:r>
              <w:t>废气</w:t>
            </w:r>
            <w:r>
              <w:rPr>
                <w:rFonts w:hint="eastAsia"/>
              </w:rPr>
              <w:t>：底漆喷涂工序产生的喷漆废气G</w:t>
            </w:r>
            <w:r>
              <w:t>1</w:t>
            </w:r>
            <w:r>
              <w:rPr>
                <w:rFonts w:hint="eastAsia"/>
              </w:rPr>
              <w:t>、</w:t>
            </w:r>
            <w:r>
              <w:rPr>
                <w:rFonts w:hint="eastAsia"/>
                <w:lang w:eastAsia="zh-CN"/>
              </w:rPr>
              <w:t>流平废气</w:t>
            </w:r>
            <w:r>
              <w:rPr>
                <w:rFonts w:hint="eastAsia"/>
                <w:lang w:val="en-US" w:eastAsia="zh-CN"/>
              </w:rPr>
              <w:t>G2、固化废气G3，</w:t>
            </w:r>
            <w:r>
              <w:rPr>
                <w:rFonts w:hint="eastAsia"/>
              </w:rPr>
              <w:t>打磨工序产生的含漆粉尘G</w:t>
            </w:r>
            <w:r>
              <w:rPr>
                <w:rFonts w:hint="eastAsia"/>
                <w:lang w:val="en-US" w:eastAsia="zh-CN"/>
              </w:rPr>
              <w:t>4</w:t>
            </w:r>
            <w:r>
              <w:rPr>
                <w:rFonts w:hint="eastAsia"/>
                <w:lang w:eastAsia="zh-CN"/>
              </w:rPr>
              <w:t>，</w:t>
            </w:r>
            <w:r>
              <w:rPr>
                <w:rFonts w:hint="eastAsia"/>
              </w:rPr>
              <w:t>面漆喷涂工序产生的喷漆废气G</w:t>
            </w:r>
            <w:r>
              <w:rPr>
                <w:rFonts w:hint="eastAsia"/>
                <w:lang w:val="en-US" w:eastAsia="zh-CN"/>
              </w:rPr>
              <w:t>5、流平废气G6、固化废气G7</w:t>
            </w:r>
            <w:r>
              <w:rPr>
                <w:rFonts w:hint="eastAsia"/>
              </w:rPr>
              <w:t>。</w:t>
            </w:r>
          </w:p>
          <w:p>
            <w:pPr>
              <w:ind w:firstLine="480"/>
            </w:pPr>
            <w:r>
              <w:t>废水</w:t>
            </w:r>
            <w:r>
              <w:rPr>
                <w:rFonts w:hint="eastAsia"/>
              </w:rPr>
              <w:t>：</w:t>
            </w:r>
            <w:r>
              <w:rPr>
                <w:rFonts w:hint="eastAsia"/>
                <w:lang w:eastAsia="zh-CN"/>
              </w:rPr>
              <w:t>员工办公产生的生活污水</w:t>
            </w:r>
            <w:r>
              <w:rPr>
                <w:rFonts w:hint="eastAsia"/>
              </w:rPr>
              <w:t>。</w:t>
            </w:r>
          </w:p>
          <w:p>
            <w:pPr>
              <w:ind w:firstLine="480"/>
            </w:pPr>
            <w:r>
              <w:rPr>
                <w:rFonts w:hint="eastAsia"/>
              </w:rPr>
              <w:t>固废|：底漆喷涂产生的废漆渣</w:t>
            </w:r>
            <w:r>
              <w:t>S1</w:t>
            </w:r>
            <w:r>
              <w:rPr>
                <w:rFonts w:hint="eastAsia"/>
              </w:rPr>
              <w:t>、废漆桶S2</w:t>
            </w:r>
            <w:r>
              <w:rPr>
                <w:rFonts w:hint="eastAsia"/>
                <w:lang w:eastAsia="zh-CN"/>
              </w:rPr>
              <w:t>，</w:t>
            </w:r>
            <w:r>
              <w:rPr>
                <w:rFonts w:hint="eastAsia"/>
              </w:rPr>
              <w:t>面漆喷涂产生的废漆渣S3、废漆桶S4</w:t>
            </w:r>
            <w:r>
              <w:rPr>
                <w:rFonts w:hint="eastAsia"/>
                <w:lang w:eastAsia="zh-CN"/>
              </w:rPr>
              <w:t>，</w:t>
            </w:r>
            <w:r>
              <w:rPr>
                <w:rFonts w:hint="eastAsia"/>
              </w:rPr>
              <w:t>光固化工序产生的废灯管。</w:t>
            </w:r>
          </w:p>
          <w:p>
            <w:pPr>
              <w:ind w:firstLine="480"/>
            </w:pPr>
            <w:r>
              <w:t>噪声</w:t>
            </w:r>
            <w:r>
              <w:rPr>
                <w:rFonts w:hint="eastAsia"/>
              </w:rPr>
              <w:t>：生产设备运行过程中产生的噪声。</w:t>
            </w:r>
          </w:p>
          <w:p>
            <w:pPr>
              <w:pStyle w:val="24"/>
              <w:bidi w:val="0"/>
            </w:pPr>
            <w:r>
              <w:rPr>
                <w:rFonts w:hint="eastAsia"/>
              </w:rPr>
              <w:t>表2-</w:t>
            </w:r>
            <w:r>
              <w:rPr>
                <w:rFonts w:hint="eastAsia"/>
                <w:lang w:val="en-US" w:eastAsia="zh-CN"/>
              </w:rPr>
              <w:t>9</w:t>
            </w:r>
            <w:r>
              <w:rPr>
                <w:rFonts w:hint="eastAsia"/>
              </w:rPr>
              <w:t xml:space="preserve">  </w:t>
            </w:r>
            <w:r>
              <w:t>项目</w:t>
            </w:r>
            <w:r>
              <w:rPr>
                <w:rFonts w:hint="eastAsia"/>
              </w:rPr>
              <w:t>运营期</w:t>
            </w:r>
            <w:r>
              <w:t>产污环节</w:t>
            </w:r>
            <w:r>
              <w:rPr>
                <w:rFonts w:hint="eastAsia"/>
              </w:rPr>
              <w:t>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3313"/>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Align w:val="center"/>
                </w:tcPr>
                <w:p>
                  <w:pPr>
                    <w:pStyle w:val="25"/>
                    <w:rPr>
                      <w:bCs/>
                    </w:rPr>
                  </w:pPr>
                  <w:r>
                    <w:rPr>
                      <w:bCs/>
                    </w:rPr>
                    <w:t>污染物</w:t>
                  </w:r>
                </w:p>
              </w:tc>
              <w:tc>
                <w:tcPr>
                  <w:tcW w:w="2074" w:type="pct"/>
                  <w:vAlign w:val="center"/>
                </w:tcPr>
                <w:p>
                  <w:pPr>
                    <w:pStyle w:val="25"/>
                    <w:rPr>
                      <w:bCs/>
                    </w:rPr>
                  </w:pPr>
                  <w:r>
                    <w:rPr>
                      <w:bCs/>
                    </w:rPr>
                    <w:t>污染源</w:t>
                  </w:r>
                </w:p>
              </w:tc>
              <w:tc>
                <w:tcPr>
                  <w:tcW w:w="2000" w:type="pct"/>
                  <w:vAlign w:val="center"/>
                </w:tcPr>
                <w:p>
                  <w:pPr>
                    <w:pStyle w:val="25"/>
                    <w:rPr>
                      <w:bCs/>
                    </w:rPr>
                  </w:pPr>
                  <w:r>
                    <w:rPr>
                      <w:bCs/>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restart"/>
                  <w:vAlign w:val="center"/>
                </w:tcPr>
                <w:p>
                  <w:pPr>
                    <w:pStyle w:val="25"/>
                    <w:rPr>
                      <w:bCs/>
                    </w:rPr>
                  </w:pPr>
                  <w:r>
                    <w:rPr>
                      <w:bCs/>
                    </w:rPr>
                    <w:t>废气</w:t>
                  </w:r>
                </w:p>
              </w:tc>
              <w:tc>
                <w:tcPr>
                  <w:tcW w:w="2074" w:type="pct"/>
                  <w:vAlign w:val="center"/>
                </w:tcPr>
                <w:p>
                  <w:pPr>
                    <w:pStyle w:val="25"/>
                    <w:rPr>
                      <w:bCs/>
                    </w:rPr>
                  </w:pPr>
                  <w:r>
                    <w:rPr>
                      <w:bCs/>
                    </w:rPr>
                    <w:t>底漆喷涂工序</w:t>
                  </w:r>
                </w:p>
              </w:tc>
              <w:tc>
                <w:tcPr>
                  <w:tcW w:w="2000" w:type="pct"/>
                  <w:vAlign w:val="center"/>
                </w:tcPr>
                <w:p>
                  <w:pPr>
                    <w:pStyle w:val="25"/>
                    <w:rPr>
                      <w:bCs/>
                    </w:rPr>
                  </w:pPr>
                  <w:r>
                    <w:rPr>
                      <w:bCs/>
                    </w:rPr>
                    <w:t>颗粒物、</w:t>
                  </w:r>
                  <w:r>
                    <w:rPr>
                      <w:rFonts w:hint="eastAsia"/>
                      <w:bCs/>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continue"/>
                  <w:vAlign w:val="center"/>
                </w:tcPr>
                <w:p>
                  <w:pPr>
                    <w:pStyle w:val="25"/>
                    <w:rPr>
                      <w:bCs/>
                    </w:rPr>
                  </w:pPr>
                </w:p>
              </w:tc>
              <w:tc>
                <w:tcPr>
                  <w:tcW w:w="2074" w:type="pct"/>
                  <w:vAlign w:val="center"/>
                </w:tcPr>
                <w:p>
                  <w:pPr>
                    <w:pStyle w:val="25"/>
                    <w:rPr>
                      <w:bCs/>
                    </w:rPr>
                  </w:pPr>
                  <w:r>
                    <w:rPr>
                      <w:bCs/>
                    </w:rPr>
                    <w:t>底漆</w:t>
                  </w:r>
                  <w:r>
                    <w:rPr>
                      <w:rFonts w:hint="eastAsia"/>
                      <w:bCs/>
                      <w:lang w:eastAsia="zh-CN"/>
                    </w:rPr>
                    <w:t>流平</w:t>
                  </w:r>
                  <w:r>
                    <w:rPr>
                      <w:bCs/>
                    </w:rPr>
                    <w:t>工序</w:t>
                  </w:r>
                </w:p>
              </w:tc>
              <w:tc>
                <w:tcPr>
                  <w:tcW w:w="2000" w:type="pct"/>
                  <w:vAlign w:val="center"/>
                </w:tcPr>
                <w:p>
                  <w:pPr>
                    <w:pStyle w:val="25"/>
                    <w:rPr>
                      <w:bCs/>
                    </w:rPr>
                  </w:pPr>
                  <w:r>
                    <w:rPr>
                      <w:rFonts w:hint="eastAsia"/>
                      <w:bCs/>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continue"/>
                  <w:vAlign w:val="center"/>
                </w:tcPr>
                <w:p>
                  <w:pPr>
                    <w:pStyle w:val="25"/>
                    <w:rPr>
                      <w:bCs/>
                    </w:rPr>
                  </w:pPr>
                </w:p>
              </w:tc>
              <w:tc>
                <w:tcPr>
                  <w:tcW w:w="2074" w:type="pct"/>
                  <w:vAlign w:val="center"/>
                </w:tcPr>
                <w:p>
                  <w:pPr>
                    <w:pStyle w:val="25"/>
                    <w:rPr>
                      <w:bCs/>
                    </w:rPr>
                  </w:pPr>
                  <w:r>
                    <w:rPr>
                      <w:bCs/>
                    </w:rPr>
                    <w:t>底漆</w:t>
                  </w:r>
                  <w:r>
                    <w:rPr>
                      <w:rFonts w:hint="eastAsia"/>
                      <w:bCs/>
                      <w:lang w:eastAsia="zh-CN"/>
                    </w:rPr>
                    <w:t>固化</w:t>
                  </w:r>
                  <w:r>
                    <w:rPr>
                      <w:bCs/>
                    </w:rPr>
                    <w:t>工序</w:t>
                  </w:r>
                </w:p>
              </w:tc>
              <w:tc>
                <w:tcPr>
                  <w:tcW w:w="2000" w:type="pct"/>
                  <w:vAlign w:val="center"/>
                </w:tcPr>
                <w:p>
                  <w:pPr>
                    <w:pStyle w:val="25"/>
                    <w:rPr>
                      <w:bCs/>
                    </w:rPr>
                  </w:pPr>
                  <w:r>
                    <w:rPr>
                      <w:rFonts w:hint="eastAsia"/>
                      <w:bCs/>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continue"/>
                  <w:vAlign w:val="center"/>
                </w:tcPr>
                <w:p>
                  <w:pPr>
                    <w:pStyle w:val="25"/>
                    <w:rPr>
                      <w:bCs/>
                    </w:rPr>
                  </w:pPr>
                </w:p>
              </w:tc>
              <w:tc>
                <w:tcPr>
                  <w:tcW w:w="2074" w:type="pct"/>
                  <w:vAlign w:val="center"/>
                </w:tcPr>
                <w:p>
                  <w:pPr>
                    <w:pStyle w:val="25"/>
                    <w:rPr>
                      <w:bCs/>
                    </w:rPr>
                  </w:pPr>
                  <w:r>
                    <w:rPr>
                      <w:bCs/>
                    </w:rPr>
                    <w:t>打磨工序</w:t>
                  </w:r>
                </w:p>
              </w:tc>
              <w:tc>
                <w:tcPr>
                  <w:tcW w:w="2000" w:type="pct"/>
                  <w:vAlign w:val="center"/>
                </w:tcPr>
                <w:p>
                  <w:pPr>
                    <w:pStyle w:val="25"/>
                    <w:rPr>
                      <w:bCs/>
                    </w:rPr>
                  </w:pPr>
                  <w:r>
                    <w:rPr>
                      <w:bCs/>
                    </w:rPr>
                    <w:t>含漆粉尘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continue"/>
                  <w:vAlign w:val="center"/>
                </w:tcPr>
                <w:p>
                  <w:pPr>
                    <w:pStyle w:val="25"/>
                    <w:rPr>
                      <w:bCs/>
                    </w:rPr>
                  </w:pPr>
                </w:p>
              </w:tc>
              <w:tc>
                <w:tcPr>
                  <w:tcW w:w="2074"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bCs/>
                    </w:rPr>
                    <w:t>面漆喷涂工序</w:t>
                  </w:r>
                </w:p>
              </w:tc>
              <w:tc>
                <w:tcPr>
                  <w:tcW w:w="2000"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bCs/>
                    </w:rPr>
                    <w:t>颗粒物、</w:t>
                  </w:r>
                  <w:r>
                    <w:rPr>
                      <w:rFonts w:hint="eastAsia"/>
                      <w:bCs/>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continue"/>
                  <w:vAlign w:val="center"/>
                </w:tcPr>
                <w:p>
                  <w:pPr>
                    <w:pStyle w:val="25"/>
                    <w:rPr>
                      <w:bCs/>
                    </w:rPr>
                  </w:pPr>
                </w:p>
              </w:tc>
              <w:tc>
                <w:tcPr>
                  <w:tcW w:w="2074"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rFonts w:hint="eastAsia"/>
                      <w:bCs/>
                      <w:lang w:eastAsia="zh-CN"/>
                    </w:rPr>
                    <w:t>面漆流平</w:t>
                  </w:r>
                  <w:r>
                    <w:rPr>
                      <w:bCs/>
                    </w:rPr>
                    <w:t>工序</w:t>
                  </w:r>
                </w:p>
              </w:tc>
              <w:tc>
                <w:tcPr>
                  <w:tcW w:w="2000" w:type="pct"/>
                  <w:vAlign w:val="center"/>
                </w:tcPr>
                <w:p>
                  <w:pPr>
                    <w:pStyle w:val="25"/>
                    <w:ind w:firstLine="0" w:firstLineChars="0"/>
                    <w:rPr>
                      <w:bCs/>
                    </w:rPr>
                  </w:pPr>
                  <w:r>
                    <w:rPr>
                      <w:rFonts w:hint="eastAsia"/>
                      <w:bCs/>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continue"/>
                  <w:vAlign w:val="center"/>
                </w:tcPr>
                <w:p>
                  <w:pPr>
                    <w:pStyle w:val="25"/>
                    <w:rPr>
                      <w:bCs/>
                    </w:rPr>
                  </w:pPr>
                </w:p>
              </w:tc>
              <w:tc>
                <w:tcPr>
                  <w:tcW w:w="2074"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rFonts w:hint="eastAsia"/>
                      <w:bCs/>
                      <w:lang w:eastAsia="zh-CN"/>
                    </w:rPr>
                    <w:t>面漆固化</w:t>
                  </w:r>
                  <w:r>
                    <w:rPr>
                      <w:bCs/>
                    </w:rPr>
                    <w:t>工序</w:t>
                  </w:r>
                </w:p>
              </w:tc>
              <w:tc>
                <w:tcPr>
                  <w:tcW w:w="2000" w:type="pct"/>
                  <w:vAlign w:val="center"/>
                </w:tcPr>
                <w:p>
                  <w:pPr>
                    <w:pStyle w:val="25"/>
                    <w:rPr>
                      <w:bCs/>
                    </w:rPr>
                  </w:pPr>
                  <w:r>
                    <w:rPr>
                      <w:rFonts w:hint="eastAsia"/>
                      <w:bCs/>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Align w:val="center"/>
                </w:tcPr>
                <w:p>
                  <w:pPr>
                    <w:pStyle w:val="25"/>
                    <w:rPr>
                      <w:bCs/>
                    </w:rPr>
                  </w:pPr>
                  <w:r>
                    <w:rPr>
                      <w:bCs/>
                    </w:rPr>
                    <w:t>废水</w:t>
                  </w:r>
                </w:p>
              </w:tc>
              <w:tc>
                <w:tcPr>
                  <w:tcW w:w="2074" w:type="pct"/>
                  <w:vAlign w:val="center"/>
                </w:tcPr>
                <w:p>
                  <w:pPr>
                    <w:pStyle w:val="25"/>
                    <w:rPr>
                      <w:bCs/>
                    </w:rPr>
                  </w:pPr>
                  <w:r>
                    <w:rPr>
                      <w:bCs/>
                    </w:rPr>
                    <w:t>办公区</w:t>
                  </w:r>
                </w:p>
              </w:tc>
              <w:tc>
                <w:tcPr>
                  <w:tcW w:w="2000" w:type="pct"/>
                  <w:vAlign w:val="center"/>
                </w:tcPr>
                <w:p>
                  <w:pPr>
                    <w:pStyle w:val="25"/>
                    <w:rPr>
                      <w:bCs/>
                    </w:rPr>
                  </w:pPr>
                  <w:r>
                    <w:rPr>
                      <w:bCs/>
                    </w:rPr>
                    <w:t>COD、SS、NH</w:t>
                  </w:r>
                  <w:r>
                    <w:rPr>
                      <w:bCs/>
                      <w:vertAlign w:val="subscript"/>
                    </w:rPr>
                    <w:t>3</w:t>
                  </w:r>
                  <w:r>
                    <w:rPr>
                      <w:bCs/>
                    </w:rPr>
                    <w:t>-N、BOD</w:t>
                  </w:r>
                  <w:r>
                    <w:rPr>
                      <w:bCs/>
                      <w:vertAlign w:val="sub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restart"/>
                  <w:vAlign w:val="center"/>
                </w:tcPr>
                <w:p>
                  <w:pPr>
                    <w:pStyle w:val="25"/>
                    <w:rPr>
                      <w:bCs/>
                    </w:rPr>
                  </w:pPr>
                  <w:r>
                    <w:rPr>
                      <w:bCs/>
                    </w:rPr>
                    <w:t>固废</w:t>
                  </w:r>
                </w:p>
              </w:tc>
              <w:tc>
                <w:tcPr>
                  <w:tcW w:w="2074" w:type="pct"/>
                  <w:vAlign w:val="center"/>
                </w:tcPr>
                <w:p>
                  <w:pPr>
                    <w:pStyle w:val="25"/>
                    <w:rPr>
                      <w:bCs/>
                    </w:rPr>
                  </w:pPr>
                  <w:r>
                    <w:rPr>
                      <w:bCs/>
                    </w:rPr>
                    <w:t>底漆喷涂工序</w:t>
                  </w:r>
                </w:p>
              </w:tc>
              <w:tc>
                <w:tcPr>
                  <w:tcW w:w="2000" w:type="pct"/>
                  <w:vAlign w:val="center"/>
                </w:tcPr>
                <w:p>
                  <w:pPr>
                    <w:pStyle w:val="25"/>
                    <w:rPr>
                      <w:bCs/>
                    </w:rPr>
                  </w:pPr>
                  <w:r>
                    <w:rPr>
                      <w:rFonts w:hint="eastAsia"/>
                      <w:bCs/>
                    </w:rPr>
                    <w:t>废漆渣、废漆桶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continue"/>
                  <w:vAlign w:val="center"/>
                </w:tcPr>
                <w:p>
                  <w:pPr>
                    <w:pStyle w:val="25"/>
                    <w:rPr>
                      <w:bCs/>
                    </w:rPr>
                  </w:pPr>
                </w:p>
              </w:tc>
              <w:tc>
                <w:tcPr>
                  <w:tcW w:w="2074" w:type="pct"/>
                  <w:vAlign w:val="center"/>
                </w:tcPr>
                <w:p>
                  <w:pPr>
                    <w:pStyle w:val="25"/>
                    <w:rPr>
                      <w:bCs/>
                    </w:rPr>
                  </w:pPr>
                  <w:r>
                    <w:rPr>
                      <w:bCs/>
                    </w:rPr>
                    <w:t>面漆喷涂工序</w:t>
                  </w:r>
                </w:p>
              </w:tc>
              <w:tc>
                <w:tcPr>
                  <w:tcW w:w="2000" w:type="pct"/>
                  <w:vAlign w:val="center"/>
                </w:tcPr>
                <w:p>
                  <w:pPr>
                    <w:pStyle w:val="25"/>
                    <w:rPr>
                      <w:bCs/>
                    </w:rPr>
                  </w:pPr>
                  <w:r>
                    <w:rPr>
                      <w:rFonts w:hint="eastAsia"/>
                      <w:bCs/>
                    </w:rPr>
                    <w:t>废漆渣、废漆桶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continue"/>
                  <w:vAlign w:val="center"/>
                </w:tcPr>
                <w:p>
                  <w:pPr>
                    <w:pStyle w:val="25"/>
                    <w:rPr>
                      <w:bCs/>
                    </w:rPr>
                  </w:pPr>
                </w:p>
              </w:tc>
              <w:tc>
                <w:tcPr>
                  <w:tcW w:w="2074" w:type="pct"/>
                  <w:vAlign w:val="center"/>
                </w:tcPr>
                <w:p>
                  <w:pPr>
                    <w:pStyle w:val="25"/>
                    <w:ind w:firstLine="0" w:firstLineChars="0"/>
                    <w:rPr>
                      <w:rFonts w:ascii="Times New Roman" w:hAnsi="Times New Roman" w:eastAsia="宋体" w:cs="Times New Roman"/>
                      <w:bCs/>
                      <w:kern w:val="2"/>
                      <w:sz w:val="21"/>
                      <w:szCs w:val="21"/>
                      <w:lang w:val="en-US" w:eastAsia="zh-CN" w:bidi="ar-SA"/>
                    </w:rPr>
                  </w:pPr>
                  <w:r>
                    <w:rPr>
                      <w:rFonts w:hint="eastAsia"/>
                      <w:bCs/>
                      <w:lang w:eastAsia="zh-CN"/>
                    </w:rPr>
                    <w:t>面漆</w:t>
                  </w:r>
                  <w:r>
                    <w:rPr>
                      <w:rFonts w:hint="eastAsia"/>
                      <w:bCs/>
                    </w:rPr>
                    <w:t>光固化</w:t>
                  </w:r>
                </w:p>
              </w:tc>
              <w:tc>
                <w:tcPr>
                  <w:tcW w:w="2000" w:type="pct"/>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rPr>
                    <w:t>废灯管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continue"/>
                  <w:vAlign w:val="center"/>
                </w:tcPr>
                <w:p>
                  <w:pPr>
                    <w:pStyle w:val="25"/>
                    <w:rPr>
                      <w:bCs/>
                    </w:rPr>
                  </w:pPr>
                </w:p>
              </w:tc>
              <w:tc>
                <w:tcPr>
                  <w:tcW w:w="2074" w:type="pct"/>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lang w:eastAsia="zh-CN"/>
                    </w:rPr>
                    <w:t>底漆</w:t>
                  </w:r>
                  <w:r>
                    <w:rPr>
                      <w:rFonts w:hint="eastAsia"/>
                      <w:bCs/>
                    </w:rPr>
                    <w:t>光固化</w:t>
                  </w:r>
                </w:p>
              </w:tc>
              <w:tc>
                <w:tcPr>
                  <w:tcW w:w="2000" w:type="pct"/>
                  <w:vAlign w:val="center"/>
                </w:tcPr>
                <w:p>
                  <w:pPr>
                    <w:pStyle w:val="25"/>
                    <w:ind w:firstLine="0" w:firstLineChars="0"/>
                    <w:rPr>
                      <w:rFonts w:hint="eastAsia" w:ascii="Times New Roman" w:hAnsi="Times New Roman" w:eastAsia="宋体" w:cs="Times New Roman"/>
                      <w:bCs/>
                      <w:kern w:val="2"/>
                      <w:sz w:val="21"/>
                      <w:szCs w:val="21"/>
                      <w:lang w:val="en-US" w:eastAsia="zh-CN" w:bidi="ar-SA"/>
                    </w:rPr>
                  </w:pPr>
                  <w:r>
                    <w:rPr>
                      <w:rFonts w:hint="eastAsia"/>
                      <w:bCs/>
                    </w:rPr>
                    <w:t>废灯管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Merge w:val="continue"/>
                  <w:vAlign w:val="center"/>
                </w:tcPr>
                <w:p>
                  <w:pPr>
                    <w:pStyle w:val="25"/>
                    <w:rPr>
                      <w:bCs/>
                    </w:rPr>
                  </w:pPr>
                </w:p>
              </w:tc>
              <w:tc>
                <w:tcPr>
                  <w:tcW w:w="2074" w:type="pct"/>
                  <w:vAlign w:val="center"/>
                </w:tcPr>
                <w:p>
                  <w:pPr>
                    <w:pStyle w:val="25"/>
                    <w:rPr>
                      <w:rFonts w:hint="eastAsia" w:eastAsia="宋体"/>
                      <w:bCs/>
                      <w:lang w:eastAsia="zh-CN"/>
                    </w:rPr>
                  </w:pPr>
                  <w:r>
                    <w:rPr>
                      <w:rFonts w:hint="eastAsia"/>
                      <w:bCs/>
                      <w:lang w:eastAsia="zh-CN"/>
                    </w:rPr>
                    <w:t>废气处理</w:t>
                  </w:r>
                </w:p>
              </w:tc>
              <w:tc>
                <w:tcPr>
                  <w:tcW w:w="2000" w:type="pct"/>
                  <w:vAlign w:val="center"/>
                </w:tcPr>
                <w:p>
                  <w:pPr>
                    <w:pStyle w:val="25"/>
                    <w:rPr>
                      <w:rFonts w:hint="eastAsia" w:eastAsia="宋体"/>
                      <w:bCs/>
                      <w:lang w:eastAsia="zh-CN"/>
                    </w:rPr>
                  </w:pPr>
                  <w:r>
                    <w:rPr>
                      <w:rFonts w:hint="eastAsia"/>
                      <w:bCs/>
                      <w:lang w:eastAsia="zh-CN"/>
                    </w:rPr>
                    <w:t>废活性炭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5" w:type="pct"/>
                  <w:vAlign w:val="center"/>
                </w:tcPr>
                <w:p>
                  <w:pPr>
                    <w:pStyle w:val="25"/>
                    <w:rPr>
                      <w:bCs/>
                    </w:rPr>
                  </w:pPr>
                  <w:r>
                    <w:rPr>
                      <w:rFonts w:hint="eastAsia"/>
                      <w:bCs/>
                    </w:rPr>
                    <w:t>噪声</w:t>
                  </w:r>
                </w:p>
              </w:tc>
              <w:tc>
                <w:tcPr>
                  <w:tcW w:w="2074" w:type="pct"/>
                  <w:vAlign w:val="center"/>
                </w:tcPr>
                <w:p>
                  <w:pPr>
                    <w:pStyle w:val="25"/>
                  </w:pPr>
                  <w:r>
                    <w:rPr>
                      <w:rFonts w:hint="eastAsia"/>
                    </w:rPr>
                    <w:t>生产设备</w:t>
                  </w:r>
                </w:p>
              </w:tc>
              <w:tc>
                <w:tcPr>
                  <w:tcW w:w="2000" w:type="pct"/>
                  <w:vAlign w:val="center"/>
                </w:tcPr>
                <w:p>
                  <w:pPr>
                    <w:pStyle w:val="25"/>
                  </w:pPr>
                  <w:r>
                    <w:rPr>
                      <w:rFonts w:hint="eastAsia"/>
                    </w:rPr>
                    <w:t>运行噪声</w:t>
                  </w:r>
                </w:p>
              </w:tc>
            </w:tr>
          </w:tbl>
          <w:p>
            <w:pPr>
              <w:pStyle w:val="24"/>
              <w:bidi w:val="0"/>
              <w:rPr>
                <w:rFonts w:hint="eastAsia"/>
              </w:rPr>
            </w:pPr>
          </w:p>
          <w:p>
            <w:pPr>
              <w:bidi w:val="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1" w:hRule="atLeast"/>
          <w:jc w:val="center"/>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rPr>
            </w:pPr>
            <w:r>
              <w:rPr>
                <w:rFonts w:hint="default"/>
              </w:rPr>
              <w:t>与项目有关的原有环境污染问题</w:t>
            </w:r>
          </w:p>
        </w:tc>
        <w:tc>
          <w:tcPr>
            <w:tcW w:w="8215" w:type="dxa"/>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rPr>
            </w:pPr>
            <w:r>
              <w:rPr>
                <w:rFonts w:hint="default"/>
              </w:rPr>
              <w:t>安徽省泗县友前木片餐盒有限公司主要从事竹木托盘、木片餐盒、一次性餐具加工销售及相关产品对外贸易经营。受疫情影响，外贸企业面临巨大困难，该企业决定将厂区的一间建筑面积为</w:t>
            </w:r>
            <w:r>
              <w:rPr>
                <w:rFonts w:hint="eastAsia"/>
                <w:lang w:val="en-US" w:eastAsia="zh-CN"/>
              </w:rPr>
              <w:t>15</w:t>
            </w:r>
            <w:r>
              <w:rPr>
                <w:rFonts w:hint="default"/>
              </w:rPr>
              <w:t>00m</w:t>
            </w:r>
            <w:r>
              <w:rPr>
                <w:rFonts w:hint="default"/>
                <w:vertAlign w:val="superscript"/>
              </w:rPr>
              <w:t>2</w:t>
            </w:r>
            <w:r>
              <w:rPr>
                <w:rFonts w:hint="default"/>
              </w:rPr>
              <w:t>的现有厂房清空并转租给泗县多多乐板业制造厂。经现场勘查，生产场地现为空置状态，故扩建项目地块不存在与本项目有关的原有污染情况及主要环境问题。</w:t>
            </w:r>
          </w:p>
        </w:tc>
      </w:tr>
    </w:tbl>
    <w:p>
      <w:pPr>
        <w:pStyle w:val="18"/>
        <w:jc w:val="center"/>
        <w:rPr>
          <w:rFonts w:ascii="黑体" w:hAnsi="黑体" w:eastAsia="黑体"/>
          <w:snapToGrid w:val="0"/>
          <w:sz w:val="36"/>
          <w:szCs w:val="36"/>
        </w:rPr>
        <w:sectPr>
          <w:pgSz w:w="11905" w:h="16838"/>
          <w:pgMar w:top="1440" w:right="1417" w:bottom="1440" w:left="1417" w:header="851" w:footer="850" w:gutter="0"/>
          <w:pgNumType w:fmt="decimal"/>
          <w:cols w:space="0" w:num="1"/>
          <w:rtlGutter w:val="0"/>
          <w:docGrid w:type="lines" w:linePitch="312" w:charSpace="0"/>
        </w:sectPr>
      </w:pPr>
    </w:p>
    <w:p>
      <w:pPr>
        <w:pStyle w:val="18"/>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2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区域</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环境</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质量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kern w:val="0"/>
                <w:szCs w:val="21"/>
              </w:rPr>
            </w:pPr>
            <w:r>
              <w:rPr>
                <w:rFonts w:hint="eastAsia" w:ascii="宋体" w:hAnsi="宋体" w:cs="宋体"/>
                <w:kern w:val="0"/>
                <w:szCs w:val="21"/>
              </w:rPr>
              <w:t>现状</w:t>
            </w:r>
          </w:p>
        </w:tc>
        <w:tc>
          <w:tcPr>
            <w:tcW w:w="8235" w:type="dxa"/>
            <w:noWrap w:val="0"/>
            <w:vAlign w:val="center"/>
          </w:tcPr>
          <w:p>
            <w:pPr>
              <w:bidi w:val="0"/>
              <w:rPr>
                <w:rFonts w:hint="default"/>
                <w:b/>
                <w:bCs/>
                <w:lang w:val="en-US" w:eastAsia="zh-CN"/>
              </w:rPr>
            </w:pPr>
            <w:r>
              <w:rPr>
                <w:rFonts w:hint="default"/>
                <w:b/>
                <w:bCs/>
              </w:rPr>
              <w:t>1、大气环境</w:t>
            </w:r>
          </w:p>
          <w:p>
            <w:pPr>
              <w:widowControl/>
              <w:spacing w:line="360" w:lineRule="auto"/>
              <w:ind w:firstLine="480" w:firstLineChars="200"/>
              <w:jc w:val="left"/>
              <w:rPr>
                <w:rFonts w:hint="eastAsia"/>
                <w:color w:val="auto"/>
                <w:sz w:val="24"/>
              </w:rPr>
            </w:pPr>
            <w:r>
              <w:rPr>
                <w:rFonts w:hint="eastAsia"/>
                <w:color w:val="auto"/>
                <w:sz w:val="24"/>
              </w:rPr>
              <w:t>根据宿州市生态环境局202</w:t>
            </w:r>
            <w:r>
              <w:rPr>
                <w:rFonts w:hint="eastAsia"/>
                <w:color w:val="auto"/>
                <w:sz w:val="24"/>
                <w:lang w:val="en-US" w:eastAsia="zh-CN"/>
              </w:rPr>
              <w:t>3</w:t>
            </w:r>
            <w:r>
              <w:rPr>
                <w:rFonts w:hint="eastAsia"/>
                <w:color w:val="auto"/>
                <w:sz w:val="24"/>
              </w:rPr>
              <w:t>年6月</w:t>
            </w:r>
            <w:r>
              <w:rPr>
                <w:rFonts w:hint="eastAsia"/>
                <w:color w:val="auto"/>
                <w:sz w:val="24"/>
                <w:lang w:val="en-US" w:eastAsia="zh-CN"/>
              </w:rPr>
              <w:t>2</w:t>
            </w:r>
            <w:r>
              <w:rPr>
                <w:rFonts w:hint="eastAsia"/>
                <w:color w:val="auto"/>
                <w:sz w:val="24"/>
              </w:rPr>
              <w:t>日发布的《宿州市202</w:t>
            </w:r>
            <w:r>
              <w:rPr>
                <w:rFonts w:hint="eastAsia"/>
                <w:color w:val="auto"/>
                <w:sz w:val="24"/>
                <w:lang w:val="en-US" w:eastAsia="zh-CN"/>
              </w:rPr>
              <w:t>2</w:t>
            </w:r>
            <w:r>
              <w:rPr>
                <w:rFonts w:hint="eastAsia"/>
                <w:color w:val="auto"/>
                <w:sz w:val="24"/>
              </w:rPr>
              <w:t>年环境质量状况报告》，宿州市2022年宿州市空气综合指数为3.95，同比改善1.7%；PM</w:t>
            </w:r>
            <w:r>
              <w:rPr>
                <w:rFonts w:hint="eastAsia"/>
                <w:color w:val="auto"/>
                <w:sz w:val="24"/>
                <w:vertAlign w:val="subscript"/>
              </w:rPr>
              <w:t>2.5</w:t>
            </w:r>
            <w:r>
              <w:rPr>
                <w:rFonts w:hint="eastAsia"/>
                <w:color w:val="auto"/>
                <w:sz w:val="24"/>
              </w:rPr>
              <w:t>年平均浓度为40微克/立方米，同比改善2.4%；全市空气优良天数比例为76.7%，优良天数比例改善率全省排名第5，全面完成年度考核任务。</w:t>
            </w:r>
          </w:p>
          <w:p>
            <w:pPr>
              <w:widowControl/>
              <w:spacing w:line="360" w:lineRule="auto"/>
              <w:ind w:firstLine="480" w:firstLineChars="200"/>
              <w:jc w:val="left"/>
              <w:rPr>
                <w:rFonts w:hint="eastAsia"/>
                <w:color w:val="auto"/>
              </w:rPr>
            </w:pPr>
            <w:r>
              <w:rPr>
                <w:rFonts w:hint="eastAsia"/>
                <w:color w:val="auto"/>
                <w:sz w:val="24"/>
              </w:rPr>
              <w:t>2023年1-4月，宿州市环境空气中主要污染物PM</w:t>
            </w:r>
            <w:r>
              <w:rPr>
                <w:rFonts w:hint="eastAsia"/>
                <w:color w:val="auto"/>
                <w:sz w:val="24"/>
                <w:vertAlign w:val="subscript"/>
              </w:rPr>
              <w:t>2.5</w:t>
            </w:r>
            <w:r>
              <w:rPr>
                <w:rFonts w:hint="eastAsia"/>
                <w:color w:val="auto"/>
                <w:sz w:val="24"/>
              </w:rPr>
              <w:t>平均浓度53微克/立方米，同比改善3.8%，全市空气优良天数比例为73.3%。宿州市202</w:t>
            </w:r>
            <w:r>
              <w:rPr>
                <w:rFonts w:hint="eastAsia"/>
                <w:color w:val="auto"/>
                <w:sz w:val="24"/>
                <w:lang w:val="en-US" w:eastAsia="zh-CN"/>
              </w:rPr>
              <w:t>2</w:t>
            </w:r>
            <w:r>
              <w:rPr>
                <w:rFonts w:hint="eastAsia"/>
                <w:color w:val="auto"/>
                <w:sz w:val="24"/>
              </w:rPr>
              <w:t>年环境空气质量基础污染物监测浓度见下表。</w:t>
            </w:r>
          </w:p>
          <w:p>
            <w:pPr>
              <w:pStyle w:val="24"/>
              <w:bidi w:val="0"/>
              <w:rPr>
                <w:rFonts w:hint="eastAsia"/>
              </w:rPr>
            </w:pPr>
            <w:r>
              <w:rPr>
                <w:rFonts w:hint="default"/>
                <w:lang w:val="en-US" w:eastAsia="zh-CN"/>
              </w:rPr>
              <w:t>表3</w:t>
            </w:r>
            <w:r>
              <w:rPr>
                <w:rFonts w:hint="eastAsia"/>
                <w:lang w:val="en-US" w:eastAsia="zh-CN"/>
              </w:rPr>
              <w:t>-1</w:t>
            </w:r>
            <w:r>
              <w:rPr>
                <w:rFonts w:hint="default"/>
                <w:lang w:val="en-US" w:eastAsia="zh-CN"/>
              </w:rPr>
              <w:t xml:space="preserve"> </w:t>
            </w:r>
            <w:r>
              <w:rPr>
                <w:rFonts w:hint="eastAsia"/>
                <w:lang w:val="en-US" w:eastAsia="zh-CN"/>
              </w:rPr>
              <w:t>大气环境质量现状监测点位及监测因子</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255"/>
              <w:gridCol w:w="1208"/>
              <w:gridCol w:w="1208"/>
              <w:gridCol w:w="1238"/>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pPr>
                    <w:pStyle w:val="25"/>
                    <w:bidi w:val="0"/>
                  </w:pPr>
                  <w:r>
                    <w:rPr>
                      <w:rFonts w:hint="eastAsia"/>
                    </w:rPr>
                    <w:t>污染物</w:t>
                  </w:r>
                </w:p>
              </w:tc>
              <w:tc>
                <w:tcPr>
                  <w:tcW w:w="1408" w:type="pct"/>
                  <w:vAlign w:val="center"/>
                </w:tcPr>
                <w:p>
                  <w:pPr>
                    <w:pStyle w:val="25"/>
                    <w:bidi w:val="0"/>
                  </w:pPr>
                  <w:r>
                    <w:rPr>
                      <w:rFonts w:hint="eastAsia"/>
                    </w:rPr>
                    <w:t>年评价指标</w:t>
                  </w:r>
                </w:p>
              </w:tc>
              <w:tc>
                <w:tcPr>
                  <w:tcW w:w="754" w:type="pct"/>
                  <w:vAlign w:val="center"/>
                </w:tcPr>
                <w:p>
                  <w:pPr>
                    <w:pStyle w:val="25"/>
                    <w:bidi w:val="0"/>
                  </w:pPr>
                  <w:r>
                    <w:rPr>
                      <w:rFonts w:hint="eastAsia"/>
                    </w:rPr>
                    <w:t>现状浓度（</w:t>
                  </w:r>
                  <w:r>
                    <w:rPr>
                      <w:rFonts w:hint="default"/>
                      <w:lang w:val="en-US" w:eastAsia="zh-CN"/>
                    </w:rPr>
                    <w:t>μ</w:t>
                  </w:r>
                  <w:r>
                    <w:rPr>
                      <w:rFonts w:hint="eastAsia"/>
                    </w:rPr>
                    <w:t>g/m</w:t>
                  </w:r>
                  <w:r>
                    <w:rPr>
                      <w:rFonts w:hint="eastAsia"/>
                      <w:vertAlign w:val="superscript"/>
                    </w:rPr>
                    <w:t>3</w:t>
                  </w:r>
                  <w:r>
                    <w:rPr>
                      <w:rFonts w:hint="eastAsia"/>
                    </w:rPr>
                    <w:t>）</w:t>
                  </w:r>
                </w:p>
              </w:tc>
              <w:tc>
                <w:tcPr>
                  <w:tcW w:w="754" w:type="pct"/>
                  <w:vAlign w:val="center"/>
                </w:tcPr>
                <w:p>
                  <w:pPr>
                    <w:pStyle w:val="25"/>
                    <w:bidi w:val="0"/>
                  </w:pPr>
                  <w:r>
                    <w:rPr>
                      <w:rFonts w:hint="eastAsia"/>
                    </w:rPr>
                    <w:t>标准值（</w:t>
                  </w:r>
                  <w:r>
                    <w:rPr>
                      <w:rFonts w:hint="default"/>
                    </w:rPr>
                    <w:t>μ</w:t>
                  </w:r>
                  <w:r>
                    <w:rPr>
                      <w:rFonts w:hint="eastAsia"/>
                    </w:rPr>
                    <w:t>g/m</w:t>
                  </w:r>
                  <w:r>
                    <w:rPr>
                      <w:rFonts w:hint="eastAsia"/>
                      <w:vertAlign w:val="superscript"/>
                    </w:rPr>
                    <w:t>3</w:t>
                  </w:r>
                  <w:r>
                    <w:rPr>
                      <w:rFonts w:hint="eastAsia"/>
                    </w:rPr>
                    <w:t>）</w:t>
                  </w:r>
                </w:p>
              </w:tc>
              <w:tc>
                <w:tcPr>
                  <w:tcW w:w="773" w:type="pct"/>
                  <w:vAlign w:val="center"/>
                </w:tcPr>
                <w:p>
                  <w:pPr>
                    <w:pStyle w:val="25"/>
                    <w:bidi w:val="0"/>
                  </w:pPr>
                  <w:r>
                    <w:rPr>
                      <w:rFonts w:hint="eastAsia"/>
                    </w:rPr>
                    <w:t>占标率%</w:t>
                  </w:r>
                </w:p>
              </w:tc>
              <w:tc>
                <w:tcPr>
                  <w:tcW w:w="687" w:type="pct"/>
                  <w:vAlign w:val="center"/>
                </w:tcPr>
                <w:p>
                  <w:pPr>
                    <w:pStyle w:val="25"/>
                    <w:bidi w:val="0"/>
                  </w:pPr>
                  <w:r>
                    <w:rPr>
                      <w:rFonts w:hint="eastAsi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pPr>
                    <w:pStyle w:val="25"/>
                    <w:bidi w:val="0"/>
                  </w:pPr>
                  <w:r>
                    <w:rPr>
                      <w:rFonts w:hint="eastAsia"/>
                    </w:rPr>
                    <w:t>SO</w:t>
                  </w:r>
                  <w:r>
                    <w:rPr>
                      <w:rFonts w:hint="eastAsia"/>
                      <w:vertAlign w:val="subscript"/>
                    </w:rPr>
                    <w:t>2</w:t>
                  </w:r>
                </w:p>
              </w:tc>
              <w:tc>
                <w:tcPr>
                  <w:tcW w:w="1408" w:type="pct"/>
                  <w:vAlign w:val="center"/>
                </w:tcPr>
                <w:p>
                  <w:pPr>
                    <w:pStyle w:val="25"/>
                    <w:bidi w:val="0"/>
                  </w:pPr>
                  <w:r>
                    <w:rPr>
                      <w:rFonts w:hint="eastAsia"/>
                    </w:rPr>
                    <w:t>年平均质量浓度</w:t>
                  </w:r>
                </w:p>
              </w:tc>
              <w:tc>
                <w:tcPr>
                  <w:tcW w:w="754" w:type="pct"/>
                  <w:vAlign w:val="center"/>
                </w:tcPr>
                <w:p>
                  <w:pPr>
                    <w:pStyle w:val="25"/>
                    <w:bidi w:val="0"/>
                    <w:rPr>
                      <w:rFonts w:hint="default"/>
                      <w:lang w:val="en-US" w:eastAsia="zh-CN"/>
                    </w:rPr>
                  </w:pPr>
                  <w:r>
                    <w:rPr>
                      <w:rFonts w:hint="eastAsia"/>
                      <w:lang w:val="en-US" w:eastAsia="zh-CN"/>
                    </w:rPr>
                    <w:t>4</w:t>
                  </w:r>
                </w:p>
              </w:tc>
              <w:tc>
                <w:tcPr>
                  <w:tcW w:w="754" w:type="pct"/>
                  <w:vAlign w:val="center"/>
                </w:tcPr>
                <w:p>
                  <w:pPr>
                    <w:pStyle w:val="25"/>
                    <w:bidi w:val="0"/>
                  </w:pPr>
                  <w:r>
                    <w:rPr>
                      <w:rFonts w:hint="eastAsia"/>
                    </w:rPr>
                    <w:t>60</w:t>
                  </w:r>
                </w:p>
              </w:tc>
              <w:tc>
                <w:tcPr>
                  <w:tcW w:w="773" w:type="pct"/>
                  <w:vAlign w:val="center"/>
                </w:tcPr>
                <w:p>
                  <w:pPr>
                    <w:pStyle w:val="25"/>
                    <w:bidi w:val="0"/>
                    <w:rPr>
                      <w:rFonts w:hint="default"/>
                      <w:lang w:val="en-US" w:eastAsia="zh-CN"/>
                    </w:rPr>
                  </w:pPr>
                  <w:r>
                    <w:rPr>
                      <w:rFonts w:hint="eastAsia"/>
                      <w:lang w:val="en-US" w:eastAsia="zh-CN"/>
                    </w:rPr>
                    <w:t>6.7</w:t>
                  </w:r>
                </w:p>
              </w:tc>
              <w:tc>
                <w:tcPr>
                  <w:tcW w:w="687" w:type="pct"/>
                  <w:vAlign w:val="center"/>
                </w:tcPr>
                <w:p>
                  <w:pPr>
                    <w:pStyle w:val="25"/>
                    <w:bidi w:val="0"/>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pPr>
                    <w:pStyle w:val="25"/>
                    <w:bidi w:val="0"/>
                  </w:pPr>
                  <w:r>
                    <w:rPr>
                      <w:rFonts w:hint="eastAsia"/>
                    </w:rPr>
                    <w:t>NO</w:t>
                  </w:r>
                  <w:r>
                    <w:rPr>
                      <w:rFonts w:hint="eastAsia"/>
                      <w:vertAlign w:val="subscript"/>
                    </w:rPr>
                    <w:t>2</w:t>
                  </w:r>
                </w:p>
              </w:tc>
              <w:tc>
                <w:tcPr>
                  <w:tcW w:w="1408" w:type="pct"/>
                  <w:vAlign w:val="center"/>
                </w:tcPr>
                <w:p>
                  <w:pPr>
                    <w:pStyle w:val="25"/>
                    <w:bidi w:val="0"/>
                  </w:pPr>
                  <w:r>
                    <w:rPr>
                      <w:rFonts w:hint="eastAsia"/>
                    </w:rPr>
                    <w:t>年平均质量浓度</w:t>
                  </w:r>
                </w:p>
              </w:tc>
              <w:tc>
                <w:tcPr>
                  <w:tcW w:w="754" w:type="pct"/>
                  <w:vAlign w:val="center"/>
                </w:tcPr>
                <w:p>
                  <w:pPr>
                    <w:pStyle w:val="25"/>
                    <w:bidi w:val="0"/>
                    <w:rPr>
                      <w:rFonts w:hint="default"/>
                      <w:lang w:val="en-US" w:eastAsia="zh-CN"/>
                    </w:rPr>
                  </w:pPr>
                  <w:r>
                    <w:rPr>
                      <w:rFonts w:hint="eastAsia"/>
                      <w:lang w:val="en-US" w:eastAsia="zh-CN"/>
                    </w:rPr>
                    <w:t>20</w:t>
                  </w:r>
                </w:p>
              </w:tc>
              <w:tc>
                <w:tcPr>
                  <w:tcW w:w="754" w:type="pct"/>
                  <w:vAlign w:val="center"/>
                </w:tcPr>
                <w:p>
                  <w:pPr>
                    <w:pStyle w:val="25"/>
                    <w:bidi w:val="0"/>
                  </w:pPr>
                  <w:r>
                    <w:rPr>
                      <w:rFonts w:hint="eastAsia"/>
                    </w:rPr>
                    <w:t>40</w:t>
                  </w:r>
                </w:p>
              </w:tc>
              <w:tc>
                <w:tcPr>
                  <w:tcW w:w="773" w:type="pct"/>
                  <w:vAlign w:val="center"/>
                </w:tcPr>
                <w:p>
                  <w:pPr>
                    <w:pStyle w:val="25"/>
                    <w:bidi w:val="0"/>
                    <w:rPr>
                      <w:rFonts w:hint="default"/>
                      <w:lang w:val="en-US" w:eastAsia="zh-CN"/>
                    </w:rPr>
                  </w:pPr>
                  <w:r>
                    <w:rPr>
                      <w:rFonts w:hint="eastAsia"/>
                      <w:lang w:val="en-US" w:eastAsia="zh-CN"/>
                    </w:rPr>
                    <w:t>50</w:t>
                  </w:r>
                </w:p>
              </w:tc>
              <w:tc>
                <w:tcPr>
                  <w:tcW w:w="687" w:type="pct"/>
                  <w:vAlign w:val="center"/>
                </w:tcPr>
                <w:p>
                  <w:pPr>
                    <w:pStyle w:val="25"/>
                    <w:bidi w:val="0"/>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pPr>
                    <w:pStyle w:val="25"/>
                    <w:bidi w:val="0"/>
                  </w:pPr>
                  <w:r>
                    <w:rPr>
                      <w:rFonts w:hint="eastAsia"/>
                    </w:rPr>
                    <w:t>PM</w:t>
                  </w:r>
                  <w:r>
                    <w:rPr>
                      <w:rFonts w:hint="eastAsia"/>
                      <w:vertAlign w:val="subscript"/>
                    </w:rPr>
                    <w:t>10</w:t>
                  </w:r>
                </w:p>
              </w:tc>
              <w:tc>
                <w:tcPr>
                  <w:tcW w:w="1408" w:type="pct"/>
                  <w:vAlign w:val="center"/>
                </w:tcPr>
                <w:p>
                  <w:pPr>
                    <w:pStyle w:val="25"/>
                    <w:bidi w:val="0"/>
                  </w:pPr>
                  <w:r>
                    <w:rPr>
                      <w:rFonts w:hint="eastAsia"/>
                    </w:rPr>
                    <w:t>年平均质量浓度</w:t>
                  </w:r>
                </w:p>
              </w:tc>
              <w:tc>
                <w:tcPr>
                  <w:tcW w:w="754" w:type="pct"/>
                  <w:vAlign w:val="center"/>
                </w:tcPr>
                <w:p>
                  <w:pPr>
                    <w:pStyle w:val="25"/>
                    <w:bidi w:val="0"/>
                    <w:rPr>
                      <w:rFonts w:hint="default"/>
                      <w:lang w:val="en-US" w:eastAsia="zh-CN"/>
                    </w:rPr>
                  </w:pPr>
                  <w:r>
                    <w:rPr>
                      <w:rFonts w:hint="eastAsia"/>
                      <w:lang w:val="en-US" w:eastAsia="zh-CN"/>
                    </w:rPr>
                    <w:t>70</w:t>
                  </w:r>
                </w:p>
              </w:tc>
              <w:tc>
                <w:tcPr>
                  <w:tcW w:w="754" w:type="pct"/>
                  <w:vAlign w:val="center"/>
                </w:tcPr>
                <w:p>
                  <w:pPr>
                    <w:pStyle w:val="25"/>
                    <w:bidi w:val="0"/>
                  </w:pPr>
                  <w:r>
                    <w:rPr>
                      <w:rFonts w:hint="eastAsia"/>
                    </w:rPr>
                    <w:t>70</w:t>
                  </w:r>
                </w:p>
              </w:tc>
              <w:tc>
                <w:tcPr>
                  <w:tcW w:w="773" w:type="pct"/>
                  <w:vAlign w:val="center"/>
                </w:tcPr>
                <w:p>
                  <w:pPr>
                    <w:pStyle w:val="25"/>
                    <w:bidi w:val="0"/>
                    <w:rPr>
                      <w:rFonts w:hint="default"/>
                      <w:lang w:val="en-US" w:eastAsia="zh-CN"/>
                    </w:rPr>
                  </w:pPr>
                  <w:r>
                    <w:rPr>
                      <w:rFonts w:hint="eastAsia"/>
                      <w:lang w:val="en-US" w:eastAsia="zh-CN"/>
                    </w:rPr>
                    <w:t>100</w:t>
                  </w:r>
                </w:p>
              </w:tc>
              <w:tc>
                <w:tcPr>
                  <w:tcW w:w="687" w:type="pct"/>
                  <w:vAlign w:val="center"/>
                </w:tcPr>
                <w:p>
                  <w:pPr>
                    <w:pStyle w:val="25"/>
                    <w:bidi w:val="0"/>
                  </w:pPr>
                  <w:r>
                    <w:rPr>
                      <w:rFonts w:hint="eastAsi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pPr>
                    <w:pStyle w:val="25"/>
                    <w:bidi w:val="0"/>
                  </w:pPr>
                  <w:r>
                    <w:rPr>
                      <w:rFonts w:hint="eastAsia"/>
                    </w:rPr>
                    <w:t>PM</w:t>
                  </w:r>
                  <w:r>
                    <w:rPr>
                      <w:rFonts w:hint="eastAsia"/>
                      <w:vertAlign w:val="subscript"/>
                    </w:rPr>
                    <w:t>2.5</w:t>
                  </w:r>
                </w:p>
              </w:tc>
              <w:tc>
                <w:tcPr>
                  <w:tcW w:w="1408" w:type="pct"/>
                  <w:vAlign w:val="center"/>
                </w:tcPr>
                <w:p>
                  <w:pPr>
                    <w:pStyle w:val="25"/>
                    <w:bidi w:val="0"/>
                  </w:pPr>
                  <w:r>
                    <w:rPr>
                      <w:rFonts w:hint="eastAsia"/>
                    </w:rPr>
                    <w:t>年平均质量浓度</w:t>
                  </w:r>
                </w:p>
              </w:tc>
              <w:tc>
                <w:tcPr>
                  <w:tcW w:w="754" w:type="pct"/>
                  <w:vAlign w:val="center"/>
                </w:tcPr>
                <w:p>
                  <w:pPr>
                    <w:pStyle w:val="25"/>
                    <w:bidi w:val="0"/>
                    <w:rPr>
                      <w:rFonts w:hint="default"/>
                      <w:lang w:val="en-US" w:eastAsia="zh-CN"/>
                    </w:rPr>
                  </w:pPr>
                  <w:r>
                    <w:rPr>
                      <w:rFonts w:hint="eastAsia"/>
                      <w:lang w:val="en-US" w:eastAsia="zh-CN"/>
                    </w:rPr>
                    <w:t>40</w:t>
                  </w:r>
                </w:p>
              </w:tc>
              <w:tc>
                <w:tcPr>
                  <w:tcW w:w="754" w:type="pct"/>
                  <w:vAlign w:val="center"/>
                </w:tcPr>
                <w:p>
                  <w:pPr>
                    <w:pStyle w:val="25"/>
                    <w:bidi w:val="0"/>
                  </w:pPr>
                  <w:r>
                    <w:rPr>
                      <w:rFonts w:hint="eastAsia"/>
                    </w:rPr>
                    <w:t>35</w:t>
                  </w:r>
                </w:p>
              </w:tc>
              <w:tc>
                <w:tcPr>
                  <w:tcW w:w="773" w:type="pct"/>
                  <w:vAlign w:val="center"/>
                </w:tcPr>
                <w:p>
                  <w:pPr>
                    <w:pStyle w:val="25"/>
                    <w:bidi w:val="0"/>
                    <w:rPr>
                      <w:rFonts w:hint="default"/>
                      <w:lang w:val="en-US" w:eastAsia="zh-CN"/>
                    </w:rPr>
                  </w:pPr>
                  <w:r>
                    <w:rPr>
                      <w:rFonts w:hint="eastAsia"/>
                      <w:lang w:val="en-US" w:eastAsia="zh-CN"/>
                    </w:rPr>
                    <w:t>114.3</w:t>
                  </w:r>
                </w:p>
              </w:tc>
              <w:tc>
                <w:tcPr>
                  <w:tcW w:w="687" w:type="pct"/>
                  <w:vAlign w:val="center"/>
                </w:tcPr>
                <w:p>
                  <w:pPr>
                    <w:pStyle w:val="25"/>
                    <w:bidi w:val="0"/>
                  </w:pPr>
                  <w:r>
                    <w:rPr>
                      <w:rFonts w:hint="eastAsi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pPr>
                    <w:pStyle w:val="25"/>
                    <w:bidi w:val="0"/>
                  </w:pPr>
                  <w:r>
                    <w:rPr>
                      <w:rFonts w:hint="eastAsia"/>
                    </w:rPr>
                    <w:t>CO</w:t>
                  </w:r>
                </w:p>
              </w:tc>
              <w:tc>
                <w:tcPr>
                  <w:tcW w:w="1408" w:type="pct"/>
                  <w:vAlign w:val="center"/>
                </w:tcPr>
                <w:p>
                  <w:pPr>
                    <w:pStyle w:val="25"/>
                    <w:bidi w:val="0"/>
                  </w:pPr>
                  <w:r>
                    <w:rPr>
                      <w:rFonts w:hint="eastAsia"/>
                    </w:rPr>
                    <w:t>24小时平均第95百分位数</w:t>
                  </w:r>
                </w:p>
              </w:tc>
              <w:tc>
                <w:tcPr>
                  <w:tcW w:w="754" w:type="pct"/>
                  <w:vAlign w:val="center"/>
                </w:tcPr>
                <w:p>
                  <w:pPr>
                    <w:pStyle w:val="25"/>
                    <w:bidi w:val="0"/>
                    <w:rPr>
                      <w:rFonts w:hint="default"/>
                      <w:lang w:val="en-US" w:eastAsia="zh-CN"/>
                    </w:rPr>
                  </w:pPr>
                  <w:r>
                    <w:rPr>
                      <w:rFonts w:hint="eastAsia"/>
                      <w:lang w:val="en-US" w:eastAsia="zh-CN"/>
                    </w:rPr>
                    <w:t>900</w:t>
                  </w:r>
                </w:p>
              </w:tc>
              <w:tc>
                <w:tcPr>
                  <w:tcW w:w="754" w:type="pct"/>
                  <w:vAlign w:val="center"/>
                </w:tcPr>
                <w:p>
                  <w:pPr>
                    <w:pStyle w:val="25"/>
                    <w:bidi w:val="0"/>
                  </w:pPr>
                  <w:r>
                    <w:rPr>
                      <w:rFonts w:hint="eastAsia"/>
                    </w:rPr>
                    <w:t>4000</w:t>
                  </w:r>
                </w:p>
              </w:tc>
              <w:tc>
                <w:tcPr>
                  <w:tcW w:w="773" w:type="pct"/>
                  <w:vAlign w:val="center"/>
                </w:tcPr>
                <w:p>
                  <w:pPr>
                    <w:pStyle w:val="25"/>
                    <w:bidi w:val="0"/>
                    <w:rPr>
                      <w:rFonts w:hint="default"/>
                      <w:lang w:val="en-US" w:eastAsia="zh-CN"/>
                    </w:rPr>
                  </w:pPr>
                  <w:r>
                    <w:rPr>
                      <w:rFonts w:hint="eastAsia"/>
                      <w:lang w:val="en-US" w:eastAsia="zh-CN"/>
                    </w:rPr>
                    <w:t>20</w:t>
                  </w:r>
                </w:p>
              </w:tc>
              <w:tc>
                <w:tcPr>
                  <w:tcW w:w="687" w:type="pct"/>
                  <w:vAlign w:val="center"/>
                </w:tcPr>
                <w:p>
                  <w:pPr>
                    <w:pStyle w:val="25"/>
                    <w:bidi w:val="0"/>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pPr>
                    <w:pStyle w:val="25"/>
                    <w:bidi w:val="0"/>
                  </w:pPr>
                  <w:r>
                    <w:rPr>
                      <w:rFonts w:hint="eastAsia"/>
                    </w:rPr>
                    <w:t>O</w:t>
                  </w:r>
                  <w:r>
                    <w:rPr>
                      <w:rFonts w:hint="eastAsia"/>
                      <w:vertAlign w:val="subscript"/>
                    </w:rPr>
                    <w:t>3</w:t>
                  </w:r>
                </w:p>
              </w:tc>
              <w:tc>
                <w:tcPr>
                  <w:tcW w:w="1408" w:type="pct"/>
                  <w:vAlign w:val="center"/>
                </w:tcPr>
                <w:p>
                  <w:pPr>
                    <w:pStyle w:val="25"/>
                    <w:bidi w:val="0"/>
                  </w:pPr>
                  <w:r>
                    <w:rPr>
                      <w:rFonts w:hint="eastAsia"/>
                    </w:rPr>
                    <w:t>日最大8小时平均值的第90百分位数</w:t>
                  </w:r>
                </w:p>
              </w:tc>
              <w:tc>
                <w:tcPr>
                  <w:tcW w:w="754" w:type="pct"/>
                  <w:vAlign w:val="center"/>
                </w:tcPr>
                <w:p>
                  <w:pPr>
                    <w:pStyle w:val="25"/>
                    <w:bidi w:val="0"/>
                    <w:rPr>
                      <w:rFonts w:hint="default"/>
                      <w:lang w:val="en-US" w:eastAsia="zh-CN"/>
                    </w:rPr>
                  </w:pPr>
                  <w:r>
                    <w:rPr>
                      <w:rFonts w:hint="eastAsia"/>
                      <w:lang w:val="en-US" w:eastAsia="zh-CN"/>
                    </w:rPr>
                    <w:t>163</w:t>
                  </w:r>
                </w:p>
              </w:tc>
              <w:tc>
                <w:tcPr>
                  <w:tcW w:w="754" w:type="pct"/>
                  <w:vAlign w:val="center"/>
                </w:tcPr>
                <w:p>
                  <w:pPr>
                    <w:pStyle w:val="25"/>
                    <w:bidi w:val="0"/>
                  </w:pPr>
                  <w:r>
                    <w:rPr>
                      <w:rFonts w:hint="eastAsia"/>
                    </w:rPr>
                    <w:t>160</w:t>
                  </w:r>
                </w:p>
              </w:tc>
              <w:tc>
                <w:tcPr>
                  <w:tcW w:w="773" w:type="pct"/>
                  <w:vAlign w:val="center"/>
                </w:tcPr>
                <w:p>
                  <w:pPr>
                    <w:pStyle w:val="25"/>
                    <w:bidi w:val="0"/>
                    <w:rPr>
                      <w:rFonts w:hint="default"/>
                      <w:lang w:val="en-US" w:eastAsia="zh-CN"/>
                    </w:rPr>
                  </w:pPr>
                  <w:r>
                    <w:rPr>
                      <w:rFonts w:hint="eastAsia"/>
                      <w:lang w:val="en-US" w:eastAsia="zh-CN"/>
                    </w:rPr>
                    <w:t>101.9</w:t>
                  </w:r>
                </w:p>
              </w:tc>
              <w:tc>
                <w:tcPr>
                  <w:tcW w:w="687" w:type="pct"/>
                  <w:vAlign w:val="center"/>
                </w:tcPr>
                <w:p>
                  <w:pPr>
                    <w:pStyle w:val="25"/>
                    <w:bidi w:val="0"/>
                  </w:pPr>
                  <w:r>
                    <w:rPr>
                      <w:rFonts w:hint="eastAsia"/>
                    </w:rPr>
                    <w:t>不达标</w:t>
                  </w:r>
                </w:p>
              </w:tc>
            </w:tr>
          </w:tbl>
          <w:p>
            <w:pPr>
              <w:spacing w:line="360" w:lineRule="auto"/>
              <w:ind w:firstLine="480" w:firstLineChars="200"/>
              <w:rPr>
                <w:color w:val="auto"/>
                <w:sz w:val="24"/>
              </w:rPr>
            </w:pPr>
            <w:r>
              <w:rPr>
                <w:rFonts w:hint="eastAsia"/>
                <w:color w:val="auto"/>
                <w:sz w:val="24"/>
              </w:rPr>
              <w:t>由上表统计结果可知，区域内二氧化硫、二氧化氮年平均浓度均达标；CO 24小时平均第95百分位数浓度达标；可吸入颗粒物、细颗粒物年平均浓度均不达标，</w:t>
            </w:r>
            <w:r>
              <w:rPr>
                <w:rFonts w:hint="eastAsia"/>
                <w:color w:val="auto"/>
              </w:rPr>
              <w:t>O</w:t>
            </w:r>
            <w:r>
              <w:rPr>
                <w:rFonts w:hint="eastAsia"/>
                <w:color w:val="auto"/>
                <w:vertAlign w:val="subscript"/>
              </w:rPr>
              <w:t>3</w:t>
            </w:r>
            <w:r>
              <w:rPr>
                <w:rFonts w:hint="eastAsia"/>
                <w:color w:val="auto"/>
                <w:sz w:val="24"/>
              </w:rPr>
              <w:t>日最大8小时平均值的第90百分位数不达标；由此判断项目所在区域为不达标区。</w:t>
            </w:r>
          </w:p>
          <w:p>
            <w:pPr>
              <w:spacing w:line="360" w:lineRule="auto"/>
              <w:ind w:firstLine="480" w:firstLineChars="200"/>
              <w:rPr>
                <w:color w:val="auto"/>
                <w:sz w:val="24"/>
              </w:rPr>
            </w:pPr>
            <w:r>
              <w:rPr>
                <w:color w:val="auto"/>
                <w:sz w:val="24"/>
              </w:rPr>
              <w:t>针对基本污染物不达标问题，宿州市人民政府决定采取措施进行区域整改，具体整改措施如下：</w:t>
            </w:r>
          </w:p>
          <w:p>
            <w:pPr>
              <w:spacing w:line="360" w:lineRule="auto"/>
              <w:ind w:firstLine="480" w:firstLineChars="200"/>
              <w:rPr>
                <w:rFonts w:hint="eastAsia"/>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在大气污染联防联控重点区域，建立区域空气环境质量评价体系，开展多种污染物协同控制，实施区域大气污染物特别排放限值，对火电、钢铁、</w:t>
            </w:r>
            <w:r>
              <w:rPr>
                <w:rFonts w:hint="eastAsia"/>
              </w:rPr>
              <w:t>有色、石化、建材、化工等行业进行重点防控。</w:t>
            </w:r>
          </w:p>
          <w:p>
            <w:pPr>
              <w:keepNext w:val="0"/>
              <w:keepLines w:val="0"/>
              <w:widowControl/>
              <w:suppressLineNumbers w:val="0"/>
              <w:ind w:firstLine="480" w:firstLineChars="200"/>
              <w:jc w:val="left"/>
              <w:rPr>
                <w:rFonts w:hint="default" w:ascii="Times New Roman" w:hAnsi="Times New Roman" w:eastAsia="宋体" w:cs="Times New Roman"/>
                <w:sz w:val="24"/>
                <w:szCs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rPr>
              <w:t>开展臭氧、细颗粒物（PM</w:t>
            </w:r>
            <w:r>
              <w:rPr>
                <w:rFonts w:hint="eastAsia"/>
                <w:color w:val="auto"/>
                <w:sz w:val="24"/>
                <w:vertAlign w:val="subscript"/>
              </w:rPr>
              <w:t>2.5</w:t>
            </w:r>
            <w:r>
              <w:rPr>
                <w:rFonts w:hint="eastAsia"/>
                <w:color w:val="auto"/>
                <w:sz w:val="24"/>
              </w:rPr>
              <w:t>）等污染物监测，开展区域联合执法检查。严格执行以上措施将有效改善区域大气环境质量。</w:t>
            </w:r>
          </w:p>
          <w:p>
            <w:pPr>
              <w:bidi w:val="0"/>
              <w:rPr>
                <w:rFonts w:hint="default"/>
                <w:b/>
                <w:bCs/>
              </w:rPr>
            </w:pPr>
          </w:p>
          <w:p>
            <w:pPr>
              <w:bidi w:val="0"/>
              <w:rPr>
                <w:rFonts w:hint="default"/>
                <w:b/>
                <w:bCs/>
              </w:rPr>
            </w:pPr>
            <w:r>
              <w:rPr>
                <w:rFonts w:hint="default"/>
                <w:b/>
                <w:bCs/>
              </w:rPr>
              <w:t>2、地表水环境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2022年宿州市国考断面优良水体比例为53.8%，同比提升15.3个百分点，达到有监测记录以来最好水平；汇入洪泽湖跨省界河流和汇入沱湖跨市界河流水质全部达到Ⅲ类，跨省界、市界重点河流出境水质比入境水质提升一个类别；水环境质量改善率位列全省第3位。市县集中式饮用水水源地水质达标率100%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rPr>
            </w:pPr>
            <w:r>
              <w:rPr>
                <w:rFonts w:hint="eastAsia" w:ascii="Times New Roman" w:hAnsi="Times New Roman" w:cs="Times New Roman"/>
                <w:color w:val="auto"/>
                <w:lang w:val="en-US" w:eastAsia="zh-CN"/>
              </w:rPr>
              <w:t>2023年1-4月，宿州市13个国考断面水质优良比例为76.9%（省考目标为61.5%），全市10个省考断面水质优良比例为50%（省考目标为30%），市县集中式饮用水水源地水质达标率100%。</w:t>
            </w:r>
          </w:p>
          <w:p>
            <w:pPr>
              <w:bidi w:val="0"/>
              <w:rPr>
                <w:rFonts w:hint="default"/>
                <w:b/>
                <w:bCs/>
              </w:rPr>
            </w:pPr>
            <w:r>
              <w:rPr>
                <w:rFonts w:hint="default"/>
                <w:b/>
                <w:bCs/>
              </w:rPr>
              <w:t>3、声环境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rPr>
            </w:pPr>
            <w:r>
              <w:rPr>
                <w:rFonts w:hint="default"/>
              </w:rPr>
              <w:t>本项目</w:t>
            </w:r>
            <w:r>
              <w:rPr>
                <w:rFonts w:hint="eastAsia"/>
                <w:lang w:eastAsia="zh-CN"/>
              </w:rPr>
              <w:t>厂界外周边</w:t>
            </w:r>
            <w:r>
              <w:rPr>
                <w:rFonts w:hint="default"/>
              </w:rPr>
              <w:t>50m范围内不存在声环境保护目标，根据《建设项目环境影响报告表编制技术指南（污染影响类）（试行）》要求，本项目</w:t>
            </w:r>
            <w:r>
              <w:rPr>
                <w:rFonts w:hint="eastAsia"/>
                <w:lang w:eastAsia="zh-CN"/>
              </w:rPr>
              <w:t>无需</w:t>
            </w:r>
            <w:r>
              <w:rPr>
                <w:rFonts w:hint="default"/>
              </w:rPr>
              <w:t>进行声环境质量现状监测。</w:t>
            </w:r>
          </w:p>
          <w:p>
            <w:pPr>
              <w:pStyle w:val="12"/>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b/>
                <w:bCs/>
              </w:rPr>
            </w:pPr>
            <w:r>
              <w:rPr>
                <w:rFonts w:hint="eastAsia"/>
                <w:b/>
                <w:bCs/>
                <w:lang w:val="en-US" w:eastAsia="zh-CN"/>
              </w:rPr>
              <w:t>4、</w:t>
            </w:r>
            <w:r>
              <w:rPr>
                <w:rFonts w:hint="eastAsia"/>
                <w:b/>
                <w:bCs/>
              </w:rPr>
              <w:t>生态环境</w:t>
            </w:r>
          </w:p>
          <w:p>
            <w:pPr>
              <w:pStyle w:val="12"/>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lang w:val="en-US" w:eastAsia="zh-CN"/>
              </w:rPr>
            </w:pPr>
            <w:r>
              <w:rPr>
                <w:rFonts w:hint="eastAsia"/>
                <w:lang w:val="en-US" w:eastAsia="zh-CN"/>
              </w:rPr>
              <w:t>本项目位于</w:t>
            </w:r>
            <w:r>
              <w:rPr>
                <w:rFonts w:hint="eastAsia"/>
                <w:highlight w:val="none"/>
                <w:lang w:val="en-US" w:eastAsia="zh-CN"/>
              </w:rPr>
              <w:t>泗县大庄镇工业园区</w:t>
            </w:r>
            <w:r>
              <w:rPr>
                <w:rFonts w:hint="eastAsia"/>
                <w:lang w:val="en-US" w:eastAsia="zh-CN"/>
              </w:rPr>
              <w:t>，</w:t>
            </w:r>
            <w:r>
              <w:rPr>
                <w:rFonts w:hint="default"/>
                <w:lang w:val="en-US" w:eastAsia="zh-CN"/>
              </w:rPr>
              <w:t>用地范围内无生态环境保护目标，无需进行生态现状调查</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b/>
                <w:bCs/>
                <w:lang w:val="en-US" w:eastAsia="zh-CN"/>
              </w:rPr>
            </w:pPr>
            <w:r>
              <w:rPr>
                <w:rFonts w:hint="eastAsia"/>
                <w:b/>
                <w:bCs/>
                <w:lang w:val="en-US" w:eastAsia="zh-CN"/>
              </w:rPr>
              <w:t>5、</w:t>
            </w:r>
            <w:r>
              <w:rPr>
                <w:rFonts w:hint="default"/>
                <w:b/>
                <w:bCs/>
                <w:lang w:val="en-US" w:eastAsia="zh-CN"/>
              </w:rPr>
              <w:t>地下水、土壤环境</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textAlignment w:val="auto"/>
              <w:rPr>
                <w:rFonts w:hint="default"/>
                <w:lang w:val="en-US" w:eastAsia="zh-CN"/>
              </w:rPr>
            </w:pPr>
            <w:r>
              <w:rPr>
                <w:rFonts w:hint="default"/>
                <w:lang w:val="en-US" w:eastAsia="zh-CN"/>
              </w:rPr>
              <w:t>本项目厂界外500米范围内无地下水集中式饮用水水源和热水、矿泉水、温泉等特殊地下水资源，并且本项目严格按照导则要求对厂区进行分区防控，因此无需开展地下水、土壤环境质量现状调查。</w:t>
            </w:r>
          </w:p>
          <w:p>
            <w:pPr>
              <w:numPr>
                <w:ilvl w:val="0"/>
                <w:numId w:val="0"/>
              </w:numPr>
              <w:ind w:firstLine="482" w:firstLineChars="200"/>
              <w:rPr>
                <w:rFonts w:hint="eastAsia" w:eastAsia="宋体" w:cs="Times New Roman"/>
                <w:b/>
                <w:bCs/>
                <w:color w:val="auto"/>
                <w:kern w:val="2"/>
                <w:sz w:val="24"/>
                <w:szCs w:val="21"/>
                <w:lang w:val="en-US" w:eastAsia="zh-CN" w:bidi="ar-SA"/>
              </w:rPr>
            </w:pPr>
            <w:r>
              <w:rPr>
                <w:rFonts w:hint="eastAsia" w:cs="Times New Roman"/>
                <w:b/>
                <w:bCs/>
                <w:color w:val="auto"/>
                <w:kern w:val="2"/>
                <w:sz w:val="24"/>
                <w:szCs w:val="21"/>
                <w:lang w:val="en-US" w:eastAsia="zh-CN" w:bidi="ar-SA"/>
              </w:rPr>
              <w:t>6</w:t>
            </w:r>
            <w:r>
              <w:rPr>
                <w:rFonts w:hint="eastAsia" w:eastAsia="宋体" w:cs="Times New Roman"/>
                <w:b/>
                <w:bCs/>
                <w:color w:val="auto"/>
                <w:kern w:val="2"/>
                <w:sz w:val="24"/>
                <w:szCs w:val="21"/>
                <w:lang w:val="en-US" w:eastAsia="zh-CN" w:bidi="ar-SA"/>
              </w:rPr>
              <w:t>、电磁辐射</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s="宋体"/>
                <w:kern w:val="0"/>
                <w:szCs w:val="21"/>
              </w:rPr>
            </w:pPr>
            <w:r>
              <w:rPr>
                <w:rFonts w:hint="eastAsia" w:ascii="Times New Roman" w:hAnsi="Times New Roman" w:eastAsia="宋体" w:cs="Times New Roman"/>
                <w:kern w:val="0"/>
                <w:sz w:val="24"/>
                <w:szCs w:val="20"/>
                <w:lang w:val="en-US" w:eastAsia="zh-CN" w:bidi="ar-SA"/>
              </w:rPr>
              <w:t>本项目不属于电磁辐射类项目</w:t>
            </w:r>
            <w:r>
              <w:rPr>
                <w:rFonts w:hint="eastAsia" w:cs="Times New Roman"/>
                <w:kern w:val="0"/>
                <w:sz w:val="24"/>
                <w:szCs w:val="20"/>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环境</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保护</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目标</w:t>
            </w:r>
          </w:p>
        </w:tc>
        <w:tc>
          <w:tcPr>
            <w:tcW w:w="8235" w:type="dxa"/>
            <w:noWrap w:val="0"/>
            <w:vAlign w:val="center"/>
          </w:tcPr>
          <w:p>
            <w:pPr>
              <w:bidi w:val="0"/>
              <w:rPr>
                <w:color w:val="auto"/>
              </w:rPr>
            </w:pPr>
            <w:r>
              <w:rPr>
                <w:rFonts w:hint="eastAsia"/>
                <w:color w:val="auto"/>
              </w:rPr>
              <w:t>本项目位于</w:t>
            </w:r>
            <w:r>
              <w:rPr>
                <w:rFonts w:hint="eastAsia"/>
                <w:color w:val="auto"/>
                <w:lang w:val="en-US" w:eastAsia="zh-CN"/>
              </w:rPr>
              <w:t>泗县大庄镇工业园区</w:t>
            </w:r>
            <w:r>
              <w:rPr>
                <w:rFonts w:hint="eastAsia"/>
                <w:color w:val="auto"/>
              </w:rPr>
              <w:t>，</w:t>
            </w:r>
            <w:r>
              <w:rPr>
                <w:color w:val="auto"/>
              </w:rPr>
              <w:t>本项目评价范围内无自然保护区、风景旅游点和文物古迹等需要特殊保护的环境敏感对象。</w:t>
            </w:r>
          </w:p>
          <w:p>
            <w:pPr>
              <w:ind w:firstLine="482"/>
              <w:jc w:val="both"/>
              <w:rPr>
                <w:b/>
                <w:bCs/>
                <w:color w:val="auto"/>
              </w:rPr>
            </w:pPr>
            <w:r>
              <w:rPr>
                <w:rFonts w:hint="eastAsia"/>
                <w:b/>
                <w:bCs/>
                <w:color w:val="auto"/>
              </w:rPr>
              <w:t>1、</w:t>
            </w:r>
            <w:r>
              <w:rPr>
                <w:b/>
                <w:bCs/>
                <w:color w:val="auto"/>
              </w:rPr>
              <w:t>大气环境</w:t>
            </w:r>
          </w:p>
          <w:p>
            <w:pPr>
              <w:bidi w:val="0"/>
            </w:pPr>
            <w:r>
              <w:rPr>
                <w:rFonts w:hint="eastAsia"/>
                <w:color w:val="auto"/>
                <w:lang w:eastAsia="zh-CN"/>
              </w:rPr>
              <w:t>项目</w:t>
            </w:r>
            <w:r>
              <w:rPr>
                <w:rFonts w:hint="eastAsia"/>
                <w:color w:val="auto"/>
                <w:lang w:val="en-US" w:eastAsia="zh-CN"/>
              </w:rPr>
              <w:t>500米范围内</w:t>
            </w:r>
            <w:r>
              <w:rPr>
                <w:color w:val="auto"/>
              </w:rPr>
              <w:t>具体环境保护目标如下</w:t>
            </w:r>
            <w:r>
              <w:rPr>
                <w:rFonts w:hint="eastAsia"/>
                <w:color w:val="auto"/>
                <w:lang w:eastAsia="zh-CN"/>
              </w:rPr>
              <w:t>：</w:t>
            </w:r>
          </w:p>
          <w:p>
            <w:pPr>
              <w:pStyle w:val="24"/>
              <w:bidi w:val="0"/>
            </w:pPr>
            <w:r>
              <w:t>表3-</w:t>
            </w:r>
            <w:r>
              <w:rPr>
                <w:rFonts w:hint="eastAsia"/>
                <w:lang w:val="en-US" w:eastAsia="zh-CN"/>
              </w:rPr>
              <w:t xml:space="preserve">2  </w:t>
            </w:r>
            <w:r>
              <w:t>环境保护目标一览表</w:t>
            </w:r>
          </w:p>
          <w:tbl>
            <w:tblPr>
              <w:tblStyle w:val="20"/>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64"/>
              <w:gridCol w:w="1260"/>
              <w:gridCol w:w="1138"/>
              <w:gridCol w:w="748"/>
              <w:gridCol w:w="807"/>
              <w:gridCol w:w="807"/>
              <w:gridCol w:w="732"/>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pct"/>
                  <w:vMerge w:val="restart"/>
                  <w:noWrap w:val="0"/>
                  <w:vAlign w:val="center"/>
                </w:tcPr>
                <w:p>
                  <w:pPr>
                    <w:pStyle w:val="25"/>
                    <w:bidi w:val="0"/>
                    <w:rPr>
                      <w:rFonts w:hint="default"/>
                    </w:rPr>
                  </w:pPr>
                  <w:r>
                    <w:rPr>
                      <w:rFonts w:hint="default"/>
                    </w:rPr>
                    <w:t>环境要素</w:t>
                  </w:r>
                </w:p>
              </w:tc>
              <w:tc>
                <w:tcPr>
                  <w:tcW w:w="536" w:type="pct"/>
                  <w:vMerge w:val="restart"/>
                  <w:noWrap w:val="0"/>
                  <w:vAlign w:val="center"/>
                </w:tcPr>
                <w:p>
                  <w:pPr>
                    <w:pStyle w:val="25"/>
                    <w:bidi w:val="0"/>
                    <w:rPr>
                      <w:rFonts w:hint="default"/>
                      <w:lang w:eastAsia="zh-CN"/>
                    </w:rPr>
                  </w:pPr>
                  <w:r>
                    <w:rPr>
                      <w:rFonts w:hint="eastAsia"/>
                      <w:lang w:eastAsia="zh-CN"/>
                    </w:rPr>
                    <w:t>保护对象</w:t>
                  </w:r>
                </w:p>
              </w:tc>
              <w:tc>
                <w:tcPr>
                  <w:tcW w:w="1488" w:type="pct"/>
                  <w:gridSpan w:val="2"/>
                  <w:noWrap w:val="0"/>
                  <w:vAlign w:val="center"/>
                </w:tcPr>
                <w:p>
                  <w:pPr>
                    <w:pStyle w:val="25"/>
                    <w:bidi w:val="0"/>
                    <w:rPr>
                      <w:rFonts w:hint="default"/>
                    </w:rPr>
                  </w:pPr>
                  <w:r>
                    <w:rPr>
                      <w:rFonts w:hint="eastAsia"/>
                      <w:lang w:eastAsia="zh-CN"/>
                    </w:rPr>
                    <w:t>经纬</w:t>
                  </w:r>
                  <w:r>
                    <w:rPr>
                      <w:rFonts w:hint="default"/>
                    </w:rPr>
                    <w:t>度</w:t>
                  </w:r>
                </w:p>
              </w:tc>
              <w:tc>
                <w:tcPr>
                  <w:tcW w:w="464" w:type="pct"/>
                  <w:vMerge w:val="restart"/>
                  <w:noWrap w:val="0"/>
                  <w:vAlign w:val="center"/>
                </w:tcPr>
                <w:p>
                  <w:pPr>
                    <w:pStyle w:val="25"/>
                    <w:bidi w:val="0"/>
                    <w:rPr>
                      <w:rFonts w:hint="default"/>
                    </w:rPr>
                  </w:pPr>
                  <w:r>
                    <w:rPr>
                      <w:rFonts w:hint="default"/>
                    </w:rPr>
                    <w:t>保护对象</w:t>
                  </w:r>
                </w:p>
              </w:tc>
              <w:tc>
                <w:tcPr>
                  <w:tcW w:w="500" w:type="pct"/>
                  <w:vMerge w:val="restart"/>
                  <w:noWrap w:val="0"/>
                  <w:vAlign w:val="center"/>
                </w:tcPr>
                <w:p>
                  <w:pPr>
                    <w:pStyle w:val="25"/>
                    <w:bidi w:val="0"/>
                    <w:rPr>
                      <w:rFonts w:hint="eastAsia" w:eastAsia="宋体"/>
                      <w:lang w:eastAsia="zh-CN"/>
                    </w:rPr>
                  </w:pPr>
                  <w:r>
                    <w:rPr>
                      <w:rFonts w:hint="eastAsia"/>
                      <w:lang w:eastAsia="zh-CN"/>
                    </w:rPr>
                    <w:t>保护内容</w:t>
                  </w:r>
                </w:p>
              </w:tc>
              <w:tc>
                <w:tcPr>
                  <w:tcW w:w="500" w:type="pct"/>
                  <w:vMerge w:val="restart"/>
                  <w:noWrap w:val="0"/>
                  <w:vAlign w:val="center"/>
                </w:tcPr>
                <w:p>
                  <w:pPr>
                    <w:pStyle w:val="25"/>
                    <w:bidi w:val="0"/>
                    <w:rPr>
                      <w:rFonts w:hint="default"/>
                    </w:rPr>
                  </w:pPr>
                  <w:r>
                    <w:rPr>
                      <w:rFonts w:hint="default"/>
                    </w:rPr>
                    <w:t>环境功能区</w:t>
                  </w:r>
                </w:p>
              </w:tc>
              <w:tc>
                <w:tcPr>
                  <w:tcW w:w="454" w:type="pct"/>
                  <w:vMerge w:val="restart"/>
                  <w:noWrap w:val="0"/>
                  <w:vAlign w:val="center"/>
                </w:tcPr>
                <w:p>
                  <w:pPr>
                    <w:pStyle w:val="25"/>
                    <w:bidi w:val="0"/>
                    <w:rPr>
                      <w:rFonts w:hint="default"/>
                    </w:rPr>
                  </w:pPr>
                  <w:r>
                    <w:rPr>
                      <w:rFonts w:hint="default"/>
                    </w:rPr>
                    <w:t>相对厂址方位</w:t>
                  </w:r>
                </w:p>
              </w:tc>
              <w:tc>
                <w:tcPr>
                  <w:tcW w:w="601" w:type="pct"/>
                  <w:vMerge w:val="restart"/>
                  <w:noWrap w:val="0"/>
                  <w:vAlign w:val="center"/>
                </w:tcPr>
                <w:p>
                  <w:pPr>
                    <w:pStyle w:val="25"/>
                    <w:bidi w:val="0"/>
                    <w:rPr>
                      <w:rFonts w:hint="default"/>
                    </w:rPr>
                  </w:pPr>
                  <w:r>
                    <w:rPr>
                      <w:rFonts w:hint="default"/>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pct"/>
                  <w:vMerge w:val="continue"/>
                  <w:noWrap w:val="0"/>
                  <w:vAlign w:val="center"/>
                </w:tcPr>
                <w:p>
                  <w:pPr>
                    <w:pStyle w:val="25"/>
                    <w:bidi w:val="0"/>
                    <w:rPr>
                      <w:rFonts w:hint="default"/>
                    </w:rPr>
                  </w:pPr>
                </w:p>
              </w:tc>
              <w:tc>
                <w:tcPr>
                  <w:tcW w:w="536" w:type="pct"/>
                  <w:vMerge w:val="continue"/>
                  <w:noWrap w:val="0"/>
                  <w:vAlign w:val="center"/>
                </w:tcPr>
                <w:p>
                  <w:pPr>
                    <w:pStyle w:val="25"/>
                    <w:bidi w:val="0"/>
                    <w:rPr>
                      <w:rFonts w:hint="default"/>
                    </w:rPr>
                  </w:pPr>
                </w:p>
              </w:tc>
              <w:tc>
                <w:tcPr>
                  <w:tcW w:w="781" w:type="pct"/>
                  <w:noWrap w:val="0"/>
                  <w:vAlign w:val="center"/>
                </w:tcPr>
                <w:p>
                  <w:pPr>
                    <w:pStyle w:val="25"/>
                    <w:bidi w:val="0"/>
                    <w:rPr>
                      <w:rFonts w:hint="default"/>
                    </w:rPr>
                  </w:pPr>
                  <w:r>
                    <w:rPr>
                      <w:rFonts w:hint="default"/>
                    </w:rPr>
                    <w:t>经度</w:t>
                  </w:r>
                </w:p>
              </w:tc>
              <w:tc>
                <w:tcPr>
                  <w:tcW w:w="706" w:type="pct"/>
                  <w:noWrap w:val="0"/>
                  <w:vAlign w:val="center"/>
                </w:tcPr>
                <w:p>
                  <w:pPr>
                    <w:pStyle w:val="25"/>
                    <w:bidi w:val="0"/>
                    <w:rPr>
                      <w:rFonts w:hint="default"/>
                    </w:rPr>
                  </w:pPr>
                  <w:r>
                    <w:rPr>
                      <w:rFonts w:hint="default"/>
                    </w:rPr>
                    <w:t>纬度</w:t>
                  </w:r>
                </w:p>
              </w:tc>
              <w:tc>
                <w:tcPr>
                  <w:tcW w:w="464" w:type="pct"/>
                  <w:vMerge w:val="continue"/>
                  <w:noWrap w:val="0"/>
                  <w:vAlign w:val="center"/>
                </w:tcPr>
                <w:p>
                  <w:pPr>
                    <w:pStyle w:val="25"/>
                    <w:bidi w:val="0"/>
                    <w:rPr>
                      <w:rFonts w:hint="default"/>
                    </w:rPr>
                  </w:pPr>
                </w:p>
              </w:tc>
              <w:tc>
                <w:tcPr>
                  <w:tcW w:w="500" w:type="pct"/>
                  <w:vMerge w:val="continue"/>
                  <w:noWrap w:val="0"/>
                  <w:vAlign w:val="center"/>
                </w:tcPr>
                <w:p>
                  <w:pPr>
                    <w:pStyle w:val="25"/>
                    <w:bidi w:val="0"/>
                    <w:rPr>
                      <w:rFonts w:hint="default"/>
                    </w:rPr>
                  </w:pPr>
                </w:p>
              </w:tc>
              <w:tc>
                <w:tcPr>
                  <w:tcW w:w="500" w:type="pct"/>
                  <w:vMerge w:val="continue"/>
                  <w:noWrap w:val="0"/>
                  <w:vAlign w:val="center"/>
                </w:tcPr>
                <w:p>
                  <w:pPr>
                    <w:pStyle w:val="25"/>
                    <w:bidi w:val="0"/>
                    <w:rPr>
                      <w:rFonts w:hint="default"/>
                    </w:rPr>
                  </w:pPr>
                </w:p>
              </w:tc>
              <w:tc>
                <w:tcPr>
                  <w:tcW w:w="454" w:type="pct"/>
                  <w:vMerge w:val="continue"/>
                  <w:noWrap w:val="0"/>
                  <w:vAlign w:val="center"/>
                </w:tcPr>
                <w:p>
                  <w:pPr>
                    <w:pStyle w:val="25"/>
                    <w:bidi w:val="0"/>
                    <w:rPr>
                      <w:rFonts w:hint="default"/>
                    </w:rPr>
                  </w:pPr>
                </w:p>
              </w:tc>
              <w:tc>
                <w:tcPr>
                  <w:tcW w:w="601" w:type="pct"/>
                  <w:vMerge w:val="continue"/>
                  <w:noWrap w:val="0"/>
                  <w:vAlign w:val="center"/>
                </w:tcPr>
                <w:p>
                  <w:pPr>
                    <w:pStyle w:val="2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pct"/>
                  <w:vMerge w:val="continue"/>
                  <w:noWrap w:val="0"/>
                  <w:vAlign w:val="center"/>
                </w:tcPr>
                <w:p>
                  <w:pPr>
                    <w:pStyle w:val="25"/>
                    <w:bidi w:val="0"/>
                    <w:rPr>
                      <w:rFonts w:hint="default"/>
                    </w:rPr>
                  </w:pPr>
                </w:p>
              </w:tc>
              <w:tc>
                <w:tcPr>
                  <w:tcW w:w="536" w:type="pct"/>
                  <w:noWrap w:val="0"/>
                  <w:vAlign w:val="center"/>
                </w:tcPr>
                <w:p>
                  <w:pPr>
                    <w:pStyle w:val="25"/>
                    <w:bidi w:val="0"/>
                    <w:rPr>
                      <w:rFonts w:hint="eastAsia"/>
                      <w:lang w:eastAsia="zh-CN"/>
                    </w:rPr>
                  </w:pPr>
                  <w:r>
                    <w:rPr>
                      <w:rFonts w:hint="default"/>
                    </w:rPr>
                    <w:t>西北侧</w:t>
                  </w:r>
                  <w:r>
                    <w:rPr>
                      <w:rFonts w:hint="eastAsia"/>
                      <w:lang w:eastAsia="zh-CN"/>
                    </w:rPr>
                    <w:t>散户</w:t>
                  </w:r>
                </w:p>
              </w:tc>
              <w:tc>
                <w:tcPr>
                  <w:tcW w:w="781" w:type="pct"/>
                  <w:noWrap w:val="0"/>
                  <w:vAlign w:val="center"/>
                </w:tcPr>
                <w:p>
                  <w:pPr>
                    <w:pStyle w:val="25"/>
                    <w:bidi w:val="0"/>
                    <w:rPr>
                      <w:rFonts w:hint="default"/>
                      <w:lang w:val="en-US" w:eastAsia="zh-CN"/>
                    </w:rPr>
                  </w:pPr>
                  <w:r>
                    <w:rPr>
                      <w:rFonts w:hint="default"/>
                      <w:lang w:val="en-US" w:eastAsia="zh-CN"/>
                    </w:rPr>
                    <w:t>117.868645</w:t>
                  </w:r>
                </w:p>
              </w:tc>
              <w:tc>
                <w:tcPr>
                  <w:tcW w:w="706" w:type="pct"/>
                  <w:noWrap w:val="0"/>
                  <w:vAlign w:val="center"/>
                </w:tcPr>
                <w:p>
                  <w:pPr>
                    <w:pStyle w:val="25"/>
                    <w:bidi w:val="0"/>
                    <w:rPr>
                      <w:rFonts w:hint="default"/>
                      <w:lang w:val="en-US" w:eastAsia="zh-CN"/>
                    </w:rPr>
                  </w:pPr>
                  <w:r>
                    <w:rPr>
                      <w:rFonts w:hint="default"/>
                      <w:lang w:val="en-US" w:eastAsia="zh-CN"/>
                    </w:rPr>
                    <w:t>33.689679</w:t>
                  </w:r>
                </w:p>
              </w:tc>
              <w:tc>
                <w:tcPr>
                  <w:tcW w:w="464" w:type="pct"/>
                  <w:noWrap w:val="0"/>
                  <w:vAlign w:val="center"/>
                </w:tcPr>
                <w:p>
                  <w:pPr>
                    <w:pStyle w:val="25"/>
                    <w:bidi w:val="0"/>
                    <w:rPr>
                      <w:rFonts w:hint="default"/>
                      <w:lang w:val="en-US" w:eastAsia="zh-CN"/>
                    </w:rPr>
                  </w:pPr>
                  <w:r>
                    <w:rPr>
                      <w:rFonts w:hint="default"/>
                    </w:rPr>
                    <w:t>居民区</w:t>
                  </w:r>
                </w:p>
              </w:tc>
              <w:tc>
                <w:tcPr>
                  <w:tcW w:w="500" w:type="pct"/>
                  <w:noWrap w:val="0"/>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lang w:val="en-US" w:eastAsia="zh-CN"/>
                    </w:rPr>
                    <w:t>24人</w:t>
                  </w:r>
                </w:p>
              </w:tc>
              <w:tc>
                <w:tcPr>
                  <w:tcW w:w="500" w:type="pct"/>
                  <w:noWrap w:val="0"/>
                  <w:vAlign w:val="center"/>
                </w:tcPr>
                <w:p>
                  <w:pPr>
                    <w:pStyle w:val="25"/>
                    <w:bidi w:val="0"/>
                    <w:rPr>
                      <w:rFonts w:hint="default"/>
                      <w:lang w:val="zh-CN"/>
                    </w:rPr>
                  </w:pPr>
                  <w:r>
                    <w:rPr>
                      <w:rFonts w:hint="default"/>
                      <w:lang w:val="zh-CN"/>
                    </w:rPr>
                    <w:t>GB3095-2012中的二类</w:t>
                  </w:r>
                </w:p>
              </w:tc>
              <w:tc>
                <w:tcPr>
                  <w:tcW w:w="454" w:type="pct"/>
                  <w:noWrap w:val="0"/>
                  <w:vAlign w:val="center"/>
                </w:tcPr>
                <w:p>
                  <w:pPr>
                    <w:pStyle w:val="25"/>
                    <w:bidi w:val="0"/>
                    <w:rPr>
                      <w:rFonts w:hint="default"/>
                      <w:lang w:val="en-US" w:eastAsia="zh-CN"/>
                    </w:rPr>
                  </w:pPr>
                  <w:r>
                    <w:rPr>
                      <w:rFonts w:hint="default"/>
                      <w:lang w:eastAsia="zh-CN"/>
                    </w:rPr>
                    <w:t>NW</w:t>
                  </w:r>
                </w:p>
              </w:tc>
              <w:tc>
                <w:tcPr>
                  <w:tcW w:w="601" w:type="pct"/>
                  <w:noWrap w:val="0"/>
                  <w:vAlign w:val="center"/>
                </w:tcPr>
                <w:p>
                  <w:pPr>
                    <w:pStyle w:val="25"/>
                    <w:bidi w:val="0"/>
                    <w:rPr>
                      <w:rFonts w:hint="default"/>
                      <w:lang w:val="en-US" w:eastAsia="zh-CN"/>
                    </w:rPr>
                  </w:pPr>
                  <w:r>
                    <w:rPr>
                      <w:rFonts w:hint="eastAsia"/>
                      <w:lang w:val="en-US" w:eastAsia="zh-CN"/>
                    </w:rPr>
                    <w:t>80</w:t>
                  </w:r>
                </w:p>
              </w:tc>
            </w:tr>
          </w:tbl>
          <w:p>
            <w:pPr>
              <w:pStyle w:val="24"/>
              <w:bidi w:val="0"/>
              <w:rPr>
                <w:rFonts w:hint="eastAsia"/>
              </w:rPr>
            </w:pPr>
          </w:p>
          <w:p>
            <w:pPr>
              <w:ind w:firstLine="482"/>
              <w:jc w:val="both"/>
              <w:rPr>
                <w:b/>
                <w:bCs/>
                <w:color w:val="auto"/>
              </w:rPr>
            </w:pPr>
            <w:r>
              <w:rPr>
                <w:rFonts w:hint="eastAsia"/>
                <w:b/>
                <w:bCs/>
                <w:color w:val="auto"/>
                <w:lang w:val="en-US" w:eastAsia="zh-CN"/>
              </w:rPr>
              <w:t>2</w:t>
            </w:r>
            <w:r>
              <w:rPr>
                <w:rFonts w:hint="eastAsia"/>
                <w:b/>
                <w:bCs/>
                <w:color w:val="auto"/>
              </w:rPr>
              <w:t>、声</w:t>
            </w:r>
            <w:r>
              <w:rPr>
                <w:b/>
                <w:bCs/>
                <w:color w:val="auto"/>
              </w:rPr>
              <w:t>环境</w:t>
            </w:r>
          </w:p>
          <w:p>
            <w:pPr>
              <w:ind w:firstLine="480"/>
              <w:jc w:val="both"/>
              <w:rPr>
                <w:color w:val="auto"/>
              </w:rPr>
            </w:pPr>
            <w:r>
              <w:rPr>
                <w:rFonts w:hint="eastAsia"/>
                <w:color w:val="auto"/>
              </w:rPr>
              <w:t>根据</w:t>
            </w:r>
            <w:r>
              <w:rPr>
                <w:color w:val="auto"/>
              </w:rPr>
              <w:t>《</w:t>
            </w:r>
            <w:r>
              <w:rPr>
                <w:rFonts w:hint="eastAsia"/>
                <w:color w:val="auto"/>
              </w:rPr>
              <w:t>建设</w:t>
            </w:r>
            <w:r>
              <w:rPr>
                <w:color w:val="auto"/>
              </w:rPr>
              <w:t>项目环境影响报告表编制技术指南（</w:t>
            </w:r>
            <w:r>
              <w:rPr>
                <w:rFonts w:hint="eastAsia"/>
                <w:color w:val="auto"/>
              </w:rPr>
              <w:t>污染影响</w:t>
            </w:r>
            <w:r>
              <w:rPr>
                <w:color w:val="auto"/>
              </w:rPr>
              <w:t>类）</w:t>
            </w:r>
            <w:r>
              <w:rPr>
                <w:rFonts w:hint="eastAsia"/>
                <w:color w:val="auto"/>
              </w:rPr>
              <w:t>（试行）</w:t>
            </w:r>
            <w:r>
              <w:rPr>
                <w:color w:val="auto"/>
              </w:rPr>
              <w:t>》</w:t>
            </w:r>
            <w:r>
              <w:rPr>
                <w:rFonts w:hint="eastAsia"/>
                <w:color w:val="auto"/>
              </w:rPr>
              <w:t>：</w:t>
            </w:r>
            <w:r>
              <w:rPr>
                <w:color w:val="auto"/>
              </w:rPr>
              <w:t>明确厂界外</w:t>
            </w:r>
            <w:r>
              <w:rPr>
                <w:rFonts w:hint="eastAsia"/>
                <w:color w:val="auto"/>
              </w:rPr>
              <w:t>50m范围内</w:t>
            </w:r>
            <w:r>
              <w:rPr>
                <w:color w:val="auto"/>
              </w:rPr>
              <w:t>声环境保护目标，</w:t>
            </w:r>
            <w:r>
              <w:rPr>
                <w:rFonts w:hint="eastAsia"/>
                <w:color w:val="auto"/>
              </w:rPr>
              <w:t>本项目厂界外50m范围</w:t>
            </w:r>
            <w:r>
              <w:rPr>
                <w:color w:val="auto"/>
              </w:rPr>
              <w:t>内无声环境保护目标。</w:t>
            </w:r>
          </w:p>
          <w:p>
            <w:pPr>
              <w:ind w:firstLine="482"/>
              <w:jc w:val="both"/>
              <w:rPr>
                <w:b/>
                <w:bCs/>
                <w:color w:val="auto"/>
              </w:rPr>
            </w:pPr>
            <w:r>
              <w:rPr>
                <w:rFonts w:hint="eastAsia"/>
                <w:b/>
                <w:bCs/>
                <w:color w:val="auto"/>
                <w:lang w:val="en-US" w:eastAsia="zh-CN"/>
              </w:rPr>
              <w:t>3</w:t>
            </w:r>
            <w:r>
              <w:rPr>
                <w:rFonts w:hint="eastAsia"/>
                <w:b/>
                <w:bCs/>
                <w:color w:val="auto"/>
              </w:rPr>
              <w:t>、</w:t>
            </w:r>
            <w:r>
              <w:rPr>
                <w:b/>
                <w:bCs/>
                <w:color w:val="auto"/>
              </w:rPr>
              <w:t>地下水</w:t>
            </w:r>
            <w:r>
              <w:rPr>
                <w:rFonts w:hint="eastAsia"/>
                <w:b/>
                <w:bCs/>
                <w:color w:val="auto"/>
              </w:rPr>
              <w:t>环境</w:t>
            </w:r>
          </w:p>
          <w:p>
            <w:pPr>
              <w:ind w:firstLine="480"/>
              <w:jc w:val="both"/>
              <w:rPr>
                <w:color w:val="auto"/>
              </w:rPr>
            </w:pPr>
            <w:r>
              <w:rPr>
                <w:rFonts w:hint="eastAsia"/>
                <w:color w:val="auto"/>
              </w:rPr>
              <w:t>本项目</w:t>
            </w:r>
            <w:r>
              <w:rPr>
                <w:color w:val="auto"/>
              </w:rPr>
              <w:t>厂界外</w:t>
            </w:r>
            <w:r>
              <w:rPr>
                <w:rFonts w:hint="eastAsia"/>
                <w:color w:val="auto"/>
              </w:rPr>
              <w:t>500m范围</w:t>
            </w:r>
            <w:r>
              <w:rPr>
                <w:color w:val="auto"/>
              </w:rPr>
              <w:t>内无地下水集中式饮用水水源和热水、矿泉水、温泉等特殊地下水资源保护目标。</w:t>
            </w:r>
          </w:p>
          <w:p>
            <w:pPr>
              <w:ind w:firstLine="482"/>
              <w:jc w:val="both"/>
              <w:rPr>
                <w:b/>
                <w:bCs/>
                <w:color w:val="auto"/>
              </w:rPr>
            </w:pPr>
            <w:r>
              <w:rPr>
                <w:rFonts w:hint="eastAsia"/>
                <w:b/>
                <w:bCs/>
                <w:color w:val="auto"/>
                <w:lang w:val="en-US" w:eastAsia="zh-CN"/>
              </w:rPr>
              <w:t>4</w:t>
            </w:r>
            <w:r>
              <w:rPr>
                <w:rFonts w:hint="eastAsia"/>
                <w:b/>
                <w:bCs/>
                <w:color w:val="auto"/>
              </w:rPr>
              <w:t>、</w:t>
            </w:r>
            <w:r>
              <w:rPr>
                <w:b/>
                <w:bCs/>
                <w:color w:val="auto"/>
              </w:rPr>
              <w:t>生态环境</w:t>
            </w:r>
          </w:p>
          <w:p>
            <w:pPr>
              <w:bidi w:val="0"/>
              <w:rPr>
                <w:rFonts w:ascii="宋体" w:hAnsi="宋体" w:cs="宋体"/>
                <w:kern w:val="0"/>
                <w:szCs w:val="21"/>
              </w:rPr>
            </w:pPr>
            <w:r>
              <w:rPr>
                <w:rFonts w:hint="eastAsia"/>
              </w:rPr>
              <w:t>本项目本项目位于</w:t>
            </w:r>
            <w:r>
              <w:rPr>
                <w:rFonts w:hint="eastAsia"/>
                <w:lang w:val="en-US" w:eastAsia="zh-CN"/>
              </w:rPr>
              <w:t>泗县大庄镇工业园区</w:t>
            </w:r>
            <w:r>
              <w:rPr>
                <w:rFonts w:hint="eastAsia"/>
              </w:rPr>
              <w:t>，租赁</w:t>
            </w:r>
            <w:r>
              <w:rPr>
                <w:rFonts w:hint="default"/>
              </w:rPr>
              <w:t>安徽省泗县友前木片餐盒有限公司</w:t>
            </w:r>
            <w:r>
              <w:rPr>
                <w:rFonts w:hint="eastAsia"/>
              </w:rPr>
              <w:t>空厂房</w:t>
            </w:r>
            <w:r>
              <w:t>，用地范围内无生态</w:t>
            </w:r>
            <w:r>
              <w:rPr>
                <w:rFonts w:hint="eastAsia"/>
              </w:rPr>
              <w:t>环境</w:t>
            </w:r>
            <w:r>
              <w:t>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污染</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物排</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放控</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制标</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kern w:val="0"/>
                <w:szCs w:val="21"/>
              </w:rPr>
            </w:pPr>
            <w:r>
              <w:rPr>
                <w:rFonts w:hint="eastAsia" w:ascii="宋体" w:hAnsi="宋体" w:cs="宋体"/>
                <w:kern w:val="0"/>
                <w:szCs w:val="21"/>
              </w:rPr>
              <w:t>准</w:t>
            </w:r>
          </w:p>
        </w:tc>
        <w:tc>
          <w:tcPr>
            <w:tcW w:w="8235" w:type="dxa"/>
            <w:noWrap w:val="0"/>
            <w:vAlign w:val="center"/>
          </w:tcPr>
          <w:p>
            <w:pPr>
              <w:bidi w:val="0"/>
              <w:rPr>
                <w:b/>
                <w:bCs/>
              </w:rPr>
            </w:pPr>
            <w:r>
              <w:rPr>
                <w:rFonts w:hint="eastAsia"/>
                <w:b/>
                <w:bCs/>
                <w:lang w:val="en-US" w:eastAsia="zh-CN"/>
              </w:rPr>
              <w:t>1、</w:t>
            </w:r>
            <w:r>
              <w:rPr>
                <w:rFonts w:hint="eastAsia"/>
                <w:b/>
                <w:bCs/>
              </w:rPr>
              <w:t>大气污染物排放标准</w:t>
            </w:r>
          </w:p>
          <w:p>
            <w:pPr>
              <w:ind w:firstLine="480"/>
            </w:pPr>
            <w:r>
              <w:rPr>
                <w:rFonts w:hint="eastAsia"/>
                <w:lang w:eastAsia="zh-CN"/>
              </w:rPr>
              <w:t>本</w:t>
            </w:r>
            <w:r>
              <w:rPr>
                <w:rFonts w:hint="eastAsia"/>
              </w:rPr>
              <w:t>项目运营期废气主要为喷漆工序产生的漆雾、非甲烷总烃；</w:t>
            </w:r>
            <w:r>
              <w:rPr>
                <w:rFonts w:hint="eastAsia"/>
                <w:lang w:eastAsia="zh-CN"/>
              </w:rPr>
              <w:t>流平、固化工序产生的非甲烷总烃；</w:t>
            </w:r>
            <w:r>
              <w:rPr>
                <w:rFonts w:hint="eastAsia"/>
              </w:rPr>
              <w:t>打磨工序产生的含漆粉尘。</w:t>
            </w:r>
          </w:p>
          <w:p>
            <w:pPr>
              <w:ind w:firstLine="480"/>
              <w:jc w:val="both"/>
              <w:rPr>
                <w:rFonts w:ascii="Times New Roman"/>
                <w:color w:val="auto"/>
              </w:rPr>
            </w:pPr>
            <w:r>
              <w:rPr>
                <w:rFonts w:hint="eastAsia" w:ascii="Times New Roman"/>
                <w:color w:val="auto"/>
              </w:rPr>
              <w:t>营运期颗粒物</w:t>
            </w:r>
            <w:r>
              <w:rPr>
                <w:rFonts w:hint="eastAsia"/>
                <w:color w:val="auto"/>
              </w:rPr>
              <w:t>和</w:t>
            </w:r>
            <w:r>
              <w:rPr>
                <w:rFonts w:ascii="Times New Roman"/>
                <w:color w:val="auto"/>
              </w:rPr>
              <w:t>非甲烷总烃</w:t>
            </w:r>
            <w:r>
              <w:rPr>
                <w:rFonts w:hint="eastAsia" w:ascii="Times New Roman"/>
                <w:color w:val="auto"/>
              </w:rPr>
              <w:t>排放执行《大气污染物综合排放标准》（GB16297-1996）中表2排放限值。</w:t>
            </w:r>
            <w:r>
              <w:rPr>
                <w:rFonts w:ascii="Times New Roman"/>
                <w:color w:val="auto"/>
                <w:spacing w:val="-3"/>
              </w:rPr>
              <w:t>无组织排放执行《挥发性有机物无组织排放控制标准》（GB37822-2019）附录A表A.1中特别排放限值</w:t>
            </w:r>
            <w:r>
              <w:rPr>
                <w:rFonts w:hint="eastAsia"/>
                <w:color w:val="auto"/>
              </w:rPr>
              <w:t>。</w:t>
            </w:r>
          </w:p>
          <w:p>
            <w:pPr>
              <w:pStyle w:val="24"/>
              <w:bidi w:val="0"/>
            </w:pPr>
            <w:r>
              <w:t>表</w:t>
            </w:r>
            <w:r>
              <w:rPr>
                <w:rFonts w:hint="eastAsia"/>
              </w:rPr>
              <w:t>3-</w:t>
            </w:r>
            <w:r>
              <w:rPr>
                <w:rFonts w:hint="eastAsia"/>
                <w:lang w:val="en-US" w:eastAsia="zh-CN"/>
              </w:rPr>
              <w:t>3</w:t>
            </w:r>
            <w:r>
              <w:t xml:space="preserve"> </w:t>
            </w:r>
            <w:r>
              <w:rPr>
                <w:rFonts w:hint="eastAsia"/>
              </w:rPr>
              <w:t xml:space="preserve"> 大气污染排放执行标准</w:t>
            </w:r>
          </w:p>
          <w:tbl>
            <w:tblPr>
              <w:tblStyle w:val="20"/>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525"/>
              <w:gridCol w:w="1053"/>
              <w:gridCol w:w="978"/>
              <w:gridCol w:w="918"/>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9" w:type="pct"/>
                  <w:vMerge w:val="restar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标准名称及级</w:t>
                  </w:r>
                  <w:r>
                    <w:rPr>
                      <w:rFonts w:hint="eastAsia"/>
                      <w:lang w:eastAsia="zh-CN"/>
                    </w:rPr>
                    <w:t>（</w:t>
                  </w:r>
                  <w:r>
                    <w:rPr>
                      <w:rFonts w:hint="eastAsia"/>
                    </w:rPr>
                    <w:t>类</w:t>
                  </w:r>
                  <w:r>
                    <w:rPr>
                      <w:rFonts w:hint="eastAsia"/>
                      <w:lang w:eastAsia="zh-CN"/>
                    </w:rPr>
                    <w:t>）</w:t>
                  </w:r>
                  <w:r>
                    <w:rPr>
                      <w:rFonts w:hint="eastAsia"/>
                    </w:rPr>
                    <w:t>别</w:t>
                  </w:r>
                </w:p>
              </w:tc>
              <w:tc>
                <w:tcPr>
                  <w:tcW w:w="970" w:type="pct"/>
                  <w:vMerge w:val="restar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污染物</w:t>
                  </w:r>
                </w:p>
              </w:tc>
              <w:tc>
                <w:tcPr>
                  <w:tcW w:w="2879" w:type="pct"/>
                  <w:gridSpan w:val="4"/>
                  <w:tcBorders>
                    <w:top w:val="single" w:color="auto" w:sz="4" w:space="0"/>
                    <w:left w:val="single" w:color="auto" w:sz="4" w:space="0"/>
                    <w:bottom w:val="single" w:color="auto" w:sz="4" w:space="0"/>
                    <w:right w:val="single" w:color="auto" w:sz="4" w:space="0"/>
                  </w:tcBorders>
                  <w:vAlign w:val="center"/>
                </w:tcPr>
                <w:p>
                  <w:pPr>
                    <w:pStyle w:val="25"/>
                  </w:pPr>
                  <w:r>
                    <w:rPr>
                      <w:rFonts w:hint="eastAsia"/>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9"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970"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670"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排放浓度</w:t>
                  </w:r>
                  <w:r>
                    <w:t>mg/m</w:t>
                  </w:r>
                  <w:r>
                    <w:rPr>
                      <w:vertAlign w:val="superscript"/>
                    </w:rPr>
                    <w:t>3</w:t>
                  </w:r>
                </w:p>
              </w:tc>
              <w:tc>
                <w:tcPr>
                  <w:tcW w:w="622"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排气筒高度</w:t>
                  </w:r>
                  <w:r>
                    <w:rPr>
                      <w:highlight w:val="none"/>
                    </w:rPr>
                    <w:t>m</w:t>
                  </w:r>
                </w:p>
              </w:tc>
              <w:tc>
                <w:tcPr>
                  <w:tcW w:w="584"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排放速率</w:t>
                  </w:r>
                  <w:r>
                    <w:t>kg/h</w:t>
                  </w:r>
                </w:p>
              </w:tc>
              <w:tc>
                <w:tcPr>
                  <w:tcW w:w="1002"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周界外浓度最高点</w:t>
                  </w:r>
                  <w:r>
                    <w:t>mg/m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9" w:type="pct"/>
                  <w:vMerge w:val="restar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w:t>
                  </w:r>
                  <w:r>
                    <w:t>GB16297-1996</w:t>
                  </w:r>
                  <w:r>
                    <w:rPr>
                      <w:rFonts w:hint="eastAsia"/>
                    </w:rPr>
                    <w:t>）中表</w:t>
                  </w:r>
                  <w:r>
                    <w:t>2</w:t>
                  </w:r>
                  <w:r>
                    <w:rPr>
                      <w:rFonts w:hint="eastAsia"/>
                    </w:rPr>
                    <w:t>排放限值</w:t>
                  </w:r>
                </w:p>
              </w:tc>
              <w:tc>
                <w:tcPr>
                  <w:tcW w:w="970"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颗粒物</w:t>
                  </w:r>
                </w:p>
              </w:tc>
              <w:tc>
                <w:tcPr>
                  <w:tcW w:w="670" w:type="pct"/>
                  <w:tcBorders>
                    <w:top w:val="single" w:color="auto" w:sz="4" w:space="0"/>
                    <w:left w:val="single" w:color="auto" w:sz="4" w:space="0"/>
                    <w:bottom w:val="single" w:color="auto" w:sz="4" w:space="0"/>
                    <w:right w:val="single" w:color="auto" w:sz="4" w:space="0"/>
                  </w:tcBorders>
                  <w:vAlign w:val="center"/>
                </w:tcPr>
                <w:p>
                  <w:pPr>
                    <w:pStyle w:val="25"/>
                  </w:pPr>
                  <w:r>
                    <w:t>120</w:t>
                  </w:r>
                </w:p>
              </w:tc>
              <w:tc>
                <w:tcPr>
                  <w:tcW w:w="622"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lang w:val="en-US" w:eastAsia="zh-CN"/>
                    </w:rPr>
                    <w:t>1</w:t>
                  </w:r>
                  <w:r>
                    <w:rPr>
                      <w:highlight w:val="none"/>
                    </w:rPr>
                    <w:t>5</w:t>
                  </w:r>
                </w:p>
              </w:tc>
              <w:tc>
                <w:tcPr>
                  <w:tcW w:w="584" w:type="pct"/>
                  <w:tcBorders>
                    <w:top w:val="single" w:color="auto" w:sz="4" w:space="0"/>
                    <w:left w:val="single" w:color="auto" w:sz="4" w:space="0"/>
                    <w:bottom w:val="single" w:color="auto" w:sz="4" w:space="0"/>
                    <w:right w:val="single" w:color="auto" w:sz="4" w:space="0"/>
                  </w:tcBorders>
                  <w:vAlign w:val="center"/>
                </w:tcPr>
                <w:p>
                  <w:pPr>
                    <w:pStyle w:val="25"/>
                    <w:rPr>
                      <w:rFonts w:hint="default" w:eastAsia="宋体"/>
                      <w:lang w:val="en-US" w:eastAsia="zh-CN"/>
                    </w:rPr>
                  </w:pPr>
                  <w:r>
                    <w:rPr>
                      <w:rFonts w:hint="eastAsia"/>
                      <w:lang w:val="en-US" w:eastAsia="zh-CN"/>
                    </w:rPr>
                    <w:t>3.5</w:t>
                  </w:r>
                </w:p>
              </w:tc>
              <w:tc>
                <w:tcPr>
                  <w:tcW w:w="1002" w:type="pct"/>
                  <w:tcBorders>
                    <w:top w:val="single" w:color="auto" w:sz="4" w:space="0"/>
                    <w:left w:val="single" w:color="auto" w:sz="4" w:space="0"/>
                    <w:bottom w:val="single" w:color="auto" w:sz="4" w:space="0"/>
                    <w:right w:val="single" w:color="auto" w:sz="4" w:space="0"/>
                  </w:tcBorders>
                  <w:vAlign w:val="center"/>
                </w:tcPr>
                <w:p>
                  <w:pPr>
                    <w:pStyle w:val="25"/>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9"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970" w:type="pct"/>
                  <w:tcBorders>
                    <w:top w:val="single" w:color="auto" w:sz="4" w:space="0"/>
                    <w:left w:val="single" w:color="auto" w:sz="4" w:space="0"/>
                    <w:bottom w:val="single" w:color="auto" w:sz="4" w:space="0"/>
                    <w:right w:val="single" w:color="auto" w:sz="4" w:space="0"/>
                  </w:tcBorders>
                  <w:vAlign w:val="center"/>
                </w:tcPr>
                <w:p>
                  <w:pPr>
                    <w:pStyle w:val="25"/>
                    <w:rPr>
                      <w:rFonts w:hint="eastAsia" w:eastAsia="宋体"/>
                      <w:lang w:eastAsia="zh-CN"/>
                    </w:rPr>
                  </w:pPr>
                  <w:r>
                    <w:rPr>
                      <w:rFonts w:hint="eastAsia"/>
                      <w:lang w:eastAsia="zh-CN"/>
                    </w:rPr>
                    <w:t>非甲烷总烃</w:t>
                  </w:r>
                </w:p>
              </w:tc>
              <w:tc>
                <w:tcPr>
                  <w:tcW w:w="670" w:type="pct"/>
                  <w:tcBorders>
                    <w:top w:val="single" w:color="auto" w:sz="4" w:space="0"/>
                    <w:left w:val="single" w:color="auto" w:sz="4" w:space="0"/>
                    <w:bottom w:val="single" w:color="auto" w:sz="4" w:space="0"/>
                    <w:right w:val="single" w:color="auto" w:sz="4" w:space="0"/>
                  </w:tcBorders>
                  <w:vAlign w:val="center"/>
                </w:tcPr>
                <w:p>
                  <w:pPr>
                    <w:pStyle w:val="25"/>
                  </w:pPr>
                  <w:r>
                    <w:t>120</w:t>
                  </w:r>
                </w:p>
              </w:tc>
              <w:tc>
                <w:tcPr>
                  <w:tcW w:w="622"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lang w:val="en-US" w:eastAsia="zh-CN"/>
                    </w:rPr>
                    <w:t>1</w:t>
                  </w:r>
                  <w:r>
                    <w:rPr>
                      <w:highlight w:val="none"/>
                    </w:rPr>
                    <w:t>5</w:t>
                  </w:r>
                </w:p>
              </w:tc>
              <w:tc>
                <w:tcPr>
                  <w:tcW w:w="584" w:type="pct"/>
                  <w:tcBorders>
                    <w:top w:val="single" w:color="auto" w:sz="4" w:space="0"/>
                    <w:left w:val="single" w:color="auto" w:sz="4" w:space="0"/>
                    <w:bottom w:val="single" w:color="auto" w:sz="4" w:space="0"/>
                    <w:right w:val="single" w:color="auto" w:sz="4" w:space="0"/>
                  </w:tcBorders>
                  <w:vAlign w:val="center"/>
                </w:tcPr>
                <w:p>
                  <w:pPr>
                    <w:pStyle w:val="25"/>
                    <w:rPr>
                      <w:rFonts w:hint="default" w:eastAsia="宋体"/>
                      <w:lang w:val="en-US" w:eastAsia="zh-CN"/>
                    </w:rPr>
                  </w:pPr>
                  <w:r>
                    <w:rPr>
                      <w:rFonts w:hint="eastAsia"/>
                      <w:lang w:val="en-US" w:eastAsia="zh-CN"/>
                    </w:rPr>
                    <w:t>10</w:t>
                  </w:r>
                </w:p>
              </w:tc>
              <w:tc>
                <w:tcPr>
                  <w:tcW w:w="1002" w:type="pct"/>
                  <w:tcBorders>
                    <w:top w:val="single" w:color="auto" w:sz="4" w:space="0"/>
                    <w:left w:val="single" w:color="auto" w:sz="4" w:space="0"/>
                    <w:bottom w:val="single" w:color="auto" w:sz="4" w:space="0"/>
                    <w:right w:val="single" w:color="auto" w:sz="4" w:space="0"/>
                  </w:tcBorders>
                  <w:vAlign w:val="center"/>
                </w:tcPr>
                <w:p>
                  <w:pPr>
                    <w:pStyle w:val="25"/>
                  </w:pPr>
                  <w:r>
                    <w:t>4.0</w:t>
                  </w:r>
                </w:p>
              </w:tc>
            </w:tr>
          </w:tbl>
          <w:p>
            <w:pPr>
              <w:pStyle w:val="24"/>
              <w:bidi w:val="0"/>
            </w:pPr>
          </w:p>
          <w:p>
            <w:pPr>
              <w:pStyle w:val="24"/>
              <w:bidi w:val="0"/>
            </w:pPr>
            <w:r>
              <w:t>表</w:t>
            </w:r>
            <w:r>
              <w:rPr>
                <w:rFonts w:hint="eastAsia"/>
              </w:rPr>
              <w:t>3-</w:t>
            </w:r>
            <w:r>
              <w:rPr>
                <w:rFonts w:hint="eastAsia"/>
                <w:lang w:val="en-US" w:eastAsia="zh-CN"/>
              </w:rPr>
              <w:t>4</w:t>
            </w:r>
            <w:r>
              <w:rPr>
                <w:rFonts w:hint="eastAsia"/>
              </w:rPr>
              <w:t xml:space="preserve"> </w:t>
            </w:r>
            <w:r>
              <w:t xml:space="preserve"> 厂区内</w:t>
            </w:r>
            <w:r>
              <w:rPr>
                <w:rFonts w:hint="eastAsia"/>
              </w:rPr>
              <w:t>有机废气</w:t>
            </w:r>
            <w:r>
              <w:t>无组织排放限值</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34"/>
              <w:gridCol w:w="2649"/>
              <w:gridCol w:w="138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542" w:type="pct"/>
                  <w:vAlign w:val="center"/>
                </w:tcPr>
                <w:p>
                  <w:pPr>
                    <w:pStyle w:val="25"/>
                  </w:pPr>
                  <w:r>
                    <w:rPr>
                      <w:rFonts w:hint="eastAsia"/>
                    </w:rPr>
                    <w:t>污染物</w:t>
                  </w:r>
                </w:p>
                <w:p>
                  <w:pPr>
                    <w:pStyle w:val="25"/>
                  </w:pPr>
                  <w:r>
                    <w:rPr>
                      <w:rFonts w:hint="eastAsia"/>
                    </w:rPr>
                    <w:t>名称</w:t>
                  </w:r>
                </w:p>
              </w:tc>
              <w:tc>
                <w:tcPr>
                  <w:tcW w:w="833" w:type="pct"/>
                  <w:vAlign w:val="center"/>
                </w:tcPr>
                <w:p>
                  <w:pPr>
                    <w:pStyle w:val="25"/>
                  </w:pPr>
                  <w:r>
                    <w:rPr>
                      <w:rFonts w:hint="eastAsia"/>
                    </w:rPr>
                    <w:t>特别排放限值mg/m</w:t>
                  </w:r>
                  <w:r>
                    <w:rPr>
                      <w:rFonts w:hint="eastAsia"/>
                      <w:vertAlign w:val="superscript"/>
                    </w:rPr>
                    <w:t>3</w:t>
                  </w:r>
                </w:p>
              </w:tc>
              <w:tc>
                <w:tcPr>
                  <w:tcW w:w="1654" w:type="pct"/>
                  <w:vAlign w:val="center"/>
                </w:tcPr>
                <w:p>
                  <w:pPr>
                    <w:pStyle w:val="25"/>
                  </w:pPr>
                  <w:r>
                    <w:rPr>
                      <w:rFonts w:hint="eastAsia"/>
                    </w:rPr>
                    <w:t>限值含义</w:t>
                  </w:r>
                </w:p>
              </w:tc>
              <w:tc>
                <w:tcPr>
                  <w:tcW w:w="864" w:type="pct"/>
                  <w:vAlign w:val="center"/>
                </w:tcPr>
                <w:p>
                  <w:pPr>
                    <w:pStyle w:val="25"/>
                  </w:pPr>
                  <w:r>
                    <w:rPr>
                      <w:rFonts w:hint="eastAsia"/>
                    </w:rPr>
                    <w:t>无组织排放监控位置</w:t>
                  </w:r>
                </w:p>
              </w:tc>
              <w:tc>
                <w:tcPr>
                  <w:tcW w:w="1105" w:type="pct"/>
                  <w:vAlign w:val="center"/>
                </w:tcPr>
                <w:p>
                  <w:pPr>
                    <w:pStyle w:val="25"/>
                  </w:pPr>
                  <w:r>
                    <w:rPr>
                      <w:rFonts w:hint="eastAsia"/>
                    </w:rPr>
                    <w:t>采用标准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542" w:type="pct"/>
                  <w:vMerge w:val="restart"/>
                  <w:vAlign w:val="center"/>
                </w:tcPr>
                <w:p>
                  <w:pPr>
                    <w:pStyle w:val="25"/>
                  </w:pPr>
                  <w:r>
                    <w:rPr>
                      <w:rFonts w:hint="eastAsia"/>
                    </w:rPr>
                    <w:t>NMHC</w:t>
                  </w:r>
                </w:p>
              </w:tc>
              <w:tc>
                <w:tcPr>
                  <w:tcW w:w="833" w:type="pct"/>
                  <w:vAlign w:val="center"/>
                </w:tcPr>
                <w:p>
                  <w:pPr>
                    <w:pStyle w:val="25"/>
                  </w:pPr>
                  <w:r>
                    <w:rPr>
                      <w:rFonts w:hint="eastAsia"/>
                    </w:rPr>
                    <w:t>6</w:t>
                  </w:r>
                </w:p>
              </w:tc>
              <w:tc>
                <w:tcPr>
                  <w:tcW w:w="1654" w:type="pct"/>
                  <w:vAlign w:val="center"/>
                </w:tcPr>
                <w:p>
                  <w:pPr>
                    <w:pStyle w:val="25"/>
                  </w:pPr>
                  <w:r>
                    <w:rPr>
                      <w:rFonts w:hint="eastAsia"/>
                    </w:rPr>
                    <w:t>监控点处1h平均浓度值</w:t>
                  </w:r>
                </w:p>
              </w:tc>
              <w:tc>
                <w:tcPr>
                  <w:tcW w:w="864" w:type="pct"/>
                  <w:vMerge w:val="restart"/>
                  <w:vAlign w:val="center"/>
                </w:tcPr>
                <w:p>
                  <w:pPr>
                    <w:pStyle w:val="25"/>
                  </w:pPr>
                  <w:r>
                    <w:rPr>
                      <w:rFonts w:hint="eastAsia"/>
                    </w:rPr>
                    <w:t>在厂房外设置监控点</w:t>
                  </w:r>
                </w:p>
              </w:tc>
              <w:tc>
                <w:tcPr>
                  <w:tcW w:w="1105" w:type="pct"/>
                  <w:vMerge w:val="restart"/>
                  <w:vAlign w:val="center"/>
                </w:tcPr>
                <w:p>
                  <w:pPr>
                    <w:pStyle w:val="25"/>
                  </w:pPr>
                  <w:r>
                    <w:rPr>
                      <w:rFonts w:hint="eastAsia"/>
                    </w:rPr>
                    <w:t>GB37822-2019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542" w:type="pct"/>
                  <w:vMerge w:val="continue"/>
                  <w:vAlign w:val="center"/>
                </w:tcPr>
                <w:p>
                  <w:pPr>
                    <w:ind w:firstLine="480"/>
                    <w:jc w:val="center"/>
                  </w:pPr>
                </w:p>
              </w:tc>
              <w:tc>
                <w:tcPr>
                  <w:tcW w:w="833" w:type="pct"/>
                  <w:vAlign w:val="center"/>
                </w:tcPr>
                <w:p>
                  <w:pPr>
                    <w:pStyle w:val="25"/>
                  </w:pPr>
                  <w:r>
                    <w:rPr>
                      <w:rFonts w:hint="eastAsia"/>
                    </w:rPr>
                    <w:t>20</w:t>
                  </w:r>
                </w:p>
              </w:tc>
              <w:tc>
                <w:tcPr>
                  <w:tcW w:w="1654" w:type="pct"/>
                  <w:vAlign w:val="center"/>
                </w:tcPr>
                <w:p>
                  <w:pPr>
                    <w:pStyle w:val="25"/>
                  </w:pPr>
                  <w:r>
                    <w:rPr>
                      <w:rFonts w:hint="eastAsia"/>
                    </w:rPr>
                    <w:t>监控点处任意一次浓度值</w:t>
                  </w:r>
                </w:p>
              </w:tc>
              <w:tc>
                <w:tcPr>
                  <w:tcW w:w="864" w:type="pct"/>
                  <w:vMerge w:val="continue"/>
                  <w:vAlign w:val="center"/>
                </w:tcPr>
                <w:p>
                  <w:pPr>
                    <w:ind w:firstLine="480"/>
                    <w:jc w:val="center"/>
                  </w:pPr>
                </w:p>
              </w:tc>
              <w:tc>
                <w:tcPr>
                  <w:tcW w:w="1105" w:type="pct"/>
                  <w:vMerge w:val="continue"/>
                  <w:vAlign w:val="center"/>
                </w:tcPr>
                <w:p>
                  <w:pPr>
                    <w:ind w:firstLine="480"/>
                    <w:jc w:val="center"/>
                  </w:pPr>
                </w:p>
              </w:tc>
            </w:tr>
          </w:tbl>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b/>
                <w:bCs/>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b/>
                <w:bCs/>
                <w:sz w:val="10"/>
                <w:szCs w:val="10"/>
                <w:lang w:val="en-US" w:eastAsia="zh-CN"/>
              </w:rPr>
            </w:pPr>
          </w:p>
          <w:p>
            <w:pPr>
              <w:bidi w:val="0"/>
              <w:rPr>
                <w:b/>
                <w:bCs/>
              </w:rPr>
            </w:pPr>
            <w:r>
              <w:rPr>
                <w:rFonts w:hint="eastAsia"/>
                <w:b/>
                <w:bCs/>
                <w:lang w:val="en-US" w:eastAsia="zh-CN"/>
              </w:rPr>
              <w:t>2、</w:t>
            </w:r>
            <w:r>
              <w:rPr>
                <w:rFonts w:hint="eastAsia"/>
                <w:b/>
                <w:bCs/>
              </w:rPr>
              <w:t>水污染物排放标准</w:t>
            </w:r>
          </w:p>
          <w:p>
            <w:pPr>
              <w:adjustRightInd w:val="0"/>
              <w:snapToGrid w:val="0"/>
              <w:ind w:firstLine="480"/>
            </w:pPr>
            <w:r>
              <w:rPr>
                <w:rFonts w:hint="eastAsia"/>
                <w:lang w:eastAsia="zh-CN"/>
              </w:rPr>
              <w:t>本</w:t>
            </w:r>
            <w:r>
              <w:t>项目废水</w:t>
            </w:r>
            <w:r>
              <w:rPr>
                <w:rFonts w:hint="eastAsia"/>
              </w:rPr>
              <w:t>为员工生活废水</w:t>
            </w:r>
            <w:r>
              <w:rPr>
                <w:rFonts w:hint="eastAsia"/>
                <w:lang w:eastAsia="zh-CN"/>
              </w:rPr>
              <w:t>，</w:t>
            </w:r>
            <w:r>
              <w:rPr>
                <w:rFonts w:hint="eastAsia"/>
                <w:color w:val="auto"/>
                <w:highlight w:val="none"/>
              </w:rPr>
              <w:t>经安徽省泗县友前木片餐盒有限公司</w:t>
            </w:r>
            <w:r>
              <w:rPr>
                <w:rFonts w:hint="eastAsia"/>
                <w:color w:val="auto"/>
                <w:highlight w:val="none"/>
                <w:lang w:eastAsia="zh-CN"/>
              </w:rPr>
              <w:t>现有</w:t>
            </w:r>
            <w:r>
              <w:rPr>
                <w:rFonts w:hint="eastAsia"/>
                <w:color w:val="auto"/>
                <w:highlight w:val="none"/>
                <w:lang w:val="en-US" w:eastAsia="zh-CN"/>
              </w:rPr>
              <w:t>化粪池预处理后接管至大庄镇污水处理厂，</w:t>
            </w:r>
            <w:r>
              <w:rPr>
                <w:rFonts w:hint="eastAsia"/>
                <w:color w:val="auto"/>
                <w:lang w:val="en-US" w:eastAsia="zh-CN"/>
              </w:rPr>
              <w:t>经大庄镇污水处理厂深度处理达《城镇污水处理厂污染物排放标准》（GB18918-2002）中一级A标准后排入老濉河</w:t>
            </w:r>
            <w:r>
              <w:rPr>
                <w:rFonts w:hint="eastAsia" w:cs="Times New Roman"/>
                <w:color w:val="auto"/>
                <w:kern w:val="2"/>
                <w:sz w:val="24"/>
                <w:szCs w:val="22"/>
                <w:lang w:val="en-US" w:eastAsia="zh-CN" w:bidi="ar-SA"/>
              </w:rPr>
              <w:t>。</w:t>
            </w:r>
          </w:p>
          <w:p>
            <w:pPr>
              <w:pStyle w:val="24"/>
              <w:bidi w:val="0"/>
            </w:pPr>
            <w:r>
              <w:t>表</w:t>
            </w:r>
            <w:r>
              <w:rPr>
                <w:rFonts w:hint="eastAsia"/>
              </w:rPr>
              <w:t>3-</w:t>
            </w:r>
            <w:r>
              <w:rPr>
                <w:rFonts w:hint="eastAsia"/>
                <w:lang w:val="en-US" w:eastAsia="zh-CN"/>
              </w:rPr>
              <w:t>5</w:t>
            </w:r>
            <w:r>
              <w:rPr>
                <w:rFonts w:hint="eastAsia"/>
              </w:rPr>
              <w:t xml:space="preserve">  </w:t>
            </w:r>
            <w:r>
              <w:t>项目废水排放标准</w:t>
            </w:r>
            <w:r>
              <w:rPr>
                <w:rFonts w:hint="eastAsia"/>
              </w:rPr>
              <w:t xml:space="preserve">  </w:t>
            </w:r>
            <w:r>
              <w:t>单位</w:t>
            </w:r>
            <w:r>
              <w:rPr>
                <w:rFonts w:hint="eastAsia"/>
              </w:rPr>
              <w:t>：</w:t>
            </w:r>
            <w:r>
              <w:t xml:space="preserve">mg/L， </w:t>
            </w:r>
            <w:r>
              <w:rPr>
                <w:rFonts w:hint="eastAsia"/>
              </w:rPr>
              <w:t>p</w:t>
            </w:r>
            <w:r>
              <w:t>H</w:t>
            </w:r>
            <w:r>
              <w:rPr>
                <w:rFonts w:hint="eastAsia"/>
              </w:rPr>
              <w:t>无量纲</w:t>
            </w:r>
          </w:p>
          <w:tbl>
            <w:tblPr>
              <w:tblStyle w:val="20"/>
              <w:tblW w:w="78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105"/>
              <w:gridCol w:w="824"/>
              <w:gridCol w:w="984"/>
              <w:gridCol w:w="1128"/>
              <w:gridCol w:w="964"/>
              <w:gridCol w:w="8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3105" w:type="dxa"/>
                  <w:tcBorders>
                    <w:tl2br w:val="nil"/>
                    <w:tr2bl w:val="nil"/>
                  </w:tcBorders>
                  <w:vAlign w:val="center"/>
                </w:tcPr>
                <w:p>
                  <w:pPr>
                    <w:pStyle w:val="25"/>
                  </w:pPr>
                  <w:r>
                    <w:t>污染物</w:t>
                  </w:r>
                </w:p>
              </w:tc>
              <w:tc>
                <w:tcPr>
                  <w:tcW w:w="824" w:type="dxa"/>
                  <w:tcBorders>
                    <w:tl2br w:val="nil"/>
                    <w:tr2bl w:val="nil"/>
                  </w:tcBorders>
                  <w:vAlign w:val="center"/>
                </w:tcPr>
                <w:p>
                  <w:pPr>
                    <w:pStyle w:val="25"/>
                  </w:pPr>
                  <w:r>
                    <w:t>pH</w:t>
                  </w:r>
                </w:p>
              </w:tc>
              <w:tc>
                <w:tcPr>
                  <w:tcW w:w="984" w:type="dxa"/>
                  <w:tcBorders>
                    <w:tl2br w:val="nil"/>
                    <w:tr2bl w:val="nil"/>
                  </w:tcBorders>
                  <w:vAlign w:val="center"/>
                </w:tcPr>
                <w:p>
                  <w:pPr>
                    <w:pStyle w:val="25"/>
                  </w:pPr>
                  <w:r>
                    <w:t>COD</w:t>
                  </w:r>
                </w:p>
              </w:tc>
              <w:tc>
                <w:tcPr>
                  <w:tcW w:w="1128" w:type="dxa"/>
                  <w:tcBorders>
                    <w:tl2br w:val="nil"/>
                    <w:tr2bl w:val="nil"/>
                  </w:tcBorders>
                  <w:vAlign w:val="center"/>
                </w:tcPr>
                <w:p>
                  <w:pPr>
                    <w:pStyle w:val="25"/>
                  </w:pPr>
                  <w:r>
                    <w:t>BOD</w:t>
                  </w:r>
                  <w:r>
                    <w:rPr>
                      <w:vertAlign w:val="subscript"/>
                    </w:rPr>
                    <w:t>5</w:t>
                  </w:r>
                </w:p>
              </w:tc>
              <w:tc>
                <w:tcPr>
                  <w:tcW w:w="964" w:type="dxa"/>
                  <w:tcBorders>
                    <w:tl2br w:val="nil"/>
                    <w:tr2bl w:val="nil"/>
                  </w:tcBorders>
                  <w:vAlign w:val="center"/>
                </w:tcPr>
                <w:p>
                  <w:pPr>
                    <w:pStyle w:val="25"/>
                  </w:pPr>
                  <w:r>
                    <w:rPr>
                      <w:rFonts w:hint="eastAsia"/>
                    </w:rPr>
                    <w:t>SS</w:t>
                  </w:r>
                </w:p>
              </w:tc>
              <w:tc>
                <w:tcPr>
                  <w:tcW w:w="894" w:type="dxa"/>
                  <w:tcBorders>
                    <w:tl2br w:val="nil"/>
                    <w:tr2bl w:val="nil"/>
                  </w:tcBorders>
                  <w:vAlign w:val="center"/>
                </w:tcPr>
                <w:p>
                  <w:pPr>
                    <w:pStyle w:val="25"/>
                  </w:pPr>
                  <w:r>
                    <w:rPr>
                      <w:rFonts w:hint="eastAsia"/>
                    </w:rPr>
                    <w:t>氨氮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105" w:type="dxa"/>
                  <w:tcBorders>
                    <w:tl2br w:val="nil"/>
                    <w:tr2bl w:val="nil"/>
                  </w:tcBorders>
                  <w:vAlign w:val="center"/>
                </w:tcPr>
                <w:p>
                  <w:pPr>
                    <w:pStyle w:val="25"/>
                  </w:pPr>
                  <w:r>
                    <w:rPr>
                      <w:rFonts w:hint="eastAsia"/>
                    </w:rPr>
                    <w:t>大庄镇</w:t>
                  </w:r>
                  <w:r>
                    <w:t>污水处理厂</w:t>
                  </w:r>
                  <w:r>
                    <w:rPr>
                      <w:rFonts w:hint="eastAsia"/>
                    </w:rPr>
                    <w:t>接管限值</w:t>
                  </w:r>
                </w:p>
              </w:tc>
              <w:tc>
                <w:tcPr>
                  <w:tcW w:w="824" w:type="dxa"/>
                  <w:tcBorders>
                    <w:tl2br w:val="nil"/>
                    <w:tr2bl w:val="nil"/>
                  </w:tcBorders>
                  <w:vAlign w:val="center"/>
                </w:tcPr>
                <w:p>
                  <w:pPr>
                    <w:pStyle w:val="25"/>
                  </w:pPr>
                  <w:r>
                    <w:rPr>
                      <w:rFonts w:hint="eastAsia"/>
                    </w:rPr>
                    <w:t>6-9</w:t>
                  </w:r>
                </w:p>
              </w:tc>
              <w:tc>
                <w:tcPr>
                  <w:tcW w:w="984" w:type="dxa"/>
                  <w:tcBorders>
                    <w:tl2br w:val="nil"/>
                    <w:tr2bl w:val="nil"/>
                  </w:tcBorders>
                  <w:vAlign w:val="center"/>
                </w:tcPr>
                <w:p>
                  <w:pPr>
                    <w:pStyle w:val="25"/>
                  </w:pPr>
                  <w:r>
                    <w:t>≤</w:t>
                  </w:r>
                  <w:r>
                    <w:rPr>
                      <w:rFonts w:hint="eastAsia"/>
                    </w:rPr>
                    <w:t>350</w:t>
                  </w:r>
                </w:p>
              </w:tc>
              <w:tc>
                <w:tcPr>
                  <w:tcW w:w="1128" w:type="dxa"/>
                  <w:tcBorders>
                    <w:tl2br w:val="nil"/>
                    <w:tr2bl w:val="nil"/>
                  </w:tcBorders>
                  <w:vAlign w:val="center"/>
                </w:tcPr>
                <w:p>
                  <w:pPr>
                    <w:pStyle w:val="25"/>
                  </w:pPr>
                  <w:r>
                    <w:t>≤</w:t>
                  </w:r>
                  <w:r>
                    <w:rPr>
                      <w:rFonts w:hint="eastAsia"/>
                    </w:rPr>
                    <w:t>200</w:t>
                  </w:r>
                </w:p>
              </w:tc>
              <w:tc>
                <w:tcPr>
                  <w:tcW w:w="964" w:type="dxa"/>
                  <w:tcBorders>
                    <w:tl2br w:val="nil"/>
                    <w:tr2bl w:val="nil"/>
                  </w:tcBorders>
                  <w:vAlign w:val="center"/>
                </w:tcPr>
                <w:p>
                  <w:pPr>
                    <w:pStyle w:val="25"/>
                  </w:pPr>
                  <w:r>
                    <w:t>≤</w:t>
                  </w:r>
                  <w:r>
                    <w:rPr>
                      <w:rFonts w:hint="eastAsia"/>
                    </w:rPr>
                    <w:t>200</w:t>
                  </w:r>
                </w:p>
              </w:tc>
              <w:tc>
                <w:tcPr>
                  <w:tcW w:w="894" w:type="dxa"/>
                  <w:tcBorders>
                    <w:tl2br w:val="nil"/>
                    <w:tr2bl w:val="nil"/>
                  </w:tcBorders>
                  <w:vAlign w:val="center"/>
                </w:tcPr>
                <w:p>
                  <w:pPr>
                    <w:pStyle w:val="25"/>
                  </w:pPr>
                  <w:r>
                    <w:rPr>
                      <w:kern w:val="0"/>
                    </w:rPr>
                    <w:t>≤</w:t>
                  </w:r>
                  <w:r>
                    <w:rPr>
                      <w:rFonts w:hint="eastAsia"/>
                      <w:kern w:val="0"/>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105" w:type="dxa"/>
                  <w:tcBorders>
                    <w:tl2br w:val="nil"/>
                    <w:tr2bl w:val="nil"/>
                  </w:tcBorders>
                  <w:vAlign w:val="center"/>
                </w:tcPr>
                <w:p>
                  <w:pPr>
                    <w:pStyle w:val="25"/>
                  </w:pPr>
                  <w:r>
                    <w:t>（GB18918-2002）一级</w:t>
                  </w:r>
                  <w:r>
                    <w:rPr>
                      <w:rFonts w:hint="eastAsia"/>
                    </w:rPr>
                    <w:t>A</w:t>
                  </w:r>
                  <w:r>
                    <w:t>标准</w:t>
                  </w:r>
                </w:p>
              </w:tc>
              <w:tc>
                <w:tcPr>
                  <w:tcW w:w="824" w:type="dxa"/>
                  <w:tcBorders>
                    <w:tl2br w:val="nil"/>
                    <w:tr2bl w:val="nil"/>
                  </w:tcBorders>
                  <w:vAlign w:val="center"/>
                </w:tcPr>
                <w:p>
                  <w:pPr>
                    <w:pStyle w:val="25"/>
                  </w:pPr>
                  <w:r>
                    <w:rPr>
                      <w:rFonts w:hint="eastAsia"/>
                    </w:rPr>
                    <w:t>6-9</w:t>
                  </w:r>
                </w:p>
              </w:tc>
              <w:tc>
                <w:tcPr>
                  <w:tcW w:w="984" w:type="dxa"/>
                  <w:tcBorders>
                    <w:tl2br w:val="nil"/>
                    <w:tr2bl w:val="nil"/>
                  </w:tcBorders>
                  <w:vAlign w:val="center"/>
                </w:tcPr>
                <w:p>
                  <w:pPr>
                    <w:pStyle w:val="25"/>
                  </w:pPr>
                  <w:r>
                    <w:t>≤</w:t>
                  </w:r>
                  <w:r>
                    <w:rPr>
                      <w:rFonts w:hint="eastAsia"/>
                    </w:rPr>
                    <w:t>50</w:t>
                  </w:r>
                </w:p>
              </w:tc>
              <w:tc>
                <w:tcPr>
                  <w:tcW w:w="1128" w:type="dxa"/>
                  <w:tcBorders>
                    <w:tl2br w:val="nil"/>
                    <w:tr2bl w:val="nil"/>
                  </w:tcBorders>
                  <w:vAlign w:val="center"/>
                </w:tcPr>
                <w:p>
                  <w:pPr>
                    <w:pStyle w:val="25"/>
                  </w:pPr>
                  <w:r>
                    <w:t>≤</w:t>
                  </w:r>
                  <w:r>
                    <w:rPr>
                      <w:rFonts w:hint="eastAsia"/>
                    </w:rPr>
                    <w:t>10</w:t>
                  </w:r>
                </w:p>
              </w:tc>
              <w:tc>
                <w:tcPr>
                  <w:tcW w:w="964" w:type="dxa"/>
                  <w:tcBorders>
                    <w:tl2br w:val="nil"/>
                    <w:tr2bl w:val="nil"/>
                  </w:tcBorders>
                  <w:vAlign w:val="center"/>
                </w:tcPr>
                <w:p>
                  <w:pPr>
                    <w:pStyle w:val="25"/>
                  </w:pPr>
                  <w:r>
                    <w:t>≤</w:t>
                  </w:r>
                  <w:r>
                    <w:rPr>
                      <w:rFonts w:hint="eastAsia"/>
                    </w:rPr>
                    <w:t>10</w:t>
                  </w:r>
                </w:p>
              </w:tc>
              <w:tc>
                <w:tcPr>
                  <w:tcW w:w="894" w:type="dxa"/>
                  <w:tcBorders>
                    <w:tl2br w:val="nil"/>
                    <w:tr2bl w:val="nil"/>
                  </w:tcBorders>
                  <w:vAlign w:val="center"/>
                </w:tcPr>
                <w:p>
                  <w:pPr>
                    <w:pStyle w:val="25"/>
                  </w:pPr>
                  <w:r>
                    <w:rPr>
                      <w:kern w:val="0"/>
                    </w:rPr>
                    <w:t>≤</w:t>
                  </w:r>
                  <w:r>
                    <w:rPr>
                      <w:rFonts w:hint="eastAsia"/>
                      <w:kern w:val="0"/>
                    </w:rPr>
                    <w:t>5（8）</w:t>
                  </w:r>
                </w:p>
              </w:tc>
            </w:tr>
          </w:tbl>
          <w:p>
            <w:pPr>
              <w:bidi w:val="0"/>
              <w:rPr>
                <w:b/>
                <w:bCs/>
              </w:rPr>
            </w:pPr>
            <w:r>
              <w:rPr>
                <w:rFonts w:hint="eastAsia"/>
                <w:b/>
                <w:bCs/>
                <w:lang w:val="en-US" w:eastAsia="zh-CN"/>
              </w:rPr>
              <w:t>3、</w:t>
            </w:r>
            <w:r>
              <w:rPr>
                <w:rFonts w:hint="eastAsia"/>
                <w:b/>
                <w:bCs/>
              </w:rPr>
              <w:t>噪声排放标准</w:t>
            </w:r>
          </w:p>
          <w:p>
            <w:pPr>
              <w:adjustRightInd w:val="0"/>
              <w:snapToGrid w:val="0"/>
              <w:ind w:firstLine="480"/>
            </w:pPr>
            <w:r>
              <w:rPr>
                <w:rFonts w:hint="eastAsia"/>
              </w:rPr>
              <w:t>项目</w:t>
            </w:r>
            <w:r>
              <w:t>营运期噪声排放</w:t>
            </w:r>
            <w:r>
              <w:rPr>
                <w:rFonts w:hint="eastAsia"/>
              </w:rPr>
              <w:t>厂界</w:t>
            </w:r>
            <w:r>
              <w:t>执行</w:t>
            </w:r>
            <w:r>
              <w:rPr>
                <w:rFonts w:hint="eastAsia"/>
              </w:rPr>
              <w:t>《工业企业厂界环境噪声排放标准》（GB12348-2008）</w:t>
            </w:r>
            <w:r>
              <w:t>执行</w:t>
            </w:r>
            <w:r>
              <w:rPr>
                <w:rFonts w:hint="eastAsia"/>
              </w:rPr>
              <w:t>3</w:t>
            </w:r>
            <w:r>
              <w:t>类标准，具体如下表所示。</w:t>
            </w:r>
          </w:p>
          <w:p>
            <w:pPr>
              <w:pStyle w:val="24"/>
              <w:bidi w:val="0"/>
            </w:pPr>
            <w:r>
              <w:t>表</w:t>
            </w:r>
            <w:r>
              <w:rPr>
                <w:rFonts w:hint="eastAsia"/>
              </w:rPr>
              <w:t>3</w:t>
            </w:r>
            <w:r>
              <w:t>-</w:t>
            </w:r>
            <w:r>
              <w:rPr>
                <w:rFonts w:hint="eastAsia"/>
                <w:lang w:val="en-US" w:eastAsia="zh-CN"/>
              </w:rPr>
              <w:t>6</w:t>
            </w:r>
            <w:r>
              <w:rPr>
                <w:rFonts w:hint="eastAsia"/>
              </w:rPr>
              <w:t xml:space="preserve">  </w:t>
            </w:r>
            <w:r>
              <w:t>《</w:t>
            </w:r>
            <w:r>
              <w:rPr>
                <w:rFonts w:hint="eastAsia"/>
              </w:rPr>
              <w:t>工业企业厂界环境噪声排放标准</w:t>
            </w:r>
            <w:r>
              <w:t>》（GB22337-2008）（dB（A））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264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3" w:type="pct"/>
                  <w:tcBorders>
                    <w:tl2br w:val="nil"/>
                    <w:tr2bl w:val="nil"/>
                  </w:tcBorders>
                  <w:vAlign w:val="center"/>
                </w:tcPr>
                <w:p>
                  <w:pPr>
                    <w:pStyle w:val="25"/>
                    <w:rPr>
                      <w:bCs/>
                    </w:rPr>
                  </w:pPr>
                  <w:r>
                    <w:rPr>
                      <w:bCs/>
                    </w:rPr>
                    <w:t>类别</w:t>
                  </w:r>
                </w:p>
              </w:tc>
              <w:tc>
                <w:tcPr>
                  <w:tcW w:w="1651" w:type="pct"/>
                  <w:tcBorders>
                    <w:tl2br w:val="nil"/>
                    <w:tr2bl w:val="nil"/>
                  </w:tcBorders>
                  <w:vAlign w:val="center"/>
                </w:tcPr>
                <w:p>
                  <w:pPr>
                    <w:pStyle w:val="25"/>
                    <w:rPr>
                      <w:bCs/>
                    </w:rPr>
                  </w:pPr>
                  <w:r>
                    <w:rPr>
                      <w:rFonts w:hint="eastAsia"/>
                      <w:bCs/>
                    </w:rPr>
                    <w:t>昼间</w:t>
                  </w:r>
                </w:p>
              </w:tc>
              <w:tc>
                <w:tcPr>
                  <w:tcW w:w="1695" w:type="pct"/>
                  <w:tcBorders>
                    <w:tl2br w:val="nil"/>
                    <w:tr2bl w:val="nil"/>
                  </w:tcBorders>
                  <w:vAlign w:val="center"/>
                </w:tcPr>
                <w:p>
                  <w:pPr>
                    <w:pStyle w:val="25"/>
                    <w:rPr>
                      <w:bCs/>
                    </w:rPr>
                  </w:pPr>
                  <w:r>
                    <w:rPr>
                      <w:rFonts w:hint="eastAsia"/>
                      <w:bCs/>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3" w:type="pct"/>
                  <w:tcBorders>
                    <w:tl2br w:val="nil"/>
                    <w:tr2bl w:val="nil"/>
                  </w:tcBorders>
                  <w:vAlign w:val="center"/>
                </w:tcPr>
                <w:p>
                  <w:pPr>
                    <w:pStyle w:val="25"/>
                  </w:pPr>
                  <w:r>
                    <w:rPr>
                      <w:rFonts w:hint="eastAsia"/>
                    </w:rPr>
                    <w:t>3</w:t>
                  </w:r>
                </w:p>
              </w:tc>
              <w:tc>
                <w:tcPr>
                  <w:tcW w:w="1651" w:type="pct"/>
                  <w:tcBorders>
                    <w:tl2br w:val="nil"/>
                    <w:tr2bl w:val="nil"/>
                  </w:tcBorders>
                  <w:vAlign w:val="center"/>
                </w:tcPr>
                <w:p>
                  <w:pPr>
                    <w:pStyle w:val="25"/>
                    <w:rPr>
                      <w:bCs/>
                    </w:rPr>
                  </w:pPr>
                  <w:r>
                    <w:rPr>
                      <w:rFonts w:hint="eastAsia"/>
                      <w:bCs/>
                    </w:rPr>
                    <w:t>65</w:t>
                  </w:r>
                </w:p>
              </w:tc>
              <w:tc>
                <w:tcPr>
                  <w:tcW w:w="1695" w:type="pct"/>
                  <w:tcBorders>
                    <w:tl2br w:val="nil"/>
                    <w:tr2bl w:val="nil"/>
                  </w:tcBorders>
                  <w:vAlign w:val="center"/>
                </w:tcPr>
                <w:p>
                  <w:pPr>
                    <w:pStyle w:val="25"/>
                    <w:rPr>
                      <w:bCs/>
                    </w:rPr>
                  </w:pPr>
                  <w:r>
                    <w:rPr>
                      <w:rFonts w:hint="eastAsia"/>
                      <w:bCs/>
                    </w:rPr>
                    <w:t>55</w:t>
                  </w:r>
                </w:p>
              </w:tc>
            </w:tr>
          </w:tbl>
          <w:p>
            <w:pPr>
              <w:bidi w:val="0"/>
              <w:rPr>
                <w:b/>
                <w:bCs/>
              </w:rPr>
            </w:pPr>
            <w:r>
              <w:rPr>
                <w:rFonts w:hint="eastAsia"/>
                <w:b/>
                <w:bCs/>
                <w:lang w:val="en-US" w:eastAsia="zh-CN"/>
              </w:rPr>
              <w:t>4、</w:t>
            </w:r>
            <w:r>
              <w:rPr>
                <w:rFonts w:hint="eastAsia"/>
                <w:b/>
                <w:bCs/>
              </w:rPr>
              <w:t>固废排放标准</w:t>
            </w:r>
          </w:p>
          <w:p>
            <w:pPr>
              <w:ind w:firstLine="480"/>
            </w:pPr>
            <w:r>
              <w:rPr>
                <w:rFonts w:hint="eastAsia"/>
              </w:rPr>
              <w:t>项目生产过程中</w:t>
            </w:r>
            <w:r>
              <w:rPr>
                <w:rFonts w:hint="eastAsia"/>
                <w:lang w:eastAsia="zh-CN"/>
              </w:rPr>
              <w:t>无一般固废产生，</w:t>
            </w:r>
            <w:r>
              <w:rPr>
                <w:rFonts w:hint="eastAsia"/>
              </w:rPr>
              <w:t>危险固废的暂存场所执行《危险废物贮存污染控制标准》（GB18597-2023）中有关要求。</w:t>
            </w:r>
          </w:p>
          <w:p>
            <w:pPr>
              <w:adjustRightInd w:val="0"/>
              <w:snapToGrid w:val="0"/>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5"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总量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kern w:val="0"/>
                <w:szCs w:val="21"/>
              </w:rPr>
            </w:pPr>
            <w:r>
              <w:rPr>
                <w:rFonts w:hint="eastAsia" w:ascii="宋体" w:hAnsi="宋体" w:cs="宋体"/>
                <w:kern w:val="0"/>
                <w:szCs w:val="21"/>
              </w:rPr>
              <w:t>控制</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kern w:val="0"/>
                <w:szCs w:val="21"/>
              </w:rPr>
            </w:pPr>
            <w:r>
              <w:rPr>
                <w:rFonts w:hint="eastAsia" w:ascii="宋体" w:hAnsi="宋体" w:cs="宋体"/>
                <w:kern w:val="0"/>
                <w:szCs w:val="21"/>
              </w:rPr>
              <w:t>指标</w:t>
            </w:r>
          </w:p>
        </w:tc>
        <w:tc>
          <w:tcPr>
            <w:tcW w:w="8235" w:type="dxa"/>
            <w:noWrap w:val="0"/>
            <w:vAlign w:val="center"/>
          </w:tcPr>
          <w:p>
            <w:pPr>
              <w:keepNext w:val="0"/>
              <w:keepLines w:val="0"/>
              <w:suppressLineNumbers w:val="0"/>
              <w:bidi w:val="0"/>
              <w:spacing w:before="0" w:beforeAutospacing="0" w:after="0" w:afterAutospacing="0"/>
              <w:ind w:left="0" w:right="0"/>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t>根据国家生态环境部、安徽省要求对建设项目排放污染物实施总量控制的要求，针对本项目的具体排污情况及排污特征，确定本项目纳入总量控制要求的主要污染物为化学需氧量、氨氮、颗粒物、VOCs。</w:t>
            </w:r>
          </w:p>
          <w:p>
            <w:pPr>
              <w:keepNext w:val="0"/>
              <w:keepLines w:val="0"/>
              <w:suppressLineNumbers w:val="0"/>
              <w:bidi w:val="0"/>
              <w:spacing w:before="0" w:beforeAutospacing="0" w:after="0" w:afterAutospacing="0"/>
              <w:ind w:left="0" w:right="0"/>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废水：本项目</w:t>
            </w:r>
            <w:r>
              <w:rPr>
                <w:rFonts w:hint="eastAsia" w:ascii="Times New Roman" w:hAnsi="Times New Roman" w:cs="Times New Roman"/>
                <w:b w:val="0"/>
                <w:bCs w:val="0"/>
                <w:color w:val="auto"/>
                <w:sz w:val="24"/>
                <w:szCs w:val="24"/>
                <w:lang w:val="en-US" w:eastAsia="zh-CN"/>
              </w:rPr>
              <w:t>生活污水接管至大庄镇污水处理厂处理，</w:t>
            </w:r>
            <w:r>
              <w:rPr>
                <w:rFonts w:hint="eastAsia" w:ascii="Times New Roman" w:hAnsi="Times New Roman" w:eastAsia="宋体" w:cs="Times New Roman"/>
                <w:b w:val="0"/>
                <w:bCs w:val="0"/>
                <w:color w:val="auto"/>
                <w:sz w:val="24"/>
                <w:szCs w:val="24"/>
                <w:lang w:val="en-US" w:eastAsia="zh-CN"/>
              </w:rPr>
              <w:t>总量纳入</w:t>
            </w:r>
            <w:r>
              <w:rPr>
                <w:rFonts w:hint="eastAsia" w:ascii="Times New Roman" w:hAnsi="Times New Roman" w:cs="Times New Roman"/>
                <w:b w:val="0"/>
                <w:bCs w:val="0"/>
                <w:color w:val="auto"/>
                <w:sz w:val="24"/>
                <w:szCs w:val="24"/>
                <w:lang w:val="en-US" w:eastAsia="zh-CN"/>
              </w:rPr>
              <w:t>大庄镇污水处理厂</w:t>
            </w:r>
            <w:r>
              <w:rPr>
                <w:rFonts w:hint="eastAsia" w:ascii="Times New Roman" w:hAnsi="Times New Roman" w:eastAsia="宋体" w:cs="Times New Roman"/>
                <w:b w:val="0"/>
                <w:bCs w:val="0"/>
                <w:color w:val="auto"/>
                <w:sz w:val="24"/>
                <w:szCs w:val="24"/>
                <w:lang w:val="en-US" w:eastAsia="zh-CN"/>
              </w:rPr>
              <w:t>总量，不重新申请总量。</w:t>
            </w:r>
          </w:p>
          <w:p>
            <w:pPr>
              <w:adjustRightInd w:val="0"/>
              <w:snapToGrid w:val="0"/>
              <w:jc w:val="center"/>
              <w:rPr>
                <w:rFonts w:ascii="宋体" w:hAnsi="宋体" w:cs="宋体"/>
                <w:kern w:val="0"/>
                <w:szCs w:val="21"/>
              </w:rPr>
            </w:pPr>
            <w:r>
              <w:rPr>
                <w:rFonts w:hint="eastAsia" w:ascii="Times New Roman" w:hAnsi="Times New Roman" w:eastAsia="宋体" w:cs="Times New Roman"/>
                <w:b w:val="0"/>
                <w:bCs w:val="0"/>
                <w:color w:val="auto"/>
                <w:sz w:val="24"/>
                <w:szCs w:val="24"/>
                <w:lang w:val="en-US" w:eastAsia="zh-CN"/>
              </w:rPr>
              <w:t>废气：本项目</w:t>
            </w:r>
            <w:r>
              <w:rPr>
                <w:rFonts w:hint="eastAsia" w:eastAsia="宋体" w:cs="Times New Roman"/>
                <w:b w:val="0"/>
                <w:bCs w:val="0"/>
                <w:color w:val="auto"/>
                <w:sz w:val="24"/>
                <w:szCs w:val="24"/>
                <w:lang w:val="en-US" w:eastAsia="zh-CN"/>
              </w:rPr>
              <w:t>大气</w:t>
            </w:r>
            <w:r>
              <w:rPr>
                <w:rFonts w:hint="eastAsia" w:ascii="Times New Roman" w:hAnsi="Times New Roman" w:eastAsia="宋体" w:cs="Times New Roman"/>
                <w:b w:val="0"/>
                <w:bCs w:val="0"/>
                <w:color w:val="auto"/>
                <w:sz w:val="24"/>
                <w:szCs w:val="24"/>
                <w:lang w:val="en-US" w:eastAsia="zh-CN"/>
              </w:rPr>
              <w:t>污染物</w:t>
            </w:r>
            <w:r>
              <w:rPr>
                <w:rFonts w:hint="eastAsia" w:eastAsia="宋体" w:cs="Times New Roman"/>
                <w:b w:val="0"/>
                <w:bCs w:val="0"/>
                <w:color w:val="auto"/>
                <w:sz w:val="24"/>
                <w:szCs w:val="24"/>
                <w:lang w:val="en-US" w:eastAsia="zh-CN"/>
              </w:rPr>
              <w:t>申请总量</w:t>
            </w:r>
            <w:r>
              <w:rPr>
                <w:rFonts w:hint="eastAsia" w:ascii="Times New Roman" w:hAnsi="Times New Roman" w:eastAsia="宋体" w:cs="Times New Roman"/>
                <w:b w:val="0"/>
                <w:bCs w:val="0"/>
                <w:color w:val="auto"/>
                <w:sz w:val="24"/>
                <w:szCs w:val="24"/>
                <w:lang w:val="en-US" w:eastAsia="zh-CN"/>
              </w:rPr>
              <w:t>为：</w:t>
            </w:r>
            <w:r>
              <w:rPr>
                <w:rFonts w:hint="eastAsia" w:ascii="Times New Roman" w:hAnsi="Times New Roman" w:cs="Times New Roman"/>
                <w:b w:val="0"/>
                <w:bCs w:val="0"/>
                <w:color w:val="auto"/>
                <w:sz w:val="24"/>
                <w:szCs w:val="24"/>
                <w:lang w:val="en-US" w:eastAsia="zh-CN"/>
              </w:rPr>
              <w:t>颗粒物0.</w:t>
            </w:r>
            <w:r>
              <w:rPr>
                <w:rFonts w:hint="eastAsia" w:ascii="Times New Roman" w:hAnsi="Times New Roman" w:eastAsia="宋体" w:cs="Times New Roman"/>
                <w:b w:val="0"/>
                <w:bCs w:val="0"/>
                <w:color w:val="auto"/>
                <w:sz w:val="24"/>
                <w:szCs w:val="24"/>
                <w:lang w:val="en-US" w:eastAsia="zh-CN"/>
              </w:rPr>
              <w:t>206t/a</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VOCs0.</w:t>
            </w:r>
            <w:r>
              <w:rPr>
                <w:rFonts w:hint="eastAsia" w:ascii="Times New Roman" w:hAnsi="Times New Roman" w:cs="Times New Roman"/>
                <w:b w:val="0"/>
                <w:bCs w:val="0"/>
                <w:color w:val="auto"/>
                <w:sz w:val="24"/>
                <w:szCs w:val="24"/>
                <w:lang w:val="en-US" w:eastAsia="zh-CN"/>
              </w:rPr>
              <w:t>171</w:t>
            </w:r>
            <w:r>
              <w:rPr>
                <w:rFonts w:hint="eastAsia" w:ascii="Times New Roman" w:hAnsi="Times New Roman" w:eastAsia="宋体" w:cs="Times New Roman"/>
                <w:b w:val="0"/>
                <w:bCs w:val="0"/>
                <w:color w:val="auto"/>
                <w:sz w:val="24"/>
                <w:szCs w:val="24"/>
                <w:lang w:val="en-US" w:eastAsia="zh-CN"/>
              </w:rPr>
              <w:t>t/a</w:t>
            </w:r>
            <w:r>
              <w:rPr>
                <w:rFonts w:hint="eastAsia" w:eastAsia="宋体" w:cs="Times New Roman"/>
                <w:b w:val="0"/>
                <w:bCs w:val="0"/>
                <w:color w:val="auto"/>
                <w:sz w:val="24"/>
                <w:szCs w:val="24"/>
                <w:lang w:val="en-US" w:eastAsia="zh-CN"/>
              </w:rPr>
              <w:t>，</w:t>
            </w:r>
          </w:p>
        </w:tc>
      </w:tr>
    </w:tbl>
    <w:p>
      <w:pPr>
        <w:pStyle w:val="18"/>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2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834" w:type="dxa"/>
            <w:noWrap w:val="0"/>
            <w:tcMar>
              <w:left w:w="28" w:type="dxa"/>
              <w:right w:w="28" w:type="dxa"/>
            </w:tcMar>
            <w:vAlign w:val="center"/>
          </w:tcPr>
          <w:p>
            <w:pPr>
              <w:pStyle w:val="18"/>
              <w:keepNext w:val="0"/>
              <w:keepLines w:val="0"/>
              <w:pageBreakBefore w:val="0"/>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施工</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期环</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境保</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护措</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bCs/>
                <w:kern w:val="2"/>
                <w:sz w:val="24"/>
                <w:szCs w:val="24"/>
              </w:rPr>
            </w:pPr>
            <w:r>
              <w:rPr>
                <w:rFonts w:hint="default" w:ascii="Times New Roman" w:hAnsi="Times New Roman" w:cs="Times New Roman"/>
                <w:kern w:val="2"/>
                <w:sz w:val="24"/>
                <w:szCs w:val="24"/>
              </w:rPr>
              <w:t>施</w:t>
            </w:r>
          </w:p>
        </w:tc>
        <w:tc>
          <w:tcPr>
            <w:tcW w:w="8218" w:type="dxa"/>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Cs/>
                <w:spacing w:val="-10"/>
                <w:sz w:val="24"/>
                <w:szCs w:val="24"/>
              </w:rPr>
            </w:pPr>
            <w:r>
              <w:rPr>
                <w:rFonts w:hint="default" w:ascii="Times New Roman" w:hAnsi="Times New Roman" w:cs="Times New Roman"/>
                <w:bCs/>
                <w:spacing w:val="0"/>
                <w:sz w:val="24"/>
                <w:szCs w:val="24"/>
              </w:rPr>
              <w:t>本项目生产所用厂房租赁已建构筑物，无需基建工作。本项目利用租赁厂房，施工期主要为设备安装调试，施工期短，对周围环境影响较小。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834"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运营</w:t>
            </w: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期环</w:t>
            </w: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境影</w:t>
            </w: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响和</w:t>
            </w: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保护</w:t>
            </w: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措施</w:t>
            </w:r>
          </w:p>
        </w:tc>
        <w:tc>
          <w:tcPr>
            <w:tcW w:w="8218" w:type="dxa"/>
            <w:noWrap w:val="0"/>
            <w:vAlign w:val="center"/>
          </w:tcPr>
          <w:p>
            <w:pPr>
              <w:keepNext w:val="0"/>
              <w:keepLines w:val="0"/>
              <w:suppressLineNumbers w:val="0"/>
              <w:bidi w:val="0"/>
              <w:spacing w:before="0" w:beforeAutospacing="0" w:after="0" w:afterAutospacing="0"/>
              <w:ind w:left="0" w:right="0"/>
              <w:rPr>
                <w:rFonts w:hint="default" w:eastAsiaTheme="minorEastAsia"/>
                <w:b/>
                <w:bCs/>
                <w:color w:val="auto"/>
                <w:lang w:val="en-US" w:eastAsia="zh-CN"/>
              </w:rPr>
            </w:pPr>
            <w:r>
              <w:rPr>
                <w:rFonts w:hint="eastAsia"/>
                <w:b/>
                <w:bCs/>
                <w:color w:val="auto"/>
                <w:lang w:val="en-US" w:eastAsia="zh-CN"/>
              </w:rPr>
              <w:t>一、废气</w:t>
            </w:r>
          </w:p>
          <w:p>
            <w:pPr>
              <w:keepNext w:val="0"/>
              <w:keepLines w:val="0"/>
              <w:suppressLineNumbers w:val="0"/>
              <w:bidi w:val="0"/>
              <w:spacing w:before="0" w:beforeAutospacing="0" w:after="0" w:afterAutospacing="0"/>
              <w:ind w:left="0" w:right="0"/>
              <w:rPr>
                <w:rFonts w:hint="default"/>
                <w:b/>
                <w:bCs/>
                <w:color w:val="auto"/>
                <w:lang w:val="en-US" w:eastAsia="zh-CN"/>
              </w:rPr>
            </w:pPr>
            <w:r>
              <w:rPr>
                <w:rFonts w:hint="eastAsia"/>
                <w:b/>
                <w:bCs/>
                <w:color w:val="auto"/>
                <w:lang w:val="en-US" w:eastAsia="zh-CN"/>
              </w:rPr>
              <w:t>1、废气产排情况</w:t>
            </w:r>
          </w:p>
          <w:p>
            <w:pPr>
              <w:ind w:firstLine="480"/>
              <w:jc w:val="left"/>
              <w:rPr>
                <w:rFonts w:hint="eastAsia" w:eastAsia="宋体"/>
                <w:lang w:val="en-US" w:eastAsia="zh-CN"/>
              </w:rPr>
            </w:pPr>
            <w:r>
              <w:t>运营期喷漆</w:t>
            </w:r>
            <w:r>
              <w:rPr>
                <w:rFonts w:hint="eastAsia"/>
              </w:rPr>
              <w:t>、流平和光固化</w:t>
            </w:r>
            <w:r>
              <w:t>工序产生漆雾和</w:t>
            </w:r>
            <w:r>
              <w:rPr>
                <w:rFonts w:hint="eastAsia"/>
              </w:rPr>
              <w:t>非甲烷总烃</w:t>
            </w:r>
            <w:r>
              <w:rPr>
                <w:rFonts w:hint="eastAsia"/>
                <w:lang w:eastAsia="zh-CN"/>
              </w:rPr>
              <w:t>，废气</w:t>
            </w:r>
            <w:r>
              <w:rPr>
                <w:rFonts w:hint="eastAsia"/>
                <w:color w:val="auto"/>
              </w:rPr>
              <w:t>收集后经</w:t>
            </w:r>
            <w:r>
              <w:rPr>
                <w:rFonts w:hint="eastAsia"/>
                <w:color w:val="auto"/>
                <w:lang w:val="en-US" w:eastAsia="zh-CN"/>
              </w:rPr>
              <w:t>过滤棉+二级活性炭吸附处理后</w:t>
            </w:r>
            <w:r>
              <w:rPr>
                <w:rFonts w:hint="eastAsia"/>
                <w:color w:val="auto"/>
              </w:rPr>
              <w:t>通过15m高排气筒DA002排放</w:t>
            </w:r>
            <w:r>
              <w:rPr>
                <w:rFonts w:hint="eastAsia"/>
                <w:color w:val="auto"/>
                <w:lang w:eastAsia="zh-CN"/>
              </w:rPr>
              <w:t>。打磨工序产生的含漆粉尘，集气罩收集后经布袋除尘器处理后通过</w:t>
            </w:r>
            <w:r>
              <w:rPr>
                <w:rFonts w:hint="eastAsia"/>
                <w:color w:val="auto"/>
              </w:rPr>
              <w:t>15m高排气筒DA00</w:t>
            </w:r>
            <w:r>
              <w:rPr>
                <w:rFonts w:hint="eastAsia"/>
                <w:color w:val="auto"/>
                <w:lang w:val="en-US" w:eastAsia="zh-CN"/>
              </w:rPr>
              <w:t>1</w:t>
            </w:r>
            <w:r>
              <w:rPr>
                <w:rFonts w:hint="eastAsia"/>
                <w:color w:val="auto"/>
              </w:rPr>
              <w:t>排放</w:t>
            </w:r>
            <w:r>
              <w:rPr>
                <w:rFonts w:hint="eastAsia"/>
                <w:color w:val="auto"/>
                <w:lang w:eastAsia="zh-CN"/>
              </w:rPr>
              <w:t>。</w:t>
            </w:r>
          </w:p>
          <w:p>
            <w:pPr>
              <w:ind w:firstLine="480"/>
              <w:jc w:val="left"/>
              <w:rPr>
                <w:rFonts w:hint="eastAsia"/>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b w:val="0"/>
                <w:bCs w:val="0"/>
                <w:lang w:eastAsia="zh-CN"/>
              </w:rPr>
              <w:t>有机</w:t>
            </w:r>
            <w:r>
              <w:rPr>
                <w:rFonts w:hint="eastAsia"/>
                <w:b w:val="0"/>
                <w:bCs w:val="0"/>
              </w:rPr>
              <w:t>废气</w:t>
            </w:r>
          </w:p>
          <w:p>
            <w:pPr>
              <w:ind w:firstLine="480"/>
              <w:jc w:val="left"/>
              <w:rPr>
                <w:rFonts w:hint="eastAsia"/>
                <w:color w:val="auto"/>
                <w:lang w:val="en-US" w:eastAsia="zh-CN"/>
              </w:rPr>
            </w:pPr>
            <w:r>
              <w:rPr>
                <w:rFonts w:hint="eastAsia"/>
              </w:rPr>
              <w:t>根据UV漆的MSDS报告</w:t>
            </w:r>
            <w:r>
              <w:t>，</w:t>
            </w:r>
            <w:r>
              <w:rPr>
                <w:rFonts w:hint="eastAsia"/>
                <w:lang w:eastAsia="zh-CN"/>
              </w:rPr>
              <w:t>面漆中挥发分为</w:t>
            </w:r>
            <w:r>
              <w:rPr>
                <w:rFonts w:hint="eastAsia"/>
                <w:bCs/>
                <w:lang w:val="en-US" w:eastAsia="zh-CN"/>
              </w:rPr>
              <w:t>二丙二醇丁醚，</w:t>
            </w:r>
            <w:r>
              <w:rPr>
                <w:rFonts w:hint="eastAsia"/>
                <w:lang w:val="en-US" w:eastAsia="zh-CN"/>
              </w:rPr>
              <w:t>成分最大占比为5%，面漆使用量为7.6t/a，</w:t>
            </w:r>
            <w:r>
              <w:rPr>
                <w:rFonts w:hint="eastAsia"/>
                <w:color w:val="auto"/>
                <w:lang w:val="en-US" w:eastAsia="zh-CN"/>
              </w:rPr>
              <w:t>以挥发分全部挥发计，</w:t>
            </w:r>
            <w:r>
              <w:rPr>
                <w:rFonts w:hint="eastAsia"/>
                <w:color w:val="auto"/>
              </w:rPr>
              <w:t>则</w:t>
            </w:r>
            <w:r>
              <w:rPr>
                <w:rFonts w:hint="eastAsia"/>
                <w:color w:val="auto"/>
                <w:lang w:eastAsia="zh-CN"/>
              </w:rPr>
              <w:t>面漆</w:t>
            </w:r>
            <w:r>
              <w:rPr>
                <w:rFonts w:hint="eastAsia"/>
                <w:color w:val="auto"/>
              </w:rPr>
              <w:t>产生的有机废气量最大为</w:t>
            </w:r>
            <w:r>
              <w:rPr>
                <w:rFonts w:hint="eastAsia"/>
                <w:color w:val="auto"/>
                <w:lang w:val="en-US" w:eastAsia="zh-CN"/>
              </w:rPr>
              <w:t>0.38</w:t>
            </w:r>
            <w:r>
              <w:rPr>
                <w:rFonts w:hint="eastAsia"/>
                <w:color w:val="auto"/>
              </w:rPr>
              <w:t>t/a（以非甲烷总烃计）</w:t>
            </w:r>
            <w:r>
              <w:rPr>
                <w:rFonts w:hint="eastAsia"/>
                <w:color w:val="auto"/>
                <w:lang w:eastAsia="zh-CN"/>
              </w:rPr>
              <w:t>；</w:t>
            </w:r>
            <w:r>
              <w:rPr>
                <w:rFonts w:hint="eastAsia"/>
                <w:lang w:eastAsia="zh-CN"/>
              </w:rPr>
              <w:t>底漆中挥发分为</w:t>
            </w:r>
            <w:r>
              <w:rPr>
                <w:rFonts w:hint="eastAsia"/>
                <w:bCs/>
                <w:lang w:val="en-US" w:eastAsia="zh-CN"/>
              </w:rPr>
              <w:t>丙稀酸，</w:t>
            </w:r>
            <w:r>
              <w:rPr>
                <w:rFonts w:hint="eastAsia"/>
                <w:lang w:val="en-US" w:eastAsia="zh-CN"/>
              </w:rPr>
              <w:t>成分最大占比为20%，面漆使用量为7t/a，</w:t>
            </w:r>
            <w:r>
              <w:rPr>
                <w:rFonts w:hint="eastAsia"/>
                <w:color w:val="auto"/>
                <w:lang w:val="en-US" w:eastAsia="zh-CN"/>
              </w:rPr>
              <w:t>以挥发分全部挥发计，</w:t>
            </w:r>
            <w:r>
              <w:rPr>
                <w:rFonts w:hint="eastAsia"/>
                <w:color w:val="auto"/>
              </w:rPr>
              <w:t>则</w:t>
            </w:r>
            <w:r>
              <w:rPr>
                <w:rFonts w:hint="eastAsia"/>
                <w:color w:val="auto"/>
                <w:lang w:eastAsia="zh-CN"/>
              </w:rPr>
              <w:t>底漆</w:t>
            </w:r>
            <w:r>
              <w:rPr>
                <w:rFonts w:hint="eastAsia"/>
                <w:color w:val="auto"/>
              </w:rPr>
              <w:t>产生的有机废气量最大为</w:t>
            </w:r>
            <w:r>
              <w:rPr>
                <w:rFonts w:hint="eastAsia"/>
                <w:color w:val="auto"/>
                <w:lang w:val="en-US" w:eastAsia="zh-CN"/>
              </w:rPr>
              <w:t>1.4</w:t>
            </w:r>
            <w:r>
              <w:rPr>
                <w:rFonts w:hint="eastAsia"/>
                <w:color w:val="auto"/>
              </w:rPr>
              <w:t>t/a（以非甲烷总烃计）</w:t>
            </w:r>
            <w:r>
              <w:rPr>
                <w:rFonts w:hint="eastAsia"/>
                <w:color w:val="auto"/>
                <w:lang w:eastAsia="zh-CN"/>
              </w:rPr>
              <w:t>。喷漆、流平、固化环节有机废气产生量分别按有机废气产生总量</w:t>
            </w:r>
            <w:r>
              <w:rPr>
                <w:rFonts w:hint="eastAsia"/>
                <w:color w:val="auto"/>
                <w:lang w:val="en-US" w:eastAsia="zh-CN"/>
              </w:rPr>
              <w:t>60%、20%、20%计，则有机废气产生量分别为1.068t/a、0.356t/a、0.356t/a。</w:t>
            </w:r>
          </w:p>
          <w:p>
            <w:pPr>
              <w:ind w:firstLine="480"/>
              <w:jc w:val="left"/>
              <w:rPr>
                <w:rFonts w:hint="default"/>
                <w:color w:val="auto"/>
                <w:lang w:val="en-US" w:eastAsia="zh-CN"/>
              </w:rPr>
            </w:pPr>
            <w:r>
              <w:rPr>
                <w:rFonts w:hint="eastAsia"/>
                <w:color w:val="auto"/>
                <w:lang w:val="en-US" w:eastAsia="zh-CN"/>
              </w:rPr>
              <w:t>①喷漆废气</w:t>
            </w:r>
          </w:p>
          <w:p>
            <w:pPr>
              <w:ind w:firstLine="480"/>
              <w:jc w:val="left"/>
              <w:rPr>
                <w:rFonts w:hint="eastAsia"/>
                <w:color w:val="auto"/>
                <w:lang w:val="en-US" w:eastAsia="zh-CN"/>
              </w:rPr>
            </w:pPr>
            <w:r>
              <w:rPr>
                <w:rFonts w:hint="eastAsia"/>
                <w:color w:val="auto"/>
                <w:lang w:val="en-US" w:eastAsia="zh-CN"/>
              </w:rPr>
              <w:t>喷漆位于密闭喷漆房内进行，</w:t>
            </w:r>
            <w:r>
              <w:rPr>
                <w:rFonts w:hint="eastAsia"/>
                <w:color w:val="auto"/>
              </w:rPr>
              <w:t>体积为</w:t>
            </w:r>
            <w:r>
              <w:rPr>
                <w:rFonts w:hint="eastAsia"/>
                <w:color w:val="auto"/>
                <w:lang w:val="en-US" w:eastAsia="zh-CN"/>
              </w:rPr>
              <w:t>30</w:t>
            </w:r>
            <w:r>
              <w:rPr>
                <w:rFonts w:hint="eastAsia"/>
                <w:color w:val="auto"/>
              </w:rPr>
              <w:t>m</w:t>
            </w:r>
            <w:r>
              <w:rPr>
                <w:rFonts w:hint="eastAsia"/>
                <w:color w:val="auto"/>
                <w:vertAlign w:val="superscript"/>
              </w:rPr>
              <w:t>3</w:t>
            </w:r>
            <w:r>
              <w:rPr>
                <w:rFonts w:hint="eastAsia"/>
                <w:color w:val="auto"/>
              </w:rPr>
              <w:t>（</w:t>
            </w:r>
            <w:r>
              <w:rPr>
                <w:rFonts w:hint="eastAsia"/>
                <w:color w:val="auto"/>
                <w:lang w:val="en-US" w:eastAsia="zh-CN"/>
              </w:rPr>
              <w:t>12</w:t>
            </w:r>
            <w:r>
              <w:rPr>
                <w:rFonts w:hint="eastAsia"/>
                <w:color w:val="auto"/>
              </w:rPr>
              <w:t>m</w:t>
            </w:r>
            <w:r>
              <w:rPr>
                <w:rFonts w:hint="eastAsia"/>
                <w:color w:val="auto"/>
                <w:vertAlign w:val="superscript"/>
              </w:rPr>
              <w:t>2</w:t>
            </w:r>
            <w:r>
              <w:rPr>
                <w:rFonts w:hint="eastAsia"/>
                <w:color w:val="auto"/>
              </w:rPr>
              <w:t>*</w:t>
            </w:r>
            <w:r>
              <w:rPr>
                <w:rFonts w:hint="eastAsia"/>
                <w:color w:val="auto"/>
                <w:lang w:val="en-US" w:eastAsia="zh-CN"/>
              </w:rPr>
              <w:t>2.5</w:t>
            </w:r>
            <w:r>
              <w:rPr>
                <w:rFonts w:hint="eastAsia"/>
                <w:color w:val="auto"/>
              </w:rPr>
              <w:t>m），换气次数为</w:t>
            </w:r>
            <w:r>
              <w:rPr>
                <w:rFonts w:hint="eastAsia"/>
                <w:color w:val="auto"/>
                <w:lang w:val="en-US" w:eastAsia="zh-CN"/>
              </w:rPr>
              <w:t>6</w:t>
            </w:r>
            <w:r>
              <w:rPr>
                <w:rFonts w:hint="eastAsia"/>
                <w:color w:val="auto"/>
              </w:rPr>
              <w:t>0次/h，</w:t>
            </w:r>
            <w:r>
              <w:rPr>
                <w:rFonts w:hint="eastAsia"/>
                <w:color w:val="auto"/>
                <w:lang w:val="en-US" w:eastAsia="zh-CN"/>
              </w:rPr>
              <w:t>喷漆房设计风量为1800</w:t>
            </w:r>
            <w:r>
              <w:rPr>
                <w:rFonts w:hint="eastAsia"/>
                <w:color w:val="auto"/>
              </w:rPr>
              <w:t>m</w:t>
            </w:r>
            <w:r>
              <w:rPr>
                <w:rFonts w:hint="eastAsia"/>
                <w:color w:val="auto"/>
                <w:vertAlign w:val="superscript"/>
              </w:rPr>
              <w:t>3</w:t>
            </w:r>
            <w:r>
              <w:rPr>
                <w:rFonts w:hint="eastAsia"/>
                <w:color w:val="auto"/>
              </w:rPr>
              <w:t>/h</w:t>
            </w:r>
            <w:r>
              <w:rPr>
                <w:rFonts w:hint="eastAsia"/>
                <w:color w:val="auto"/>
                <w:lang w:eastAsia="zh-CN"/>
              </w:rPr>
              <w:t>，喷漆房在开关门时会有部分废气逸散，故喷漆房废气收集效率以</w:t>
            </w:r>
            <w:r>
              <w:rPr>
                <w:rFonts w:hint="eastAsia"/>
                <w:color w:val="auto"/>
                <w:lang w:val="en-US" w:eastAsia="zh-CN"/>
              </w:rPr>
              <w:t>98%计，有机废气处理效率以90%计，则喷漆废气有组织排放量为0.105t/a，排放速率0.0436kg/h；无组织排放量为0.0214t/a，排放速率0.0089kg/h。</w:t>
            </w:r>
          </w:p>
          <w:p>
            <w:pPr>
              <w:ind w:firstLine="480"/>
              <w:jc w:val="left"/>
              <w:rPr>
                <w:rFonts w:hint="default"/>
                <w:color w:val="auto"/>
                <w:lang w:val="en-US" w:eastAsia="zh-CN"/>
              </w:rPr>
            </w:pPr>
            <w:r>
              <w:rPr>
                <w:rFonts w:hint="eastAsia"/>
                <w:color w:val="auto"/>
                <w:lang w:val="en-US" w:eastAsia="zh-CN"/>
              </w:rPr>
              <w:t>②流平废气</w:t>
            </w:r>
          </w:p>
          <w:p>
            <w:pPr>
              <w:bidi w:val="0"/>
              <w:rPr>
                <w:rFonts w:hint="default"/>
                <w:lang w:val="en-US" w:eastAsia="zh-CN"/>
              </w:rPr>
            </w:pPr>
            <w:r>
              <w:rPr>
                <w:rFonts w:hint="eastAsia"/>
                <w:color w:val="auto"/>
                <w:lang w:val="en-US" w:eastAsia="zh-CN"/>
              </w:rPr>
              <w:t>流平机上方设置集气罩，设计风量为1500</w:t>
            </w:r>
            <w:r>
              <w:rPr>
                <w:rFonts w:hint="eastAsia"/>
                <w:color w:val="auto"/>
              </w:rPr>
              <w:t>m</w:t>
            </w:r>
            <w:r>
              <w:rPr>
                <w:rFonts w:hint="eastAsia"/>
                <w:color w:val="auto"/>
                <w:vertAlign w:val="superscript"/>
              </w:rPr>
              <w:t>3</w:t>
            </w:r>
            <w:r>
              <w:rPr>
                <w:rFonts w:hint="eastAsia"/>
                <w:color w:val="auto"/>
              </w:rPr>
              <w:t>/h</w:t>
            </w:r>
            <w:r>
              <w:rPr>
                <w:rFonts w:hint="eastAsia"/>
                <w:color w:val="auto"/>
                <w:lang w:eastAsia="zh-CN"/>
              </w:rPr>
              <w:t>，废气收集效率以</w:t>
            </w:r>
            <w:r>
              <w:rPr>
                <w:rFonts w:hint="eastAsia"/>
                <w:color w:val="auto"/>
                <w:lang w:val="en-US" w:eastAsia="zh-CN"/>
              </w:rPr>
              <w:t>90%计，有机废气处理效率以90%计，则流平废气有组织排放量为0.032t/a，排放速率0.0134kg/h；无组织排放量为0.0356t/a，排放速率0.0148kg/h。</w:t>
            </w:r>
          </w:p>
          <w:p>
            <w:pPr>
              <w:ind w:firstLine="480"/>
              <w:jc w:val="left"/>
              <w:rPr>
                <w:rFonts w:hint="default"/>
                <w:color w:val="auto"/>
                <w:lang w:val="en-US" w:eastAsia="zh-CN"/>
              </w:rPr>
            </w:pPr>
            <w:r>
              <w:rPr>
                <w:rFonts w:hint="eastAsia"/>
                <w:color w:val="auto"/>
                <w:lang w:val="en-US" w:eastAsia="zh-CN"/>
              </w:rPr>
              <w:t>③固化废气</w:t>
            </w:r>
          </w:p>
          <w:p>
            <w:pPr>
              <w:ind w:firstLine="480"/>
              <w:jc w:val="left"/>
              <w:rPr>
                <w:rFonts w:hint="eastAsia"/>
                <w:color w:val="auto"/>
                <w:lang w:val="en-US" w:eastAsia="zh-CN"/>
              </w:rPr>
            </w:pPr>
            <w:r>
              <w:rPr>
                <w:rFonts w:hint="eastAsia"/>
                <w:color w:val="auto"/>
                <w:lang w:val="en-US" w:eastAsia="zh-CN"/>
              </w:rPr>
              <w:t>固化废气经箱体顶部集气管道收集，设计风量为1500</w:t>
            </w:r>
            <w:r>
              <w:rPr>
                <w:rFonts w:hint="eastAsia"/>
                <w:color w:val="auto"/>
              </w:rPr>
              <w:t>m</w:t>
            </w:r>
            <w:r>
              <w:rPr>
                <w:rFonts w:hint="eastAsia"/>
                <w:color w:val="auto"/>
                <w:vertAlign w:val="superscript"/>
              </w:rPr>
              <w:t>3</w:t>
            </w:r>
            <w:r>
              <w:rPr>
                <w:rFonts w:hint="eastAsia"/>
                <w:color w:val="auto"/>
              </w:rPr>
              <w:t>/h</w:t>
            </w:r>
            <w:r>
              <w:rPr>
                <w:rFonts w:hint="eastAsia"/>
                <w:color w:val="auto"/>
                <w:lang w:eastAsia="zh-CN"/>
              </w:rPr>
              <w:t>，废气收集效率以</w:t>
            </w:r>
            <w:r>
              <w:rPr>
                <w:rFonts w:hint="eastAsia"/>
                <w:color w:val="auto"/>
                <w:lang w:val="en-US" w:eastAsia="zh-CN"/>
              </w:rPr>
              <w:t>95%计，有机废气处理效率以90%计，则固化废气有组织排放量为0.0338t/a，排放速率0.0141kg/h；无组织排放量为0.0178t/a，排放速率0.00742kg/h。</w:t>
            </w:r>
          </w:p>
          <w:p>
            <w:pPr>
              <w:ind w:firstLine="480"/>
              <w:jc w:val="left"/>
              <w:rPr>
                <w:rFonts w:hint="eastAsia" w:eastAsia="宋体"/>
                <w:lang w:eastAsia="zh-CN"/>
              </w:rPr>
            </w:pPr>
            <w:r>
              <w:rPr>
                <w:rFonts w:hint="eastAsia"/>
                <w:lang w:eastAsia="zh-CN"/>
              </w:rPr>
              <w:t>（</w:t>
            </w:r>
            <w:r>
              <w:rPr>
                <w:rFonts w:hint="eastAsia"/>
                <w:lang w:val="en-US" w:eastAsia="zh-CN"/>
              </w:rPr>
              <w:t>2</w:t>
            </w:r>
            <w:r>
              <w:rPr>
                <w:rFonts w:hint="eastAsia"/>
                <w:lang w:eastAsia="zh-CN"/>
              </w:rPr>
              <w:t>）颗粒物</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①漆雾</w:t>
            </w:r>
          </w:p>
          <w:p>
            <w:pPr>
              <w:bidi w:val="0"/>
              <w:rPr>
                <w:rFonts w:hint="default" w:eastAsia="宋体"/>
                <w:lang w:val="en-US" w:eastAsia="zh-CN"/>
              </w:rPr>
            </w:pPr>
            <w:r>
              <w:rPr>
                <w:rFonts w:hint="eastAsia"/>
              </w:rPr>
              <w:t>有组织：</w:t>
            </w:r>
            <w:r>
              <w:t>运营期喷漆工序产生漆雾，漆雾以</w:t>
            </w:r>
            <w:r>
              <w:rPr>
                <w:rFonts w:hint="eastAsia"/>
              </w:rPr>
              <w:t>UV漆固体分</w:t>
            </w:r>
            <w:r>
              <w:t>的</w:t>
            </w:r>
            <w:r>
              <w:rPr>
                <w:rFonts w:hint="eastAsia"/>
                <w:lang w:val="en-US" w:eastAsia="zh-CN"/>
              </w:rPr>
              <w:t>15</w:t>
            </w:r>
            <w:r>
              <w:t>%计</w:t>
            </w:r>
            <w:r>
              <w:rPr>
                <w:rFonts w:hint="eastAsia"/>
              </w:rPr>
              <w:t>；</w:t>
            </w:r>
            <w:r>
              <w:rPr>
                <w:rFonts w:hint="eastAsia"/>
                <w:lang w:eastAsia="zh-CN"/>
              </w:rPr>
              <w:t>面漆中固分最大占比为</w:t>
            </w:r>
            <w:r>
              <w:rPr>
                <w:rFonts w:hint="eastAsia"/>
                <w:lang w:val="en-US" w:eastAsia="zh-CN"/>
              </w:rPr>
              <w:t>95%，面漆使用量为7.6t/a，</w:t>
            </w:r>
            <w:r>
              <w:rPr>
                <w:rFonts w:hint="eastAsia"/>
                <w:color w:val="auto"/>
              </w:rPr>
              <w:t>则</w:t>
            </w:r>
            <w:r>
              <w:rPr>
                <w:rFonts w:hint="eastAsia"/>
                <w:color w:val="auto"/>
                <w:lang w:eastAsia="zh-CN"/>
              </w:rPr>
              <w:t>面漆</w:t>
            </w:r>
            <w:r>
              <w:rPr>
                <w:rFonts w:hint="eastAsia"/>
                <w:color w:val="auto"/>
              </w:rPr>
              <w:t>产生的</w:t>
            </w:r>
            <w:r>
              <w:rPr>
                <w:rFonts w:hint="eastAsia"/>
                <w:color w:val="auto"/>
                <w:lang w:eastAsia="zh-CN"/>
              </w:rPr>
              <w:t>漆雾最大量</w:t>
            </w:r>
            <w:r>
              <w:rPr>
                <w:rFonts w:hint="eastAsia"/>
                <w:color w:val="auto"/>
              </w:rPr>
              <w:t>为</w:t>
            </w:r>
            <w:r>
              <w:rPr>
                <w:rFonts w:hint="eastAsia"/>
                <w:color w:val="auto"/>
                <w:lang w:val="en-US" w:eastAsia="zh-CN"/>
              </w:rPr>
              <w:t>1.083</w:t>
            </w:r>
            <w:r>
              <w:rPr>
                <w:rFonts w:hint="eastAsia"/>
                <w:color w:val="auto"/>
              </w:rPr>
              <w:t>t/a</w:t>
            </w:r>
            <w:r>
              <w:rPr>
                <w:rFonts w:hint="eastAsia"/>
                <w:color w:val="auto"/>
                <w:lang w:eastAsia="zh-CN"/>
              </w:rPr>
              <w:t>；</w:t>
            </w:r>
            <w:r>
              <w:rPr>
                <w:rFonts w:hint="eastAsia"/>
                <w:lang w:eastAsia="zh-CN"/>
              </w:rPr>
              <w:t>底漆中固分</w:t>
            </w:r>
            <w:r>
              <w:rPr>
                <w:rFonts w:hint="eastAsia"/>
                <w:lang w:val="en-US" w:eastAsia="zh-CN"/>
              </w:rPr>
              <w:t>最大占比为90%，面漆使用量为7t/a，</w:t>
            </w:r>
            <w:r>
              <w:rPr>
                <w:rFonts w:hint="eastAsia"/>
                <w:color w:val="auto"/>
              </w:rPr>
              <w:t>则</w:t>
            </w:r>
            <w:r>
              <w:rPr>
                <w:rFonts w:hint="eastAsia"/>
                <w:color w:val="auto"/>
                <w:lang w:eastAsia="zh-CN"/>
              </w:rPr>
              <w:t>底漆</w:t>
            </w:r>
            <w:r>
              <w:rPr>
                <w:rFonts w:hint="eastAsia"/>
                <w:color w:val="auto"/>
              </w:rPr>
              <w:t>产生的</w:t>
            </w:r>
            <w:r>
              <w:rPr>
                <w:rFonts w:hint="eastAsia"/>
                <w:color w:val="auto"/>
                <w:lang w:eastAsia="zh-CN"/>
              </w:rPr>
              <w:t>漆雾最大量</w:t>
            </w:r>
            <w:r>
              <w:rPr>
                <w:rFonts w:hint="eastAsia"/>
                <w:color w:val="auto"/>
              </w:rPr>
              <w:t>为</w:t>
            </w:r>
            <w:r>
              <w:rPr>
                <w:rFonts w:hint="eastAsia"/>
                <w:color w:val="auto"/>
                <w:lang w:val="en-US" w:eastAsia="zh-CN"/>
              </w:rPr>
              <w:t>0.851</w:t>
            </w:r>
            <w:r>
              <w:rPr>
                <w:rFonts w:hint="eastAsia"/>
                <w:color w:val="auto"/>
              </w:rPr>
              <w:t>t/a</w:t>
            </w:r>
            <w:r>
              <w:rPr>
                <w:rFonts w:hint="eastAsia"/>
                <w:color w:val="auto"/>
                <w:lang w:eastAsia="zh-CN"/>
              </w:rPr>
              <w:t>。喷漆房废气收集效率以</w:t>
            </w:r>
            <w:r>
              <w:rPr>
                <w:rFonts w:hint="eastAsia"/>
                <w:color w:val="auto"/>
                <w:lang w:val="en-US" w:eastAsia="zh-CN"/>
              </w:rPr>
              <w:t>98%计，漆雾处理效率以90%计，则漆雾有组织排放量为0.199t/a，排放速率0.0828kg/h；无组织排放量为0.0406t/a，排放速率0.0169kg/h。</w:t>
            </w:r>
          </w:p>
          <w:p>
            <w:pPr>
              <w:ind w:firstLine="482"/>
              <w:jc w:val="left"/>
              <w:rPr>
                <w:b/>
                <w:bCs/>
              </w:rPr>
            </w:pPr>
            <w:r>
              <w:rPr>
                <w:rFonts w:hint="eastAsia"/>
                <w:b w:val="0"/>
                <w:bCs w:val="0"/>
                <w:lang w:eastAsia="zh-CN"/>
              </w:rPr>
              <w:t>②</w:t>
            </w:r>
            <w:r>
              <w:rPr>
                <w:rFonts w:hint="eastAsia"/>
                <w:b w:val="0"/>
                <w:bCs w:val="0"/>
              </w:rPr>
              <w:t>打磨废气</w:t>
            </w:r>
          </w:p>
          <w:p>
            <w:pPr>
              <w:ind w:firstLine="480"/>
              <w:jc w:val="left"/>
            </w:pPr>
            <w:r>
              <w:rPr>
                <w:kern w:val="0"/>
                <w:lang w:bidi="ar"/>
              </w:rPr>
              <w:t>根据工件表面漆膜情况，采用电动打磨机或者人工进行表面打磨，去除毛刺，使得表面平整光滑，便于产生粗糙面，提高</w:t>
            </w:r>
            <w:r>
              <w:rPr>
                <w:rFonts w:hint="eastAsia"/>
                <w:kern w:val="0"/>
                <w:lang w:bidi="ar"/>
              </w:rPr>
              <w:t>面漆</w:t>
            </w:r>
            <w:r>
              <w:rPr>
                <w:kern w:val="0"/>
                <w:lang w:bidi="ar"/>
              </w:rPr>
              <w:t>的附着力。</w:t>
            </w:r>
            <w:r>
              <w:rPr>
                <w:rFonts w:hint="eastAsia"/>
                <w:kern w:val="0"/>
                <w:lang w:bidi="ar"/>
              </w:rPr>
              <w:t>本项目UV</w:t>
            </w:r>
            <w:r>
              <w:rPr>
                <w:kern w:val="0"/>
                <w:lang w:bidi="ar"/>
              </w:rPr>
              <w:t>底漆年使用量为</w:t>
            </w:r>
            <w:r>
              <w:rPr>
                <w:rFonts w:hint="eastAsia"/>
                <w:kern w:val="0"/>
                <w:lang w:bidi="ar"/>
              </w:rPr>
              <w:t>7</w:t>
            </w:r>
            <w:r>
              <w:rPr>
                <w:kern w:val="0"/>
                <w:lang w:bidi="ar"/>
              </w:rPr>
              <w:t>t，</w:t>
            </w:r>
            <w:r>
              <w:t>产污系数参考全国第二次污染源普查产排污 系数手册中21</w:t>
            </w:r>
            <w:r>
              <w:rPr>
                <w:rFonts w:hint="eastAsia"/>
              </w:rPr>
              <w:t>1</w:t>
            </w:r>
            <w:r>
              <w:t>木质家具制造行业系数手册（初稿）产污系数进行本项目污染源核算，</w:t>
            </w:r>
            <w:r>
              <w:rPr>
                <w:kern w:val="0"/>
                <w:lang w:bidi="ar"/>
              </w:rPr>
              <w:t>底漆打磨过程粉尘产生系数为0.0235kg-公斤-涂料。</w:t>
            </w:r>
            <w:r>
              <w:rPr>
                <w:rFonts w:hint="eastAsia"/>
                <w:kern w:val="0"/>
                <w:lang w:bidi="ar"/>
              </w:rPr>
              <w:t>打磨粉尘产生量约为0.1</w:t>
            </w:r>
            <w:r>
              <w:rPr>
                <w:rFonts w:hint="eastAsia"/>
                <w:kern w:val="0"/>
                <w:lang w:val="en-US" w:eastAsia="zh-CN" w:bidi="ar"/>
              </w:rPr>
              <w:t>65</w:t>
            </w:r>
            <w:r>
              <w:t>t/a</w:t>
            </w:r>
            <w:r>
              <w:rPr>
                <w:kern w:val="0"/>
                <w:lang w:bidi="ar"/>
              </w:rPr>
              <w:t>，利用</w:t>
            </w:r>
            <w:r>
              <w:rPr>
                <w:rFonts w:hint="eastAsia"/>
                <w:kern w:val="0"/>
                <w:lang w:bidi="ar"/>
              </w:rPr>
              <w:t>集气罩</w:t>
            </w:r>
            <w:r>
              <w:rPr>
                <w:kern w:val="0"/>
                <w:lang w:bidi="ar"/>
              </w:rPr>
              <w:t>进行收集，收集后</w:t>
            </w:r>
            <w:r>
              <w:rPr>
                <w:rFonts w:hint="eastAsia"/>
                <w:kern w:val="0"/>
                <w:lang w:bidi="ar"/>
              </w:rPr>
              <w:t>通过布袋</w:t>
            </w:r>
            <w:r>
              <w:rPr>
                <w:kern w:val="0"/>
                <w:lang w:bidi="ar"/>
              </w:rPr>
              <w:t>除尘器处理后经过</w:t>
            </w:r>
            <w:r>
              <w:rPr>
                <w:rFonts w:hint="eastAsia"/>
                <w:kern w:val="0"/>
                <w:lang w:bidi="ar"/>
              </w:rPr>
              <w:t>15m高</w:t>
            </w:r>
            <w:r>
              <w:rPr>
                <w:rFonts w:hint="eastAsia"/>
                <w:kern w:val="0"/>
                <w:lang w:val="en-US" w:eastAsia="zh-CN" w:bidi="ar"/>
              </w:rPr>
              <w:t>DA001</w:t>
            </w:r>
            <w:r>
              <w:rPr>
                <w:kern w:val="0"/>
                <w:lang w:bidi="ar"/>
              </w:rPr>
              <w:t>排气筒排放。打磨工位</w:t>
            </w:r>
            <w:r>
              <w:rPr>
                <w:rFonts w:hint="eastAsia"/>
                <w:kern w:val="0"/>
                <w:lang w:bidi="ar"/>
              </w:rPr>
              <w:t>收集</w:t>
            </w:r>
            <w:r>
              <w:rPr>
                <w:kern w:val="0"/>
                <w:lang w:bidi="ar"/>
              </w:rPr>
              <w:t>装置</w:t>
            </w:r>
            <w:r>
              <w:rPr>
                <w:rFonts w:hint="eastAsia"/>
                <w:kern w:val="0"/>
                <w:lang w:eastAsia="zh-CN" w:bidi="ar"/>
              </w:rPr>
              <w:t>设计</w:t>
            </w:r>
            <w:r>
              <w:rPr>
                <w:kern w:val="0"/>
                <w:lang w:bidi="ar"/>
              </w:rPr>
              <w:t>风量为</w:t>
            </w:r>
            <w:r>
              <w:rPr>
                <w:rFonts w:hint="eastAsia"/>
                <w:kern w:val="0"/>
                <w:lang w:bidi="ar"/>
              </w:rPr>
              <w:t>2</w:t>
            </w:r>
            <w:r>
              <w:rPr>
                <w:kern w:val="0"/>
                <w:lang w:bidi="ar"/>
              </w:rPr>
              <w:t>000m</w:t>
            </w:r>
            <w:r>
              <w:rPr>
                <w:kern w:val="0"/>
                <w:vertAlign w:val="superscript"/>
                <w:lang w:bidi="ar"/>
              </w:rPr>
              <w:t>3</w:t>
            </w:r>
            <w:r>
              <w:rPr>
                <w:kern w:val="0"/>
                <w:lang w:bidi="ar"/>
              </w:rPr>
              <w:t>/h，收集效率</w:t>
            </w:r>
            <w:r>
              <w:rPr>
                <w:rFonts w:hint="eastAsia"/>
                <w:kern w:val="0"/>
                <w:lang w:bidi="ar"/>
              </w:rPr>
              <w:t>90%，</w:t>
            </w:r>
            <w:r>
              <w:rPr>
                <w:kern w:val="0"/>
                <w:lang w:bidi="ar"/>
              </w:rPr>
              <w:t>处理效率9</w:t>
            </w:r>
            <w:r>
              <w:rPr>
                <w:rFonts w:hint="eastAsia"/>
                <w:kern w:val="0"/>
                <w:lang w:val="en-US" w:eastAsia="zh-CN" w:bidi="ar"/>
              </w:rPr>
              <w:t>5</w:t>
            </w:r>
            <w:r>
              <w:rPr>
                <w:kern w:val="0"/>
                <w:lang w:bidi="ar"/>
              </w:rPr>
              <w:t>%计算。</w:t>
            </w:r>
            <w:r>
              <w:rPr>
                <w:rFonts w:hint="eastAsia"/>
                <w:kern w:val="0"/>
                <w:lang w:bidi="ar"/>
              </w:rPr>
              <w:t>粉尘</w:t>
            </w:r>
            <w:r>
              <w:rPr>
                <w:rFonts w:hint="eastAsia"/>
              </w:rPr>
              <w:t>有组织排放量为0.00</w:t>
            </w:r>
            <w:r>
              <w:rPr>
                <w:rFonts w:hint="eastAsia"/>
                <w:lang w:val="en-US" w:eastAsia="zh-CN"/>
              </w:rPr>
              <w:t>74</w:t>
            </w:r>
            <w:r>
              <w:t>t/a</w:t>
            </w:r>
            <w:r>
              <w:rPr>
                <w:rFonts w:hint="eastAsia"/>
              </w:rPr>
              <w:t>，</w:t>
            </w:r>
            <w:r>
              <w:t>喷漆工序年运行时间为2400h</w:t>
            </w:r>
            <w:r>
              <w:rPr>
                <w:rFonts w:hint="eastAsia"/>
              </w:rPr>
              <w:t>，含漆粉尘的排放速率为0.00</w:t>
            </w:r>
            <w:r>
              <w:rPr>
                <w:rFonts w:hint="eastAsia"/>
                <w:lang w:val="en-US" w:eastAsia="zh-CN"/>
              </w:rPr>
              <w:t>31</w:t>
            </w:r>
            <w:r>
              <w:t>kg/h</w:t>
            </w:r>
            <w:r>
              <w:rPr>
                <w:rFonts w:hint="eastAsia"/>
                <w:lang w:eastAsia="zh-CN"/>
              </w:rPr>
              <w:t>；</w:t>
            </w:r>
            <w:r>
              <w:rPr>
                <w:rFonts w:hint="eastAsia"/>
              </w:rPr>
              <w:t>粉尘</w:t>
            </w:r>
            <w:r>
              <w:t>无组织</w:t>
            </w:r>
            <w:r>
              <w:rPr>
                <w:kern w:val="0"/>
                <w:lang w:bidi="ar"/>
              </w:rPr>
              <w:t>排放</w:t>
            </w:r>
            <w:r>
              <w:rPr>
                <w:rFonts w:hint="eastAsia"/>
                <w:kern w:val="0"/>
                <w:lang w:bidi="ar"/>
              </w:rPr>
              <w:t>量</w:t>
            </w:r>
            <w:r>
              <w:t>为0.0</w:t>
            </w:r>
            <w:r>
              <w:rPr>
                <w:rFonts w:hint="eastAsia"/>
              </w:rPr>
              <w:t>16</w:t>
            </w:r>
            <w:r>
              <w:rPr>
                <w:rFonts w:hint="eastAsia"/>
                <w:lang w:val="en-US" w:eastAsia="zh-CN"/>
              </w:rPr>
              <w:t>5</w:t>
            </w:r>
            <w:r>
              <w:t>t/a，</w:t>
            </w:r>
            <w:r>
              <w:rPr>
                <w:rFonts w:hint="eastAsia"/>
              </w:rPr>
              <w:t>排放速率为0.006</w:t>
            </w:r>
            <w:r>
              <w:rPr>
                <w:rFonts w:hint="eastAsia"/>
                <w:lang w:val="en-US" w:eastAsia="zh-CN"/>
              </w:rPr>
              <w:t>85</w:t>
            </w:r>
            <w:r>
              <w:rPr>
                <w:rFonts w:hint="eastAsia"/>
              </w:rPr>
              <w:t>kg/h</w:t>
            </w:r>
            <w:r>
              <w:t>。</w:t>
            </w:r>
          </w:p>
          <w:p>
            <w:pPr>
              <w:adjustRightInd w:val="0"/>
              <w:snapToGrid w:val="0"/>
              <w:rPr>
                <w:rFonts w:hint="default" w:ascii="Times New Roman" w:hAnsi="Times New Roman" w:cs="Times New Roman"/>
                <w:bCs/>
                <w:spacing w:val="-10"/>
                <w:sz w:val="24"/>
                <w:szCs w:val="24"/>
              </w:rPr>
            </w:pPr>
          </w:p>
        </w:tc>
      </w:tr>
    </w:tbl>
    <w:p>
      <w:pPr>
        <w:adjustRightInd w:val="0"/>
        <w:snapToGrid w:val="0"/>
        <w:spacing w:line="360" w:lineRule="auto"/>
        <w:rPr>
          <w:rFonts w:hint="eastAsia" w:ascii="宋体" w:cs="宋体"/>
          <w:b/>
          <w:kern w:val="0"/>
          <w:sz w:val="28"/>
          <w:szCs w:val="28"/>
        </w:rPr>
        <w:sectPr>
          <w:pgSz w:w="11905" w:h="16838"/>
          <w:pgMar w:top="1440" w:right="1417" w:bottom="1440" w:left="1417" w:header="851" w:footer="850" w:gutter="0"/>
          <w:pgNumType w:fmt="decimal"/>
          <w:cols w:space="0" w:num="1"/>
          <w:rtlGutter w:val="0"/>
          <w:docGrid w:type="lines" w:linePitch="312" w:charSpace="0"/>
        </w:sectPr>
      </w:pPr>
    </w:p>
    <w:tbl>
      <w:tblPr>
        <w:tblStyle w:val="20"/>
        <w:tblW w:w="142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02"/>
        <w:gridCol w:w="136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07" w:hRule="atLeast"/>
          <w:jc w:val="center"/>
        </w:trPr>
        <w:tc>
          <w:tcPr>
            <w:tcW w:w="602" w:type="dxa"/>
            <w:vAlign w:val="center"/>
          </w:tcPr>
          <w:p>
            <w:pPr>
              <w:spacing w:line="240" w:lineRule="auto"/>
              <w:ind w:firstLine="0" w:firstLineChars="0"/>
              <w:jc w:val="center"/>
            </w:pPr>
            <w:r>
              <w:t>运营</w:t>
            </w:r>
          </w:p>
          <w:p>
            <w:pPr>
              <w:spacing w:line="240" w:lineRule="auto"/>
              <w:ind w:firstLine="0" w:firstLineChars="0"/>
              <w:jc w:val="center"/>
            </w:pPr>
            <w:r>
              <w:t>期环</w:t>
            </w:r>
          </w:p>
          <w:p>
            <w:pPr>
              <w:spacing w:line="240" w:lineRule="auto"/>
              <w:ind w:firstLine="0" w:firstLineChars="0"/>
              <w:jc w:val="center"/>
            </w:pPr>
            <w:r>
              <w:t>境影</w:t>
            </w:r>
          </w:p>
          <w:p>
            <w:pPr>
              <w:spacing w:line="240" w:lineRule="auto"/>
              <w:ind w:firstLine="0" w:firstLineChars="0"/>
              <w:jc w:val="center"/>
            </w:pPr>
            <w:r>
              <w:t>响和</w:t>
            </w:r>
          </w:p>
          <w:p>
            <w:pPr>
              <w:spacing w:line="240" w:lineRule="auto"/>
              <w:ind w:firstLine="0" w:firstLineChars="0"/>
              <w:jc w:val="center"/>
            </w:pPr>
            <w:r>
              <w:t>保护</w:t>
            </w:r>
          </w:p>
          <w:p>
            <w:pPr>
              <w:ind w:firstLine="0" w:firstLineChars="0"/>
              <w:jc w:val="center"/>
              <w:rPr>
                <w:rFonts w:ascii="Calibri" w:hAnsi="Calibri" w:eastAsia="等线"/>
                <w:snapToGrid w:val="0"/>
              </w:rPr>
            </w:pPr>
            <w:r>
              <w:t>措施</w:t>
            </w:r>
          </w:p>
        </w:tc>
        <w:tc>
          <w:tcPr>
            <w:tcW w:w="13691" w:type="dxa"/>
          </w:tcPr>
          <w:p>
            <w:pPr>
              <w:pStyle w:val="24"/>
              <w:bidi w:val="0"/>
              <w:rPr>
                <w:rFonts w:hint="eastAsia"/>
              </w:rPr>
            </w:pPr>
            <w:r>
              <w:rPr>
                <w:rFonts w:hint="eastAsia"/>
              </w:rPr>
              <w:t>表</w:t>
            </w:r>
            <w:r>
              <w:rPr>
                <w:rFonts w:hint="eastAsia"/>
                <w:lang w:val="en-US" w:eastAsia="zh-CN"/>
              </w:rPr>
              <w:t>4-1  本项目有组织</w:t>
            </w:r>
            <w:r>
              <w:rPr>
                <w:rFonts w:hint="eastAsia"/>
                <w:lang w:eastAsia="zh-CN"/>
              </w:rPr>
              <w:t>废气</w:t>
            </w:r>
            <w:r>
              <w:rPr>
                <w:rFonts w:hint="eastAsia"/>
              </w:rPr>
              <w:t>产生及排放情况一览表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
              <w:gridCol w:w="1307"/>
              <w:gridCol w:w="686"/>
              <w:gridCol w:w="700"/>
              <w:gridCol w:w="728"/>
              <w:gridCol w:w="872"/>
              <w:gridCol w:w="695"/>
              <w:gridCol w:w="593"/>
              <w:gridCol w:w="778"/>
              <w:gridCol w:w="910"/>
              <w:gridCol w:w="921"/>
              <w:gridCol w:w="722"/>
              <w:gridCol w:w="760"/>
              <w:gridCol w:w="832"/>
              <w:gridCol w:w="800"/>
              <w:gridCol w:w="693"/>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 w:hRule="atLeast"/>
                <w:jc w:val="center"/>
              </w:trPr>
              <w:tc>
                <w:tcPr>
                  <w:tcW w:w="929" w:type="dxa"/>
                  <w:vMerge w:val="restart"/>
                  <w:vAlign w:val="center"/>
                </w:tcPr>
                <w:p>
                  <w:pPr>
                    <w:pStyle w:val="25"/>
                    <w:bidi w:val="0"/>
                    <w:rPr>
                      <w:rFonts w:hint="eastAsia"/>
                      <w:lang w:eastAsia="zh-CN"/>
                    </w:rPr>
                  </w:pPr>
                  <w:r>
                    <w:rPr>
                      <w:rFonts w:hint="eastAsia"/>
                      <w:lang w:eastAsia="zh-CN"/>
                    </w:rPr>
                    <w:t>产污环节</w:t>
                  </w:r>
                </w:p>
              </w:tc>
              <w:tc>
                <w:tcPr>
                  <w:tcW w:w="1307" w:type="dxa"/>
                  <w:vMerge w:val="restart"/>
                  <w:vAlign w:val="center"/>
                </w:tcPr>
                <w:p>
                  <w:pPr>
                    <w:pStyle w:val="25"/>
                    <w:bidi w:val="0"/>
                    <w:rPr>
                      <w:rFonts w:hint="default"/>
                    </w:rPr>
                  </w:pPr>
                  <w:r>
                    <w:rPr>
                      <w:rFonts w:hint="default"/>
                    </w:rPr>
                    <w:t>污染物名称</w:t>
                  </w:r>
                </w:p>
              </w:tc>
              <w:tc>
                <w:tcPr>
                  <w:tcW w:w="2114" w:type="dxa"/>
                  <w:gridSpan w:val="3"/>
                  <w:vAlign w:val="center"/>
                </w:tcPr>
                <w:p>
                  <w:pPr>
                    <w:pStyle w:val="25"/>
                    <w:bidi w:val="0"/>
                    <w:rPr>
                      <w:rFonts w:hint="default"/>
                    </w:rPr>
                  </w:pPr>
                  <w:r>
                    <w:rPr>
                      <w:rFonts w:hint="default"/>
                    </w:rPr>
                    <w:t>产生情况</w:t>
                  </w:r>
                </w:p>
              </w:tc>
              <w:tc>
                <w:tcPr>
                  <w:tcW w:w="872" w:type="dxa"/>
                  <w:vMerge w:val="restart"/>
                  <w:vAlign w:val="center"/>
                </w:tcPr>
                <w:p>
                  <w:pPr>
                    <w:pStyle w:val="25"/>
                    <w:bidi w:val="0"/>
                    <w:rPr>
                      <w:rFonts w:hint="default"/>
                    </w:rPr>
                  </w:pPr>
                  <w:r>
                    <w:rPr>
                      <w:rFonts w:hint="default"/>
                    </w:rPr>
                    <w:t>治理</w:t>
                  </w:r>
                </w:p>
                <w:p>
                  <w:pPr>
                    <w:pStyle w:val="25"/>
                    <w:bidi w:val="0"/>
                    <w:rPr>
                      <w:rFonts w:hint="default"/>
                    </w:rPr>
                  </w:pPr>
                  <w:r>
                    <w:rPr>
                      <w:rFonts w:hint="default"/>
                    </w:rPr>
                    <w:t>措施</w:t>
                  </w:r>
                </w:p>
              </w:tc>
              <w:tc>
                <w:tcPr>
                  <w:tcW w:w="695" w:type="dxa"/>
                  <w:vMerge w:val="restart"/>
                  <w:vAlign w:val="center"/>
                </w:tcPr>
                <w:p>
                  <w:pPr>
                    <w:pStyle w:val="25"/>
                    <w:bidi w:val="0"/>
                    <w:rPr>
                      <w:rFonts w:hint="eastAsia"/>
                      <w:lang w:eastAsia="zh-CN"/>
                    </w:rPr>
                  </w:pPr>
                  <w:r>
                    <w:rPr>
                      <w:rFonts w:hint="default"/>
                    </w:rPr>
                    <w:t>废气量m</w:t>
                  </w:r>
                  <w:r>
                    <w:rPr>
                      <w:rFonts w:hint="default"/>
                      <w:vertAlign w:val="superscript"/>
                    </w:rPr>
                    <w:t>3</w:t>
                  </w:r>
                  <w:r>
                    <w:rPr>
                      <w:rFonts w:hint="default"/>
                    </w:rPr>
                    <w:t>/h</w:t>
                  </w:r>
                </w:p>
              </w:tc>
              <w:tc>
                <w:tcPr>
                  <w:tcW w:w="593" w:type="dxa"/>
                  <w:vMerge w:val="restart"/>
                  <w:vAlign w:val="center"/>
                </w:tcPr>
                <w:p>
                  <w:pPr>
                    <w:pStyle w:val="25"/>
                    <w:bidi w:val="0"/>
                    <w:rPr>
                      <w:rFonts w:hint="eastAsia"/>
                      <w:lang w:eastAsia="zh-CN"/>
                    </w:rPr>
                  </w:pPr>
                  <w:r>
                    <w:rPr>
                      <w:rFonts w:hint="eastAsia"/>
                      <w:lang w:eastAsia="zh-CN"/>
                    </w:rPr>
                    <w:t>去除效率</w:t>
                  </w:r>
                </w:p>
              </w:tc>
              <w:tc>
                <w:tcPr>
                  <w:tcW w:w="2609" w:type="dxa"/>
                  <w:gridSpan w:val="3"/>
                  <w:vAlign w:val="center"/>
                </w:tcPr>
                <w:p>
                  <w:pPr>
                    <w:pStyle w:val="25"/>
                    <w:bidi w:val="0"/>
                    <w:rPr>
                      <w:rFonts w:hint="default"/>
                    </w:rPr>
                  </w:pPr>
                  <w:r>
                    <w:rPr>
                      <w:rFonts w:hint="default"/>
                    </w:rPr>
                    <w:t>排放状况</w:t>
                  </w:r>
                </w:p>
              </w:tc>
              <w:tc>
                <w:tcPr>
                  <w:tcW w:w="1482" w:type="dxa"/>
                  <w:gridSpan w:val="2"/>
                  <w:vAlign w:val="center"/>
                </w:tcPr>
                <w:p>
                  <w:pPr>
                    <w:pStyle w:val="25"/>
                    <w:bidi w:val="0"/>
                    <w:rPr>
                      <w:rFonts w:hint="default"/>
                    </w:rPr>
                  </w:pPr>
                  <w:r>
                    <w:rPr>
                      <w:rFonts w:hint="default"/>
                    </w:rPr>
                    <w:t>执行标准</w:t>
                  </w:r>
                </w:p>
              </w:tc>
              <w:tc>
                <w:tcPr>
                  <w:tcW w:w="832" w:type="dxa"/>
                  <w:vMerge w:val="restart"/>
                  <w:vAlign w:val="center"/>
                </w:tcPr>
                <w:p>
                  <w:pPr>
                    <w:pStyle w:val="25"/>
                    <w:bidi w:val="0"/>
                    <w:rPr>
                      <w:rFonts w:hint="eastAsia"/>
                      <w:lang w:eastAsia="zh-CN"/>
                    </w:rPr>
                  </w:pPr>
                  <w:r>
                    <w:rPr>
                      <w:rFonts w:hint="eastAsia"/>
                      <w:lang w:eastAsia="zh-CN"/>
                    </w:rPr>
                    <w:t>排气筒编号</w:t>
                  </w:r>
                </w:p>
              </w:tc>
              <w:tc>
                <w:tcPr>
                  <w:tcW w:w="2024" w:type="dxa"/>
                  <w:gridSpan w:val="3"/>
                  <w:vAlign w:val="center"/>
                </w:tcPr>
                <w:p>
                  <w:pPr>
                    <w:pStyle w:val="25"/>
                    <w:bidi w:val="0"/>
                    <w:rPr>
                      <w:rFonts w:hint="default"/>
                    </w:rPr>
                  </w:pPr>
                  <w:r>
                    <w:rPr>
                      <w:rFonts w:hint="default"/>
                    </w:rPr>
                    <w:t>排放源参数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atLeast"/>
                <w:jc w:val="center"/>
              </w:trPr>
              <w:tc>
                <w:tcPr>
                  <w:tcW w:w="929" w:type="dxa"/>
                  <w:vMerge w:val="continue"/>
                  <w:vAlign w:val="center"/>
                </w:tcPr>
                <w:p>
                  <w:pPr>
                    <w:pStyle w:val="25"/>
                    <w:bidi w:val="0"/>
                    <w:rPr>
                      <w:rFonts w:hint="default"/>
                    </w:rPr>
                  </w:pPr>
                </w:p>
              </w:tc>
              <w:tc>
                <w:tcPr>
                  <w:tcW w:w="1307" w:type="dxa"/>
                  <w:vMerge w:val="continue"/>
                  <w:vAlign w:val="center"/>
                </w:tcPr>
                <w:p>
                  <w:pPr>
                    <w:pStyle w:val="25"/>
                    <w:bidi w:val="0"/>
                    <w:rPr>
                      <w:rFonts w:hint="default"/>
                    </w:rPr>
                  </w:pPr>
                </w:p>
              </w:tc>
              <w:tc>
                <w:tcPr>
                  <w:tcW w:w="686" w:type="dxa"/>
                  <w:vAlign w:val="center"/>
                </w:tcPr>
                <w:p>
                  <w:pPr>
                    <w:pStyle w:val="25"/>
                    <w:bidi w:val="0"/>
                    <w:rPr>
                      <w:rFonts w:hint="default"/>
                    </w:rPr>
                  </w:pPr>
                  <w:r>
                    <w:rPr>
                      <w:rFonts w:hint="default"/>
                    </w:rPr>
                    <w:t>产生量t/a</w:t>
                  </w:r>
                </w:p>
              </w:tc>
              <w:tc>
                <w:tcPr>
                  <w:tcW w:w="700" w:type="dxa"/>
                  <w:vAlign w:val="center"/>
                </w:tcPr>
                <w:p>
                  <w:pPr>
                    <w:pStyle w:val="25"/>
                    <w:bidi w:val="0"/>
                    <w:rPr>
                      <w:rFonts w:hint="default"/>
                    </w:rPr>
                  </w:pPr>
                  <w:r>
                    <w:rPr>
                      <w:rFonts w:hint="default"/>
                    </w:rPr>
                    <w:t>速率kg/h</w:t>
                  </w:r>
                </w:p>
              </w:tc>
              <w:tc>
                <w:tcPr>
                  <w:tcW w:w="728" w:type="dxa"/>
                  <w:vAlign w:val="center"/>
                </w:tcPr>
                <w:p>
                  <w:pPr>
                    <w:pStyle w:val="25"/>
                    <w:bidi w:val="0"/>
                    <w:rPr>
                      <w:rFonts w:hint="default"/>
                    </w:rPr>
                  </w:pPr>
                  <w:r>
                    <w:rPr>
                      <w:rFonts w:hint="default"/>
                    </w:rPr>
                    <w:t>浓度mg/m</w:t>
                  </w:r>
                  <w:r>
                    <w:rPr>
                      <w:rFonts w:hint="default"/>
                      <w:vertAlign w:val="superscript"/>
                    </w:rPr>
                    <w:t>3</w:t>
                  </w:r>
                </w:p>
              </w:tc>
              <w:tc>
                <w:tcPr>
                  <w:tcW w:w="872" w:type="dxa"/>
                  <w:vMerge w:val="continue"/>
                  <w:vAlign w:val="center"/>
                </w:tcPr>
                <w:p>
                  <w:pPr>
                    <w:pStyle w:val="25"/>
                    <w:bidi w:val="0"/>
                    <w:rPr>
                      <w:rFonts w:hint="default"/>
                    </w:rPr>
                  </w:pPr>
                </w:p>
              </w:tc>
              <w:tc>
                <w:tcPr>
                  <w:tcW w:w="695" w:type="dxa"/>
                  <w:vMerge w:val="continue"/>
                  <w:vAlign w:val="center"/>
                </w:tcPr>
                <w:p>
                  <w:pPr>
                    <w:pStyle w:val="25"/>
                    <w:bidi w:val="0"/>
                    <w:rPr>
                      <w:rFonts w:hint="default"/>
                    </w:rPr>
                  </w:pPr>
                </w:p>
              </w:tc>
              <w:tc>
                <w:tcPr>
                  <w:tcW w:w="593" w:type="dxa"/>
                  <w:vMerge w:val="continue"/>
                  <w:vAlign w:val="center"/>
                </w:tcPr>
                <w:p>
                  <w:pPr>
                    <w:pStyle w:val="25"/>
                    <w:bidi w:val="0"/>
                    <w:rPr>
                      <w:rFonts w:hint="default"/>
                    </w:rPr>
                  </w:pPr>
                </w:p>
              </w:tc>
              <w:tc>
                <w:tcPr>
                  <w:tcW w:w="778" w:type="dxa"/>
                  <w:vAlign w:val="center"/>
                </w:tcPr>
                <w:p>
                  <w:pPr>
                    <w:pStyle w:val="25"/>
                    <w:bidi w:val="0"/>
                    <w:rPr>
                      <w:rFonts w:hint="default"/>
                    </w:rPr>
                  </w:pPr>
                  <w:r>
                    <w:rPr>
                      <w:rFonts w:hint="default"/>
                    </w:rPr>
                    <w:t>排放量</w:t>
                  </w:r>
                </w:p>
                <w:p>
                  <w:pPr>
                    <w:pStyle w:val="25"/>
                    <w:bidi w:val="0"/>
                    <w:rPr>
                      <w:rFonts w:hint="default"/>
                      <w:lang w:val="en-US" w:eastAsia="zh-CN"/>
                    </w:rPr>
                  </w:pPr>
                  <w:r>
                    <w:rPr>
                      <w:rFonts w:hint="default"/>
                    </w:rPr>
                    <w:t>t/a</w:t>
                  </w:r>
                </w:p>
              </w:tc>
              <w:tc>
                <w:tcPr>
                  <w:tcW w:w="910" w:type="dxa"/>
                  <w:vAlign w:val="center"/>
                </w:tcPr>
                <w:p>
                  <w:pPr>
                    <w:pStyle w:val="25"/>
                    <w:bidi w:val="0"/>
                    <w:rPr>
                      <w:rFonts w:hint="default"/>
                    </w:rPr>
                  </w:pPr>
                  <w:r>
                    <w:rPr>
                      <w:rFonts w:hint="default"/>
                    </w:rPr>
                    <w:t>速率</w:t>
                  </w:r>
                </w:p>
                <w:p>
                  <w:pPr>
                    <w:pStyle w:val="25"/>
                    <w:bidi w:val="0"/>
                    <w:rPr>
                      <w:rFonts w:hint="default"/>
                    </w:rPr>
                  </w:pPr>
                  <w:r>
                    <w:rPr>
                      <w:rFonts w:hint="default"/>
                    </w:rPr>
                    <w:t>kg/h</w:t>
                  </w:r>
                </w:p>
              </w:tc>
              <w:tc>
                <w:tcPr>
                  <w:tcW w:w="921" w:type="dxa"/>
                  <w:vAlign w:val="center"/>
                </w:tcPr>
                <w:p>
                  <w:pPr>
                    <w:pStyle w:val="25"/>
                    <w:bidi w:val="0"/>
                    <w:rPr>
                      <w:rFonts w:hint="default"/>
                      <w:lang w:val="en-US" w:eastAsia="zh-CN"/>
                    </w:rPr>
                  </w:pPr>
                  <w:r>
                    <w:rPr>
                      <w:rFonts w:hint="default"/>
                    </w:rPr>
                    <w:t>浓度mg/m</w:t>
                  </w:r>
                  <w:r>
                    <w:rPr>
                      <w:rFonts w:hint="default"/>
                      <w:vertAlign w:val="superscript"/>
                    </w:rPr>
                    <w:t>3</w:t>
                  </w:r>
                </w:p>
              </w:tc>
              <w:tc>
                <w:tcPr>
                  <w:tcW w:w="722" w:type="dxa"/>
                  <w:vAlign w:val="center"/>
                </w:tcPr>
                <w:p>
                  <w:pPr>
                    <w:pStyle w:val="25"/>
                    <w:bidi w:val="0"/>
                    <w:rPr>
                      <w:rFonts w:hint="default"/>
                    </w:rPr>
                  </w:pPr>
                  <w:r>
                    <w:rPr>
                      <w:rFonts w:hint="default"/>
                    </w:rPr>
                    <w:t>浓度mg/m</w:t>
                  </w:r>
                  <w:r>
                    <w:rPr>
                      <w:rFonts w:hint="default"/>
                      <w:vertAlign w:val="superscript"/>
                    </w:rPr>
                    <w:t>3</w:t>
                  </w:r>
                </w:p>
              </w:tc>
              <w:tc>
                <w:tcPr>
                  <w:tcW w:w="760" w:type="dxa"/>
                  <w:vAlign w:val="center"/>
                </w:tcPr>
                <w:p>
                  <w:pPr>
                    <w:pStyle w:val="25"/>
                    <w:bidi w:val="0"/>
                    <w:rPr>
                      <w:rFonts w:hint="default"/>
                    </w:rPr>
                  </w:pPr>
                  <w:r>
                    <w:rPr>
                      <w:rFonts w:hint="default"/>
                    </w:rPr>
                    <w:t>速率</w:t>
                  </w:r>
                </w:p>
                <w:p>
                  <w:pPr>
                    <w:pStyle w:val="25"/>
                    <w:bidi w:val="0"/>
                    <w:rPr>
                      <w:rFonts w:hint="default"/>
                    </w:rPr>
                  </w:pPr>
                  <w:r>
                    <w:rPr>
                      <w:rFonts w:hint="default"/>
                    </w:rPr>
                    <w:t>kg/h</w:t>
                  </w:r>
                </w:p>
              </w:tc>
              <w:tc>
                <w:tcPr>
                  <w:tcW w:w="832" w:type="dxa"/>
                  <w:vMerge w:val="continue"/>
                  <w:vAlign w:val="center"/>
                </w:tcPr>
                <w:p>
                  <w:pPr>
                    <w:pStyle w:val="25"/>
                    <w:bidi w:val="0"/>
                    <w:rPr>
                      <w:rFonts w:hint="default"/>
                    </w:rPr>
                  </w:pPr>
                </w:p>
              </w:tc>
              <w:tc>
                <w:tcPr>
                  <w:tcW w:w="800" w:type="dxa"/>
                  <w:vAlign w:val="center"/>
                </w:tcPr>
                <w:p>
                  <w:pPr>
                    <w:pStyle w:val="25"/>
                    <w:bidi w:val="0"/>
                    <w:rPr>
                      <w:rFonts w:hint="default"/>
                    </w:rPr>
                  </w:pPr>
                  <w:r>
                    <w:rPr>
                      <w:rFonts w:hint="default"/>
                    </w:rPr>
                    <w:t>高度</w:t>
                  </w:r>
                </w:p>
                <w:p>
                  <w:pPr>
                    <w:pStyle w:val="25"/>
                    <w:bidi w:val="0"/>
                    <w:rPr>
                      <w:rFonts w:hint="default"/>
                    </w:rPr>
                  </w:pPr>
                  <w:r>
                    <w:rPr>
                      <w:rFonts w:hint="default"/>
                    </w:rPr>
                    <w:t>m</w:t>
                  </w:r>
                </w:p>
              </w:tc>
              <w:tc>
                <w:tcPr>
                  <w:tcW w:w="693" w:type="dxa"/>
                  <w:vAlign w:val="center"/>
                </w:tcPr>
                <w:p>
                  <w:pPr>
                    <w:pStyle w:val="25"/>
                    <w:bidi w:val="0"/>
                    <w:rPr>
                      <w:rFonts w:hint="default"/>
                    </w:rPr>
                  </w:pPr>
                  <w:r>
                    <w:rPr>
                      <w:rFonts w:hint="default"/>
                    </w:rPr>
                    <w:t>直径m</w:t>
                  </w:r>
                </w:p>
              </w:tc>
              <w:tc>
                <w:tcPr>
                  <w:tcW w:w="531" w:type="dxa"/>
                  <w:vAlign w:val="center"/>
                </w:tcPr>
                <w:p>
                  <w:pPr>
                    <w:pStyle w:val="25"/>
                    <w:bidi w:val="0"/>
                    <w:rPr>
                      <w:rFonts w:hint="default"/>
                    </w:rPr>
                  </w:pPr>
                  <w:r>
                    <w:rPr>
                      <w:rFonts w:hint="default"/>
                    </w:rPr>
                    <w:t>温度</w:t>
                  </w:r>
                </w:p>
                <w:p>
                  <w:pPr>
                    <w:pStyle w:val="25"/>
                    <w:bidi w:val="0"/>
                    <w:rPr>
                      <w:rFonts w:hint="default"/>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29" w:type="dxa"/>
                  <w:vMerge w:val="restart"/>
                  <w:vAlign w:val="center"/>
                </w:tcPr>
                <w:p>
                  <w:pPr>
                    <w:pStyle w:val="25"/>
                    <w:bidi w:val="0"/>
                    <w:rPr>
                      <w:rFonts w:hint="eastAsia"/>
                      <w:lang w:val="en-US" w:eastAsia="zh-CN"/>
                    </w:rPr>
                  </w:pPr>
                  <w:r>
                    <w:rPr>
                      <w:rFonts w:hint="eastAsia"/>
                      <w:lang w:val="en-US" w:eastAsia="zh-CN"/>
                    </w:rPr>
                    <w:t>喷漆</w:t>
                  </w:r>
                </w:p>
              </w:tc>
              <w:tc>
                <w:tcPr>
                  <w:tcW w:w="1307" w:type="dxa"/>
                  <w:vAlign w:val="center"/>
                </w:tcPr>
                <w:p>
                  <w:pPr>
                    <w:pStyle w:val="25"/>
                    <w:bidi w:val="0"/>
                    <w:rPr>
                      <w:rFonts w:hint="default"/>
                      <w:lang w:val="en-US" w:eastAsia="zh-CN"/>
                    </w:rPr>
                  </w:pPr>
                  <w:r>
                    <w:rPr>
                      <w:rFonts w:hint="eastAsia"/>
                      <w:lang w:val="en-US" w:eastAsia="zh-CN"/>
                    </w:rPr>
                    <w:t>颗粒物</w:t>
                  </w:r>
                </w:p>
              </w:tc>
              <w:tc>
                <w:tcPr>
                  <w:tcW w:w="686" w:type="dxa"/>
                  <w:vAlign w:val="center"/>
                </w:tcPr>
                <w:p>
                  <w:pPr>
                    <w:pStyle w:val="25"/>
                    <w:bidi w:val="0"/>
                    <w:rPr>
                      <w:rFonts w:hint="default"/>
                      <w:lang w:val="en-US" w:eastAsia="zh-CN"/>
                    </w:rPr>
                  </w:pPr>
                  <w:r>
                    <w:rPr>
                      <w:rFonts w:hint="eastAsia"/>
                      <w:lang w:val="en-US" w:eastAsia="zh-CN"/>
                    </w:rPr>
                    <w:t>1.987</w:t>
                  </w:r>
                </w:p>
              </w:tc>
              <w:tc>
                <w:tcPr>
                  <w:tcW w:w="700" w:type="dxa"/>
                  <w:vAlign w:val="center"/>
                </w:tcPr>
                <w:p>
                  <w:pPr>
                    <w:pStyle w:val="25"/>
                    <w:bidi w:val="0"/>
                    <w:rPr>
                      <w:rFonts w:hint="default"/>
                      <w:lang w:val="en-US" w:eastAsia="zh-CN"/>
                    </w:rPr>
                  </w:pPr>
                  <w:r>
                    <w:rPr>
                      <w:rFonts w:hint="eastAsia"/>
                      <w:lang w:val="en-US" w:eastAsia="zh-CN"/>
                    </w:rPr>
                    <w:t>0.828</w:t>
                  </w:r>
                </w:p>
              </w:tc>
              <w:tc>
                <w:tcPr>
                  <w:tcW w:w="728" w:type="dxa"/>
                  <w:vAlign w:val="center"/>
                </w:tcPr>
                <w:p>
                  <w:pPr>
                    <w:pStyle w:val="25"/>
                    <w:bidi w:val="0"/>
                    <w:rPr>
                      <w:rFonts w:hint="default"/>
                      <w:lang w:val="en-US" w:eastAsia="zh-CN"/>
                    </w:rPr>
                  </w:pPr>
                  <w:r>
                    <w:rPr>
                      <w:rFonts w:hint="eastAsia"/>
                      <w:lang w:val="en-US" w:eastAsia="zh-CN"/>
                    </w:rPr>
                    <w:t>460.056</w:t>
                  </w:r>
                </w:p>
              </w:tc>
              <w:tc>
                <w:tcPr>
                  <w:tcW w:w="872" w:type="dxa"/>
                  <w:vMerge w:val="restart"/>
                  <w:vAlign w:val="center"/>
                </w:tcPr>
                <w:p>
                  <w:pPr>
                    <w:pStyle w:val="25"/>
                    <w:bidi w:val="0"/>
                    <w:rPr>
                      <w:rFonts w:hint="default"/>
                      <w:lang w:val="en-US" w:eastAsia="zh-CN"/>
                    </w:rPr>
                  </w:pPr>
                  <w:r>
                    <w:rPr>
                      <w:rFonts w:hint="eastAsia"/>
                      <w:lang w:val="en-US" w:eastAsia="zh-CN"/>
                    </w:rPr>
                    <w:t>过滤棉+二级活性炭</w:t>
                  </w:r>
                </w:p>
              </w:tc>
              <w:tc>
                <w:tcPr>
                  <w:tcW w:w="695" w:type="dxa"/>
                  <w:vMerge w:val="restart"/>
                  <w:vAlign w:val="center"/>
                </w:tcPr>
                <w:p>
                  <w:pPr>
                    <w:pStyle w:val="25"/>
                    <w:bidi w:val="0"/>
                    <w:rPr>
                      <w:rFonts w:hint="default"/>
                      <w:lang w:val="en-US" w:eastAsia="zh-CN"/>
                    </w:rPr>
                  </w:pPr>
                  <w:r>
                    <w:rPr>
                      <w:rFonts w:hint="eastAsia"/>
                      <w:lang w:val="en-US" w:eastAsia="zh-CN"/>
                    </w:rPr>
                    <w:t>1800</w:t>
                  </w:r>
                </w:p>
              </w:tc>
              <w:tc>
                <w:tcPr>
                  <w:tcW w:w="593" w:type="dxa"/>
                  <w:vAlign w:val="center"/>
                </w:tcPr>
                <w:p>
                  <w:pPr>
                    <w:pStyle w:val="25"/>
                    <w:bidi w:val="0"/>
                    <w:rPr>
                      <w:rFonts w:hint="default"/>
                      <w:lang w:val="en-US" w:eastAsia="zh-CN"/>
                    </w:rPr>
                  </w:pPr>
                  <w:r>
                    <w:rPr>
                      <w:rFonts w:hint="eastAsia"/>
                      <w:lang w:val="en-US" w:eastAsia="zh-CN"/>
                    </w:rPr>
                    <w:t>95</w:t>
                  </w:r>
                </w:p>
              </w:tc>
              <w:tc>
                <w:tcPr>
                  <w:tcW w:w="778" w:type="dxa"/>
                  <w:vAlign w:val="center"/>
                </w:tcPr>
                <w:p>
                  <w:pPr>
                    <w:pStyle w:val="25"/>
                    <w:bidi w:val="0"/>
                    <w:rPr>
                      <w:rFonts w:hint="default"/>
                      <w:lang w:val="en-US" w:eastAsia="zh-CN"/>
                    </w:rPr>
                  </w:pPr>
                  <w:r>
                    <w:rPr>
                      <w:rFonts w:hint="eastAsia"/>
                      <w:lang w:val="en-US" w:eastAsia="zh-CN"/>
                    </w:rPr>
                    <w:t>0.199</w:t>
                  </w:r>
                </w:p>
              </w:tc>
              <w:tc>
                <w:tcPr>
                  <w:tcW w:w="910" w:type="dxa"/>
                  <w:vAlign w:val="center"/>
                </w:tcPr>
                <w:p>
                  <w:pPr>
                    <w:pStyle w:val="25"/>
                    <w:bidi w:val="0"/>
                    <w:rPr>
                      <w:rFonts w:hint="default"/>
                      <w:lang w:val="en-US" w:eastAsia="zh-CN"/>
                    </w:rPr>
                  </w:pPr>
                  <w:r>
                    <w:rPr>
                      <w:rFonts w:hint="eastAsia"/>
                      <w:lang w:val="en-US" w:eastAsia="zh-CN"/>
                    </w:rPr>
                    <w:t>0.0828</w:t>
                  </w:r>
                </w:p>
              </w:tc>
              <w:tc>
                <w:tcPr>
                  <w:tcW w:w="921" w:type="dxa"/>
                  <w:vAlign w:val="center"/>
                </w:tcPr>
                <w:p>
                  <w:pPr>
                    <w:pStyle w:val="25"/>
                    <w:bidi w:val="0"/>
                    <w:rPr>
                      <w:rFonts w:hint="default"/>
                      <w:lang w:val="en-US" w:eastAsia="zh-CN"/>
                    </w:rPr>
                  </w:pPr>
                  <w:r>
                    <w:rPr>
                      <w:rFonts w:hint="eastAsia"/>
                      <w:lang w:val="en-US" w:eastAsia="zh-CN"/>
                    </w:rPr>
                    <w:t>46.006</w:t>
                  </w:r>
                </w:p>
              </w:tc>
              <w:tc>
                <w:tcPr>
                  <w:tcW w:w="722" w:type="dxa"/>
                  <w:vAlign w:val="center"/>
                </w:tcPr>
                <w:p>
                  <w:pPr>
                    <w:pStyle w:val="25"/>
                    <w:bidi w:val="0"/>
                    <w:rPr>
                      <w:rFonts w:hint="default"/>
                      <w:lang w:val="en-US" w:eastAsia="zh-CN"/>
                    </w:rPr>
                  </w:pPr>
                  <w:r>
                    <w:rPr>
                      <w:rFonts w:hint="eastAsia"/>
                      <w:lang w:val="en-US" w:eastAsia="zh-CN"/>
                    </w:rPr>
                    <w:t>120</w:t>
                  </w:r>
                </w:p>
              </w:tc>
              <w:tc>
                <w:tcPr>
                  <w:tcW w:w="760" w:type="dxa"/>
                  <w:vAlign w:val="center"/>
                </w:tcPr>
                <w:p>
                  <w:pPr>
                    <w:pStyle w:val="25"/>
                    <w:bidi w:val="0"/>
                    <w:rPr>
                      <w:rFonts w:hint="default"/>
                      <w:lang w:val="en-US" w:eastAsia="zh-CN"/>
                    </w:rPr>
                  </w:pPr>
                  <w:r>
                    <w:rPr>
                      <w:rFonts w:hint="eastAsia"/>
                      <w:lang w:val="en-US" w:eastAsia="zh-CN"/>
                    </w:rPr>
                    <w:t>10</w:t>
                  </w:r>
                </w:p>
              </w:tc>
              <w:tc>
                <w:tcPr>
                  <w:tcW w:w="832" w:type="dxa"/>
                  <w:vMerge w:val="restart"/>
                  <w:vAlign w:val="center"/>
                </w:tcPr>
                <w:p>
                  <w:pPr>
                    <w:pStyle w:val="25"/>
                    <w:bidi w:val="0"/>
                    <w:rPr>
                      <w:rFonts w:hint="default"/>
                      <w:lang w:val="en-US" w:eastAsia="zh-CN"/>
                    </w:rPr>
                  </w:pPr>
                  <w:r>
                    <w:rPr>
                      <w:rFonts w:hint="eastAsia"/>
                      <w:lang w:val="en-US" w:eastAsia="zh-CN"/>
                    </w:rPr>
                    <w:t>DA002</w:t>
                  </w:r>
                </w:p>
              </w:tc>
              <w:tc>
                <w:tcPr>
                  <w:tcW w:w="800" w:type="dxa"/>
                  <w:vMerge w:val="restart"/>
                  <w:vAlign w:val="center"/>
                </w:tcPr>
                <w:p>
                  <w:pPr>
                    <w:pStyle w:val="25"/>
                    <w:bidi w:val="0"/>
                    <w:rPr>
                      <w:rFonts w:hint="default"/>
                      <w:lang w:val="en-US" w:eastAsia="zh-CN"/>
                    </w:rPr>
                  </w:pPr>
                  <w:r>
                    <w:rPr>
                      <w:rFonts w:hint="eastAsia"/>
                      <w:lang w:val="en-US" w:eastAsia="zh-CN"/>
                    </w:rPr>
                    <w:t>15</w:t>
                  </w:r>
                </w:p>
              </w:tc>
              <w:tc>
                <w:tcPr>
                  <w:tcW w:w="693" w:type="dxa"/>
                  <w:vMerge w:val="restart"/>
                  <w:vAlign w:val="center"/>
                </w:tcPr>
                <w:p>
                  <w:pPr>
                    <w:pStyle w:val="25"/>
                    <w:bidi w:val="0"/>
                    <w:rPr>
                      <w:rFonts w:hint="default"/>
                      <w:lang w:val="en-US" w:eastAsia="zh-CN"/>
                    </w:rPr>
                  </w:pPr>
                  <w:r>
                    <w:rPr>
                      <w:rFonts w:hint="eastAsia"/>
                      <w:lang w:val="en-US" w:eastAsia="zh-CN"/>
                    </w:rPr>
                    <w:t>0.8</w:t>
                  </w:r>
                </w:p>
              </w:tc>
              <w:tc>
                <w:tcPr>
                  <w:tcW w:w="531" w:type="dxa"/>
                  <w:vMerge w:val="restart"/>
                  <w:vAlign w:val="center"/>
                </w:tcPr>
                <w:p>
                  <w:pPr>
                    <w:pStyle w:val="25"/>
                    <w:bidi w:val="0"/>
                    <w:rPr>
                      <w:rFonts w:hint="default"/>
                      <w:lang w:val="en-US" w:eastAsia="zh-CN"/>
                    </w:rPr>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29" w:type="dxa"/>
                  <w:vMerge w:val="continue"/>
                  <w:vAlign w:val="center"/>
                </w:tcPr>
                <w:p>
                  <w:pPr>
                    <w:pStyle w:val="25"/>
                    <w:bidi w:val="0"/>
                    <w:rPr>
                      <w:rFonts w:hint="eastAsia"/>
                      <w:lang w:val="en-US" w:eastAsia="zh-CN"/>
                    </w:rPr>
                  </w:pPr>
                </w:p>
              </w:tc>
              <w:tc>
                <w:tcPr>
                  <w:tcW w:w="1307" w:type="dxa"/>
                  <w:vAlign w:val="center"/>
                </w:tcPr>
                <w:p>
                  <w:pPr>
                    <w:pStyle w:val="25"/>
                    <w:bidi w:val="0"/>
                    <w:rPr>
                      <w:rFonts w:hint="default"/>
                      <w:lang w:val="en-US" w:eastAsia="zh-CN"/>
                    </w:rPr>
                  </w:pPr>
                  <w:r>
                    <w:rPr>
                      <w:rFonts w:hint="default"/>
                      <w:lang w:val="en-US" w:eastAsia="zh-CN"/>
                    </w:rPr>
                    <w:t>非甲烷总烃</w:t>
                  </w:r>
                </w:p>
              </w:tc>
              <w:tc>
                <w:tcPr>
                  <w:tcW w:w="686" w:type="dxa"/>
                  <w:vAlign w:val="center"/>
                </w:tcPr>
                <w:p>
                  <w:pPr>
                    <w:pStyle w:val="25"/>
                    <w:bidi w:val="0"/>
                    <w:rPr>
                      <w:rFonts w:hint="eastAsia"/>
                      <w:lang w:val="en-US" w:eastAsia="zh-CN"/>
                    </w:rPr>
                  </w:pPr>
                  <w:r>
                    <w:rPr>
                      <w:rFonts w:hint="eastAsia"/>
                      <w:lang w:val="en-US" w:eastAsia="zh-CN"/>
                    </w:rPr>
                    <w:t>1.047</w:t>
                  </w:r>
                </w:p>
              </w:tc>
              <w:tc>
                <w:tcPr>
                  <w:tcW w:w="700" w:type="dxa"/>
                  <w:vAlign w:val="center"/>
                </w:tcPr>
                <w:p>
                  <w:pPr>
                    <w:pStyle w:val="25"/>
                    <w:bidi w:val="0"/>
                    <w:rPr>
                      <w:rFonts w:hint="default"/>
                      <w:lang w:val="en-US" w:eastAsia="zh-CN"/>
                    </w:rPr>
                  </w:pPr>
                  <w:r>
                    <w:rPr>
                      <w:rFonts w:hint="eastAsia"/>
                      <w:lang w:val="en-US" w:eastAsia="zh-CN"/>
                    </w:rPr>
                    <w:t>0.436</w:t>
                  </w:r>
                </w:p>
              </w:tc>
              <w:tc>
                <w:tcPr>
                  <w:tcW w:w="728" w:type="dxa"/>
                  <w:vAlign w:val="center"/>
                </w:tcPr>
                <w:p>
                  <w:pPr>
                    <w:pStyle w:val="25"/>
                    <w:bidi w:val="0"/>
                    <w:rPr>
                      <w:rFonts w:hint="default"/>
                      <w:lang w:val="en-US" w:eastAsia="zh-CN"/>
                    </w:rPr>
                  </w:pPr>
                  <w:r>
                    <w:rPr>
                      <w:rFonts w:hint="eastAsia"/>
                      <w:lang w:val="en-US" w:eastAsia="zh-CN"/>
                    </w:rPr>
                    <w:t>242.278</w:t>
                  </w:r>
                </w:p>
              </w:tc>
              <w:tc>
                <w:tcPr>
                  <w:tcW w:w="872" w:type="dxa"/>
                  <w:vMerge w:val="continue"/>
                  <w:vAlign w:val="center"/>
                </w:tcPr>
                <w:p>
                  <w:pPr>
                    <w:pStyle w:val="25"/>
                    <w:bidi w:val="0"/>
                    <w:rPr>
                      <w:rFonts w:hint="eastAsia"/>
                      <w:lang w:val="en-US" w:eastAsia="zh-CN"/>
                    </w:rPr>
                  </w:pPr>
                </w:p>
              </w:tc>
              <w:tc>
                <w:tcPr>
                  <w:tcW w:w="695" w:type="dxa"/>
                  <w:vMerge w:val="continue"/>
                  <w:vAlign w:val="center"/>
                </w:tcPr>
                <w:p>
                  <w:pPr>
                    <w:pStyle w:val="25"/>
                    <w:bidi w:val="0"/>
                    <w:rPr>
                      <w:rFonts w:hint="eastAsia"/>
                      <w:lang w:val="en-US" w:eastAsia="zh-CN"/>
                    </w:rPr>
                  </w:pPr>
                </w:p>
              </w:tc>
              <w:tc>
                <w:tcPr>
                  <w:tcW w:w="593" w:type="dxa"/>
                  <w:vAlign w:val="center"/>
                </w:tcPr>
                <w:p>
                  <w:pPr>
                    <w:pStyle w:val="25"/>
                    <w:bidi w:val="0"/>
                    <w:rPr>
                      <w:rFonts w:hint="default"/>
                      <w:lang w:val="en-US" w:eastAsia="zh-CN"/>
                    </w:rPr>
                  </w:pPr>
                  <w:r>
                    <w:rPr>
                      <w:rFonts w:hint="eastAsia"/>
                      <w:lang w:val="en-US" w:eastAsia="zh-CN"/>
                    </w:rPr>
                    <w:t>90</w:t>
                  </w:r>
                </w:p>
              </w:tc>
              <w:tc>
                <w:tcPr>
                  <w:tcW w:w="778" w:type="dxa"/>
                  <w:vMerge w:val="restart"/>
                  <w:vAlign w:val="center"/>
                </w:tcPr>
                <w:p>
                  <w:pPr>
                    <w:pStyle w:val="25"/>
                    <w:bidi w:val="0"/>
                    <w:rPr>
                      <w:rFonts w:hint="default"/>
                      <w:lang w:val="en-US" w:eastAsia="zh-CN"/>
                    </w:rPr>
                  </w:pPr>
                  <w:r>
                    <w:rPr>
                      <w:rFonts w:hint="eastAsia"/>
                      <w:lang w:val="en-US" w:eastAsia="zh-CN"/>
                    </w:rPr>
                    <w:t>0.171</w:t>
                  </w:r>
                </w:p>
              </w:tc>
              <w:tc>
                <w:tcPr>
                  <w:tcW w:w="910" w:type="dxa"/>
                  <w:vMerge w:val="restart"/>
                  <w:vAlign w:val="center"/>
                </w:tcPr>
                <w:p>
                  <w:pPr>
                    <w:pStyle w:val="25"/>
                    <w:bidi w:val="0"/>
                    <w:rPr>
                      <w:rFonts w:hint="default"/>
                      <w:lang w:val="en-US" w:eastAsia="zh-CN"/>
                    </w:rPr>
                  </w:pPr>
                  <w:r>
                    <w:rPr>
                      <w:rFonts w:hint="eastAsia"/>
                      <w:lang w:val="en-US" w:eastAsia="zh-CN"/>
                    </w:rPr>
                    <w:t>0.0711</w:t>
                  </w:r>
                </w:p>
              </w:tc>
              <w:tc>
                <w:tcPr>
                  <w:tcW w:w="921" w:type="dxa"/>
                  <w:vMerge w:val="restart"/>
                  <w:vAlign w:val="center"/>
                </w:tcPr>
                <w:p>
                  <w:pPr>
                    <w:pStyle w:val="25"/>
                    <w:bidi w:val="0"/>
                    <w:rPr>
                      <w:rFonts w:hint="default"/>
                      <w:lang w:val="en-US" w:eastAsia="zh-CN"/>
                    </w:rPr>
                  </w:pPr>
                  <w:r>
                    <w:rPr>
                      <w:rFonts w:hint="eastAsia"/>
                      <w:lang w:val="en-US" w:eastAsia="zh-CN"/>
                    </w:rPr>
                    <w:t>14.802</w:t>
                  </w:r>
                </w:p>
              </w:tc>
              <w:tc>
                <w:tcPr>
                  <w:tcW w:w="722" w:type="dxa"/>
                  <w:vMerge w:val="restart"/>
                  <w:vAlign w:val="center"/>
                </w:tcPr>
                <w:p>
                  <w:pPr>
                    <w:pStyle w:val="25"/>
                    <w:bidi w:val="0"/>
                    <w:rPr>
                      <w:rFonts w:hint="default"/>
                      <w:lang w:val="en-US" w:eastAsia="zh-CN"/>
                    </w:rPr>
                  </w:pPr>
                  <w:r>
                    <w:rPr>
                      <w:rFonts w:hint="eastAsia"/>
                      <w:lang w:val="en-US" w:eastAsia="zh-CN"/>
                    </w:rPr>
                    <w:t>120</w:t>
                  </w:r>
                </w:p>
              </w:tc>
              <w:tc>
                <w:tcPr>
                  <w:tcW w:w="760" w:type="dxa"/>
                  <w:vMerge w:val="restart"/>
                  <w:vAlign w:val="center"/>
                </w:tcPr>
                <w:p>
                  <w:pPr>
                    <w:pStyle w:val="25"/>
                    <w:bidi w:val="0"/>
                    <w:rPr>
                      <w:rFonts w:hint="default"/>
                      <w:lang w:val="en-US" w:eastAsia="zh-CN"/>
                    </w:rPr>
                  </w:pPr>
                  <w:r>
                    <w:rPr>
                      <w:rFonts w:hint="eastAsia"/>
                      <w:lang w:val="en-US" w:eastAsia="zh-CN"/>
                    </w:rPr>
                    <w:t>3.5</w:t>
                  </w:r>
                </w:p>
              </w:tc>
              <w:tc>
                <w:tcPr>
                  <w:tcW w:w="832" w:type="dxa"/>
                  <w:vMerge w:val="continue"/>
                  <w:vAlign w:val="center"/>
                </w:tcPr>
                <w:p>
                  <w:pPr>
                    <w:pStyle w:val="25"/>
                    <w:bidi w:val="0"/>
                    <w:rPr>
                      <w:rFonts w:hint="eastAsia"/>
                      <w:lang w:val="en-US" w:eastAsia="zh-CN"/>
                    </w:rPr>
                  </w:pPr>
                </w:p>
              </w:tc>
              <w:tc>
                <w:tcPr>
                  <w:tcW w:w="800" w:type="dxa"/>
                  <w:vMerge w:val="continue"/>
                  <w:vAlign w:val="center"/>
                </w:tcPr>
                <w:p>
                  <w:pPr>
                    <w:pStyle w:val="25"/>
                    <w:bidi w:val="0"/>
                    <w:rPr>
                      <w:rFonts w:hint="eastAsia"/>
                      <w:lang w:val="en-US" w:eastAsia="zh-CN"/>
                    </w:rPr>
                  </w:pPr>
                </w:p>
              </w:tc>
              <w:tc>
                <w:tcPr>
                  <w:tcW w:w="693" w:type="dxa"/>
                  <w:vMerge w:val="continue"/>
                  <w:vAlign w:val="center"/>
                </w:tcPr>
                <w:p>
                  <w:pPr>
                    <w:pStyle w:val="25"/>
                    <w:bidi w:val="0"/>
                    <w:rPr>
                      <w:rFonts w:hint="eastAsia"/>
                      <w:lang w:val="en-US" w:eastAsia="zh-CN"/>
                    </w:rPr>
                  </w:pPr>
                </w:p>
              </w:tc>
              <w:tc>
                <w:tcPr>
                  <w:tcW w:w="531" w:type="dxa"/>
                  <w:vMerge w:val="continue"/>
                  <w:vAlign w:val="center"/>
                </w:tcPr>
                <w:p>
                  <w:pPr>
                    <w:pStyle w:val="25"/>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29" w:type="dxa"/>
                  <w:vAlign w:val="center"/>
                </w:tcPr>
                <w:p>
                  <w:pPr>
                    <w:pStyle w:val="25"/>
                    <w:bidi w:val="0"/>
                    <w:rPr>
                      <w:rFonts w:hint="eastAsia"/>
                      <w:lang w:val="en-US" w:eastAsia="zh-CN"/>
                    </w:rPr>
                  </w:pPr>
                  <w:r>
                    <w:rPr>
                      <w:rFonts w:hint="eastAsia"/>
                      <w:lang w:val="en-US" w:eastAsia="zh-CN"/>
                    </w:rPr>
                    <w:t>流平</w:t>
                  </w:r>
                </w:p>
              </w:tc>
              <w:tc>
                <w:tcPr>
                  <w:tcW w:w="1307" w:type="dxa"/>
                  <w:vAlign w:val="center"/>
                </w:tcPr>
                <w:p>
                  <w:pPr>
                    <w:pStyle w:val="25"/>
                    <w:bidi w:val="0"/>
                    <w:rPr>
                      <w:rFonts w:hint="eastAsia"/>
                      <w:lang w:val="en-US" w:eastAsia="zh-CN"/>
                    </w:rPr>
                  </w:pPr>
                  <w:r>
                    <w:rPr>
                      <w:rFonts w:hint="default"/>
                      <w:lang w:val="en-US" w:eastAsia="zh-CN"/>
                    </w:rPr>
                    <w:t>非甲烷总烃</w:t>
                  </w:r>
                </w:p>
              </w:tc>
              <w:tc>
                <w:tcPr>
                  <w:tcW w:w="686" w:type="dxa"/>
                  <w:vAlign w:val="center"/>
                </w:tcPr>
                <w:p>
                  <w:pPr>
                    <w:pStyle w:val="25"/>
                    <w:bidi w:val="0"/>
                    <w:rPr>
                      <w:rFonts w:hint="default"/>
                      <w:lang w:val="en-US" w:eastAsia="zh-CN"/>
                    </w:rPr>
                  </w:pPr>
                  <w:r>
                    <w:rPr>
                      <w:rFonts w:hint="eastAsia"/>
                      <w:lang w:val="en-US" w:eastAsia="zh-CN"/>
                    </w:rPr>
                    <w:t>0.32</w:t>
                  </w:r>
                </w:p>
              </w:tc>
              <w:tc>
                <w:tcPr>
                  <w:tcW w:w="700" w:type="dxa"/>
                  <w:vAlign w:val="center"/>
                </w:tcPr>
                <w:p>
                  <w:pPr>
                    <w:pStyle w:val="25"/>
                    <w:bidi w:val="0"/>
                    <w:rPr>
                      <w:rFonts w:hint="default"/>
                      <w:lang w:val="en-US" w:eastAsia="zh-CN"/>
                    </w:rPr>
                  </w:pPr>
                  <w:r>
                    <w:rPr>
                      <w:rFonts w:hint="eastAsia"/>
                      <w:lang w:val="en-US" w:eastAsia="zh-CN"/>
                    </w:rPr>
                    <w:t>0.134</w:t>
                  </w:r>
                </w:p>
              </w:tc>
              <w:tc>
                <w:tcPr>
                  <w:tcW w:w="728" w:type="dxa"/>
                  <w:vAlign w:val="center"/>
                </w:tcPr>
                <w:p>
                  <w:pPr>
                    <w:pStyle w:val="25"/>
                    <w:bidi w:val="0"/>
                    <w:rPr>
                      <w:rFonts w:hint="default"/>
                      <w:lang w:val="en-US" w:eastAsia="zh-CN"/>
                    </w:rPr>
                  </w:pPr>
                  <w:r>
                    <w:rPr>
                      <w:rFonts w:hint="eastAsia"/>
                      <w:lang w:val="en-US" w:eastAsia="zh-CN"/>
                    </w:rPr>
                    <w:t>89</w:t>
                  </w:r>
                </w:p>
              </w:tc>
              <w:tc>
                <w:tcPr>
                  <w:tcW w:w="872" w:type="dxa"/>
                  <w:vMerge w:val="continue"/>
                  <w:vAlign w:val="center"/>
                </w:tcPr>
                <w:p>
                  <w:pPr>
                    <w:pStyle w:val="25"/>
                    <w:bidi w:val="0"/>
                    <w:rPr>
                      <w:rFonts w:hint="eastAsia"/>
                      <w:lang w:val="en-US" w:eastAsia="zh-CN"/>
                    </w:rPr>
                  </w:pPr>
                </w:p>
              </w:tc>
              <w:tc>
                <w:tcPr>
                  <w:tcW w:w="695" w:type="dxa"/>
                  <w:vAlign w:val="center"/>
                </w:tcPr>
                <w:p>
                  <w:pPr>
                    <w:pStyle w:val="25"/>
                    <w:bidi w:val="0"/>
                    <w:rPr>
                      <w:rFonts w:hint="default"/>
                      <w:lang w:val="en-US" w:eastAsia="zh-CN"/>
                    </w:rPr>
                  </w:pPr>
                  <w:r>
                    <w:rPr>
                      <w:rFonts w:hint="eastAsia"/>
                      <w:lang w:val="en-US" w:eastAsia="zh-CN"/>
                    </w:rPr>
                    <w:t>1500</w:t>
                  </w:r>
                </w:p>
              </w:tc>
              <w:tc>
                <w:tcPr>
                  <w:tcW w:w="593" w:type="dxa"/>
                  <w:vAlign w:val="center"/>
                </w:tcPr>
                <w:p>
                  <w:pPr>
                    <w:pStyle w:val="25"/>
                    <w:bidi w:val="0"/>
                    <w:rPr>
                      <w:rFonts w:hint="default"/>
                      <w:lang w:val="en-US" w:eastAsia="zh-CN"/>
                    </w:rPr>
                  </w:pPr>
                  <w:r>
                    <w:rPr>
                      <w:rFonts w:hint="eastAsia"/>
                      <w:lang w:val="en-US" w:eastAsia="zh-CN"/>
                    </w:rPr>
                    <w:t>90</w:t>
                  </w:r>
                </w:p>
              </w:tc>
              <w:tc>
                <w:tcPr>
                  <w:tcW w:w="778" w:type="dxa"/>
                  <w:vMerge w:val="continue"/>
                  <w:vAlign w:val="center"/>
                </w:tcPr>
                <w:p>
                  <w:pPr>
                    <w:pStyle w:val="25"/>
                    <w:bidi w:val="0"/>
                    <w:rPr>
                      <w:rFonts w:hint="eastAsia"/>
                      <w:lang w:val="en-US" w:eastAsia="zh-CN"/>
                    </w:rPr>
                  </w:pPr>
                </w:p>
              </w:tc>
              <w:tc>
                <w:tcPr>
                  <w:tcW w:w="910" w:type="dxa"/>
                  <w:vMerge w:val="continue"/>
                  <w:vAlign w:val="center"/>
                </w:tcPr>
                <w:p>
                  <w:pPr>
                    <w:pStyle w:val="25"/>
                    <w:bidi w:val="0"/>
                    <w:rPr>
                      <w:rFonts w:hint="eastAsia"/>
                      <w:lang w:val="en-US" w:eastAsia="zh-CN"/>
                    </w:rPr>
                  </w:pPr>
                </w:p>
              </w:tc>
              <w:tc>
                <w:tcPr>
                  <w:tcW w:w="921" w:type="dxa"/>
                  <w:vMerge w:val="continue"/>
                  <w:vAlign w:val="center"/>
                </w:tcPr>
                <w:p>
                  <w:pPr>
                    <w:pStyle w:val="25"/>
                    <w:bidi w:val="0"/>
                    <w:rPr>
                      <w:rFonts w:hint="eastAsia"/>
                      <w:lang w:val="en-US" w:eastAsia="zh-CN"/>
                    </w:rPr>
                  </w:pPr>
                </w:p>
              </w:tc>
              <w:tc>
                <w:tcPr>
                  <w:tcW w:w="722" w:type="dxa"/>
                  <w:vMerge w:val="continue"/>
                  <w:vAlign w:val="center"/>
                </w:tcPr>
                <w:p>
                  <w:pPr>
                    <w:pStyle w:val="25"/>
                    <w:bidi w:val="0"/>
                    <w:rPr>
                      <w:rFonts w:hint="eastAsia"/>
                      <w:lang w:val="en-US" w:eastAsia="zh-CN"/>
                    </w:rPr>
                  </w:pPr>
                </w:p>
              </w:tc>
              <w:tc>
                <w:tcPr>
                  <w:tcW w:w="760" w:type="dxa"/>
                  <w:vMerge w:val="continue"/>
                  <w:vAlign w:val="center"/>
                </w:tcPr>
                <w:p>
                  <w:pPr>
                    <w:pStyle w:val="25"/>
                    <w:bidi w:val="0"/>
                    <w:rPr>
                      <w:rFonts w:hint="eastAsia"/>
                      <w:lang w:val="en-US" w:eastAsia="zh-CN"/>
                    </w:rPr>
                  </w:pPr>
                </w:p>
              </w:tc>
              <w:tc>
                <w:tcPr>
                  <w:tcW w:w="832" w:type="dxa"/>
                  <w:vMerge w:val="continue"/>
                  <w:vAlign w:val="center"/>
                </w:tcPr>
                <w:p>
                  <w:pPr>
                    <w:pStyle w:val="25"/>
                    <w:bidi w:val="0"/>
                    <w:rPr>
                      <w:rFonts w:hint="eastAsia"/>
                      <w:lang w:val="en-US" w:eastAsia="zh-CN"/>
                    </w:rPr>
                  </w:pPr>
                </w:p>
              </w:tc>
              <w:tc>
                <w:tcPr>
                  <w:tcW w:w="800" w:type="dxa"/>
                  <w:vMerge w:val="continue"/>
                  <w:vAlign w:val="center"/>
                </w:tcPr>
                <w:p>
                  <w:pPr>
                    <w:pStyle w:val="25"/>
                    <w:bidi w:val="0"/>
                    <w:rPr>
                      <w:rFonts w:hint="eastAsia"/>
                      <w:lang w:val="en-US" w:eastAsia="zh-CN"/>
                    </w:rPr>
                  </w:pPr>
                </w:p>
              </w:tc>
              <w:tc>
                <w:tcPr>
                  <w:tcW w:w="693" w:type="dxa"/>
                  <w:vMerge w:val="continue"/>
                  <w:vAlign w:val="center"/>
                </w:tcPr>
                <w:p>
                  <w:pPr>
                    <w:pStyle w:val="25"/>
                    <w:bidi w:val="0"/>
                    <w:rPr>
                      <w:rFonts w:hint="eastAsia"/>
                      <w:lang w:val="en-US" w:eastAsia="zh-CN"/>
                    </w:rPr>
                  </w:pPr>
                </w:p>
              </w:tc>
              <w:tc>
                <w:tcPr>
                  <w:tcW w:w="531" w:type="dxa"/>
                  <w:vMerge w:val="continue"/>
                  <w:vAlign w:val="center"/>
                </w:tcPr>
                <w:p>
                  <w:pPr>
                    <w:pStyle w:val="25"/>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29" w:type="dxa"/>
                  <w:vAlign w:val="center"/>
                </w:tcPr>
                <w:p>
                  <w:pPr>
                    <w:pStyle w:val="25"/>
                    <w:bidi w:val="0"/>
                    <w:rPr>
                      <w:rFonts w:hint="eastAsia"/>
                      <w:lang w:val="en-US" w:eastAsia="zh-CN"/>
                    </w:rPr>
                  </w:pPr>
                  <w:r>
                    <w:rPr>
                      <w:rFonts w:hint="eastAsia"/>
                      <w:lang w:val="en-US" w:eastAsia="zh-CN"/>
                    </w:rPr>
                    <w:t>固化</w:t>
                  </w:r>
                </w:p>
              </w:tc>
              <w:tc>
                <w:tcPr>
                  <w:tcW w:w="1307" w:type="dxa"/>
                  <w:vAlign w:val="center"/>
                </w:tcPr>
                <w:p>
                  <w:pPr>
                    <w:pStyle w:val="25"/>
                    <w:bidi w:val="0"/>
                    <w:rPr>
                      <w:rFonts w:hint="eastAsia"/>
                      <w:lang w:val="en-US" w:eastAsia="zh-CN"/>
                    </w:rPr>
                  </w:pPr>
                  <w:r>
                    <w:rPr>
                      <w:rFonts w:hint="default"/>
                      <w:lang w:val="en-US" w:eastAsia="zh-CN"/>
                    </w:rPr>
                    <w:t>非甲烷总烃</w:t>
                  </w:r>
                </w:p>
              </w:tc>
              <w:tc>
                <w:tcPr>
                  <w:tcW w:w="686" w:type="dxa"/>
                  <w:vAlign w:val="center"/>
                </w:tcPr>
                <w:p>
                  <w:pPr>
                    <w:pStyle w:val="25"/>
                    <w:bidi w:val="0"/>
                    <w:rPr>
                      <w:rFonts w:hint="default"/>
                      <w:lang w:val="en-US" w:eastAsia="zh-CN"/>
                    </w:rPr>
                  </w:pPr>
                  <w:r>
                    <w:rPr>
                      <w:rFonts w:hint="eastAsia"/>
                      <w:lang w:val="en-US" w:eastAsia="zh-CN"/>
                    </w:rPr>
                    <w:t>0.338</w:t>
                  </w:r>
                </w:p>
              </w:tc>
              <w:tc>
                <w:tcPr>
                  <w:tcW w:w="700" w:type="dxa"/>
                  <w:vAlign w:val="center"/>
                </w:tcPr>
                <w:p>
                  <w:pPr>
                    <w:pStyle w:val="25"/>
                    <w:bidi w:val="0"/>
                    <w:rPr>
                      <w:rFonts w:hint="default"/>
                      <w:lang w:val="en-US" w:eastAsia="zh-CN"/>
                    </w:rPr>
                  </w:pPr>
                  <w:r>
                    <w:rPr>
                      <w:rFonts w:hint="eastAsia"/>
                      <w:lang w:val="en-US" w:eastAsia="zh-CN"/>
                    </w:rPr>
                    <w:t>0.141</w:t>
                  </w:r>
                </w:p>
              </w:tc>
              <w:tc>
                <w:tcPr>
                  <w:tcW w:w="728" w:type="dxa"/>
                  <w:vAlign w:val="center"/>
                </w:tcPr>
                <w:p>
                  <w:pPr>
                    <w:pStyle w:val="25"/>
                    <w:bidi w:val="0"/>
                    <w:rPr>
                      <w:rFonts w:hint="default"/>
                      <w:lang w:val="en-US" w:eastAsia="zh-CN"/>
                    </w:rPr>
                  </w:pPr>
                  <w:r>
                    <w:rPr>
                      <w:rFonts w:hint="eastAsia"/>
                      <w:lang w:val="en-US" w:eastAsia="zh-CN"/>
                    </w:rPr>
                    <w:t>93.944</w:t>
                  </w:r>
                </w:p>
              </w:tc>
              <w:tc>
                <w:tcPr>
                  <w:tcW w:w="872" w:type="dxa"/>
                  <w:vMerge w:val="continue"/>
                  <w:vAlign w:val="center"/>
                </w:tcPr>
                <w:p>
                  <w:pPr>
                    <w:pStyle w:val="25"/>
                    <w:bidi w:val="0"/>
                    <w:rPr>
                      <w:rFonts w:hint="eastAsia"/>
                      <w:lang w:val="en-US" w:eastAsia="zh-CN"/>
                    </w:rPr>
                  </w:pPr>
                </w:p>
              </w:tc>
              <w:tc>
                <w:tcPr>
                  <w:tcW w:w="695" w:type="dxa"/>
                  <w:vAlign w:val="center"/>
                </w:tcPr>
                <w:p>
                  <w:pPr>
                    <w:pStyle w:val="25"/>
                    <w:bidi w:val="0"/>
                    <w:rPr>
                      <w:rFonts w:hint="default"/>
                      <w:lang w:val="en-US" w:eastAsia="zh-CN"/>
                    </w:rPr>
                  </w:pPr>
                  <w:r>
                    <w:rPr>
                      <w:rFonts w:hint="eastAsia"/>
                      <w:lang w:val="en-US" w:eastAsia="zh-CN"/>
                    </w:rPr>
                    <w:t>1500</w:t>
                  </w:r>
                </w:p>
              </w:tc>
              <w:tc>
                <w:tcPr>
                  <w:tcW w:w="593" w:type="dxa"/>
                  <w:vAlign w:val="center"/>
                </w:tcPr>
                <w:p>
                  <w:pPr>
                    <w:pStyle w:val="25"/>
                    <w:bidi w:val="0"/>
                    <w:rPr>
                      <w:rFonts w:hint="default"/>
                      <w:lang w:val="en-US" w:eastAsia="zh-CN"/>
                    </w:rPr>
                  </w:pPr>
                  <w:r>
                    <w:rPr>
                      <w:rFonts w:hint="eastAsia"/>
                      <w:lang w:val="en-US" w:eastAsia="zh-CN"/>
                    </w:rPr>
                    <w:t>90</w:t>
                  </w:r>
                </w:p>
              </w:tc>
              <w:tc>
                <w:tcPr>
                  <w:tcW w:w="778" w:type="dxa"/>
                  <w:vMerge w:val="continue"/>
                  <w:vAlign w:val="center"/>
                </w:tcPr>
                <w:p>
                  <w:pPr>
                    <w:pStyle w:val="25"/>
                    <w:bidi w:val="0"/>
                    <w:rPr>
                      <w:rFonts w:hint="eastAsia"/>
                      <w:lang w:val="en-US" w:eastAsia="zh-CN"/>
                    </w:rPr>
                  </w:pPr>
                </w:p>
              </w:tc>
              <w:tc>
                <w:tcPr>
                  <w:tcW w:w="910" w:type="dxa"/>
                  <w:vMerge w:val="continue"/>
                  <w:vAlign w:val="center"/>
                </w:tcPr>
                <w:p>
                  <w:pPr>
                    <w:pStyle w:val="25"/>
                    <w:bidi w:val="0"/>
                    <w:rPr>
                      <w:rFonts w:hint="eastAsia"/>
                      <w:lang w:val="en-US" w:eastAsia="zh-CN"/>
                    </w:rPr>
                  </w:pPr>
                </w:p>
              </w:tc>
              <w:tc>
                <w:tcPr>
                  <w:tcW w:w="921" w:type="dxa"/>
                  <w:vMerge w:val="continue"/>
                  <w:vAlign w:val="center"/>
                </w:tcPr>
                <w:p>
                  <w:pPr>
                    <w:pStyle w:val="25"/>
                    <w:bidi w:val="0"/>
                    <w:rPr>
                      <w:rFonts w:hint="eastAsia"/>
                      <w:lang w:val="en-US" w:eastAsia="zh-CN"/>
                    </w:rPr>
                  </w:pPr>
                </w:p>
              </w:tc>
              <w:tc>
                <w:tcPr>
                  <w:tcW w:w="722" w:type="dxa"/>
                  <w:vMerge w:val="continue"/>
                  <w:vAlign w:val="center"/>
                </w:tcPr>
                <w:p>
                  <w:pPr>
                    <w:pStyle w:val="25"/>
                    <w:bidi w:val="0"/>
                    <w:rPr>
                      <w:rFonts w:hint="eastAsia"/>
                      <w:lang w:val="en-US" w:eastAsia="zh-CN"/>
                    </w:rPr>
                  </w:pPr>
                </w:p>
              </w:tc>
              <w:tc>
                <w:tcPr>
                  <w:tcW w:w="760" w:type="dxa"/>
                  <w:vMerge w:val="continue"/>
                  <w:vAlign w:val="center"/>
                </w:tcPr>
                <w:p>
                  <w:pPr>
                    <w:pStyle w:val="25"/>
                    <w:bidi w:val="0"/>
                    <w:rPr>
                      <w:rFonts w:hint="eastAsia"/>
                      <w:lang w:val="en-US" w:eastAsia="zh-CN"/>
                    </w:rPr>
                  </w:pPr>
                </w:p>
              </w:tc>
              <w:tc>
                <w:tcPr>
                  <w:tcW w:w="832" w:type="dxa"/>
                  <w:vMerge w:val="continue"/>
                  <w:vAlign w:val="center"/>
                </w:tcPr>
                <w:p>
                  <w:pPr>
                    <w:pStyle w:val="25"/>
                    <w:bidi w:val="0"/>
                    <w:rPr>
                      <w:rFonts w:hint="eastAsia"/>
                      <w:lang w:val="en-US" w:eastAsia="zh-CN"/>
                    </w:rPr>
                  </w:pPr>
                </w:p>
              </w:tc>
              <w:tc>
                <w:tcPr>
                  <w:tcW w:w="800" w:type="dxa"/>
                  <w:vMerge w:val="continue"/>
                  <w:vAlign w:val="center"/>
                </w:tcPr>
                <w:p>
                  <w:pPr>
                    <w:pStyle w:val="25"/>
                    <w:bidi w:val="0"/>
                    <w:rPr>
                      <w:rFonts w:hint="eastAsia"/>
                      <w:lang w:val="en-US" w:eastAsia="zh-CN"/>
                    </w:rPr>
                  </w:pPr>
                </w:p>
              </w:tc>
              <w:tc>
                <w:tcPr>
                  <w:tcW w:w="693" w:type="dxa"/>
                  <w:vMerge w:val="continue"/>
                  <w:vAlign w:val="center"/>
                </w:tcPr>
                <w:p>
                  <w:pPr>
                    <w:pStyle w:val="25"/>
                    <w:bidi w:val="0"/>
                    <w:rPr>
                      <w:rFonts w:hint="eastAsia"/>
                      <w:lang w:val="en-US" w:eastAsia="zh-CN"/>
                    </w:rPr>
                  </w:pPr>
                </w:p>
              </w:tc>
              <w:tc>
                <w:tcPr>
                  <w:tcW w:w="531" w:type="dxa"/>
                  <w:vMerge w:val="continue"/>
                  <w:vAlign w:val="center"/>
                </w:tcPr>
                <w:p>
                  <w:pPr>
                    <w:pStyle w:val="25"/>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6" w:hRule="atLeast"/>
                <w:jc w:val="center"/>
              </w:trPr>
              <w:tc>
                <w:tcPr>
                  <w:tcW w:w="929" w:type="dxa"/>
                  <w:vAlign w:val="center"/>
                </w:tcPr>
                <w:p>
                  <w:pPr>
                    <w:pStyle w:val="25"/>
                    <w:bidi w:val="0"/>
                    <w:rPr>
                      <w:rFonts w:hint="default"/>
                      <w:lang w:val="en-US" w:eastAsia="zh-CN"/>
                    </w:rPr>
                  </w:pPr>
                  <w:r>
                    <w:rPr>
                      <w:rFonts w:hint="eastAsia"/>
                      <w:lang w:val="en-US" w:eastAsia="zh-CN"/>
                    </w:rPr>
                    <w:t>打磨</w:t>
                  </w:r>
                </w:p>
              </w:tc>
              <w:tc>
                <w:tcPr>
                  <w:tcW w:w="1307" w:type="dxa"/>
                  <w:vAlign w:val="center"/>
                </w:tcPr>
                <w:p>
                  <w:pPr>
                    <w:pStyle w:val="25"/>
                    <w:bidi w:val="0"/>
                    <w:rPr>
                      <w:rFonts w:hint="eastAsia"/>
                      <w:lang w:val="en-US" w:eastAsia="zh-CN"/>
                    </w:rPr>
                  </w:pPr>
                  <w:r>
                    <w:rPr>
                      <w:rFonts w:hint="eastAsia"/>
                      <w:lang w:eastAsia="zh-CN"/>
                    </w:rPr>
                    <w:t>颗粒物</w:t>
                  </w:r>
                </w:p>
              </w:tc>
              <w:tc>
                <w:tcPr>
                  <w:tcW w:w="686" w:type="dxa"/>
                  <w:vAlign w:val="center"/>
                </w:tcPr>
                <w:p>
                  <w:pPr>
                    <w:pStyle w:val="25"/>
                    <w:bidi w:val="0"/>
                    <w:rPr>
                      <w:rFonts w:hint="default"/>
                      <w:lang w:val="en-US" w:eastAsia="zh-CN"/>
                    </w:rPr>
                  </w:pPr>
                  <w:r>
                    <w:rPr>
                      <w:rFonts w:hint="eastAsia"/>
                      <w:lang w:val="en-US" w:eastAsia="zh-CN"/>
                    </w:rPr>
                    <w:t>0.148</w:t>
                  </w:r>
                </w:p>
              </w:tc>
              <w:tc>
                <w:tcPr>
                  <w:tcW w:w="700" w:type="dxa"/>
                  <w:vAlign w:val="center"/>
                </w:tcPr>
                <w:p>
                  <w:pPr>
                    <w:pStyle w:val="25"/>
                    <w:bidi w:val="0"/>
                    <w:rPr>
                      <w:rFonts w:hint="default"/>
                      <w:lang w:val="en-US" w:eastAsia="zh-CN"/>
                    </w:rPr>
                  </w:pPr>
                  <w:r>
                    <w:rPr>
                      <w:rFonts w:hint="eastAsia"/>
                      <w:lang w:val="en-US" w:eastAsia="zh-CN"/>
                    </w:rPr>
                    <w:t>0.0619</w:t>
                  </w:r>
                </w:p>
              </w:tc>
              <w:tc>
                <w:tcPr>
                  <w:tcW w:w="728" w:type="dxa"/>
                  <w:vAlign w:val="center"/>
                </w:tcPr>
                <w:p>
                  <w:pPr>
                    <w:pStyle w:val="25"/>
                    <w:bidi w:val="0"/>
                    <w:rPr>
                      <w:rFonts w:hint="default"/>
                      <w:lang w:val="en-US" w:eastAsia="zh-CN"/>
                    </w:rPr>
                  </w:pPr>
                  <w:r>
                    <w:rPr>
                      <w:rFonts w:hint="eastAsia"/>
                      <w:lang w:val="en-US" w:eastAsia="zh-CN"/>
                    </w:rPr>
                    <w:t>30.844</w:t>
                  </w:r>
                </w:p>
              </w:tc>
              <w:tc>
                <w:tcPr>
                  <w:tcW w:w="872" w:type="dxa"/>
                  <w:vAlign w:val="center"/>
                </w:tcPr>
                <w:p>
                  <w:pPr>
                    <w:pStyle w:val="25"/>
                    <w:bidi w:val="0"/>
                    <w:rPr>
                      <w:rFonts w:hint="eastAsia"/>
                      <w:lang w:val="en-US" w:eastAsia="zh-CN"/>
                    </w:rPr>
                  </w:pPr>
                  <w:r>
                    <w:rPr>
                      <w:rFonts w:hint="eastAsia"/>
                      <w:lang w:val="en-US" w:eastAsia="zh-CN"/>
                    </w:rPr>
                    <w:t>布袋除尘器</w:t>
                  </w:r>
                </w:p>
              </w:tc>
              <w:tc>
                <w:tcPr>
                  <w:tcW w:w="695" w:type="dxa"/>
                  <w:vAlign w:val="center"/>
                </w:tcPr>
                <w:p>
                  <w:pPr>
                    <w:pStyle w:val="25"/>
                    <w:bidi w:val="0"/>
                    <w:rPr>
                      <w:rFonts w:hint="default"/>
                      <w:lang w:val="en-US" w:eastAsia="zh-CN"/>
                    </w:rPr>
                  </w:pPr>
                  <w:r>
                    <w:rPr>
                      <w:rFonts w:hint="eastAsia"/>
                      <w:lang w:val="en-US" w:eastAsia="zh-CN"/>
                    </w:rPr>
                    <w:t>2000</w:t>
                  </w:r>
                </w:p>
              </w:tc>
              <w:tc>
                <w:tcPr>
                  <w:tcW w:w="593" w:type="dxa"/>
                  <w:vAlign w:val="center"/>
                </w:tcPr>
                <w:p>
                  <w:pPr>
                    <w:pStyle w:val="25"/>
                    <w:bidi w:val="0"/>
                    <w:rPr>
                      <w:rFonts w:hint="default"/>
                      <w:lang w:val="en-US" w:eastAsia="zh-CN"/>
                    </w:rPr>
                  </w:pPr>
                  <w:r>
                    <w:rPr>
                      <w:rFonts w:hint="eastAsia"/>
                      <w:lang w:val="en-US" w:eastAsia="zh-CN"/>
                    </w:rPr>
                    <w:t>95</w:t>
                  </w:r>
                </w:p>
              </w:tc>
              <w:tc>
                <w:tcPr>
                  <w:tcW w:w="778" w:type="dxa"/>
                  <w:vAlign w:val="center"/>
                </w:tcPr>
                <w:p>
                  <w:pPr>
                    <w:pStyle w:val="25"/>
                    <w:bidi w:val="0"/>
                    <w:rPr>
                      <w:rFonts w:hint="default"/>
                      <w:lang w:val="en-US" w:eastAsia="zh-CN"/>
                    </w:rPr>
                  </w:pPr>
                  <w:r>
                    <w:rPr>
                      <w:rFonts w:hint="eastAsia"/>
                      <w:lang w:val="en-US" w:eastAsia="zh-CN"/>
                    </w:rPr>
                    <w:t>0.0074</w:t>
                  </w:r>
                </w:p>
              </w:tc>
              <w:tc>
                <w:tcPr>
                  <w:tcW w:w="910" w:type="dxa"/>
                  <w:vAlign w:val="center"/>
                </w:tcPr>
                <w:p>
                  <w:pPr>
                    <w:pStyle w:val="25"/>
                    <w:bidi w:val="0"/>
                    <w:rPr>
                      <w:rFonts w:hint="default"/>
                      <w:lang w:val="en-US" w:eastAsia="zh-CN"/>
                    </w:rPr>
                  </w:pPr>
                  <w:r>
                    <w:rPr>
                      <w:rFonts w:hint="eastAsia"/>
                      <w:lang w:val="en-US" w:eastAsia="zh-CN"/>
                    </w:rPr>
                    <w:t>0.00308</w:t>
                  </w:r>
                </w:p>
              </w:tc>
              <w:tc>
                <w:tcPr>
                  <w:tcW w:w="921" w:type="dxa"/>
                  <w:vAlign w:val="center"/>
                </w:tcPr>
                <w:p>
                  <w:pPr>
                    <w:pStyle w:val="25"/>
                    <w:bidi w:val="0"/>
                    <w:rPr>
                      <w:rFonts w:hint="default"/>
                      <w:lang w:val="en-US" w:eastAsia="zh-CN"/>
                    </w:rPr>
                  </w:pPr>
                  <w:r>
                    <w:rPr>
                      <w:rFonts w:hint="eastAsia"/>
                      <w:lang w:val="en-US" w:eastAsia="zh-CN"/>
                    </w:rPr>
                    <w:t>1.542</w:t>
                  </w:r>
                </w:p>
              </w:tc>
              <w:tc>
                <w:tcPr>
                  <w:tcW w:w="722" w:type="dxa"/>
                  <w:vAlign w:val="center"/>
                </w:tcPr>
                <w:p>
                  <w:pPr>
                    <w:pStyle w:val="25"/>
                    <w:bidi w:val="0"/>
                    <w:rPr>
                      <w:rFonts w:hint="default"/>
                      <w:lang w:val="en-US" w:eastAsia="zh-CN"/>
                    </w:rPr>
                  </w:pPr>
                  <w:r>
                    <w:rPr>
                      <w:rFonts w:hint="eastAsia"/>
                      <w:lang w:val="en-US" w:eastAsia="zh-CN"/>
                    </w:rPr>
                    <w:t>120</w:t>
                  </w:r>
                </w:p>
              </w:tc>
              <w:tc>
                <w:tcPr>
                  <w:tcW w:w="760" w:type="dxa"/>
                  <w:vAlign w:val="center"/>
                </w:tcPr>
                <w:p>
                  <w:pPr>
                    <w:pStyle w:val="25"/>
                    <w:bidi w:val="0"/>
                    <w:rPr>
                      <w:rFonts w:hint="default"/>
                      <w:lang w:val="en-US" w:eastAsia="zh-CN"/>
                    </w:rPr>
                  </w:pPr>
                  <w:r>
                    <w:rPr>
                      <w:rFonts w:hint="eastAsia"/>
                      <w:lang w:val="en-US" w:eastAsia="zh-CN"/>
                    </w:rPr>
                    <w:t>3.5</w:t>
                  </w:r>
                </w:p>
              </w:tc>
              <w:tc>
                <w:tcPr>
                  <w:tcW w:w="832" w:type="dxa"/>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lang w:val="en-US" w:eastAsia="zh-CN"/>
                    </w:rPr>
                    <w:t>DA001</w:t>
                  </w:r>
                </w:p>
              </w:tc>
              <w:tc>
                <w:tcPr>
                  <w:tcW w:w="800" w:type="dxa"/>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lang w:val="en-US" w:eastAsia="zh-CN"/>
                    </w:rPr>
                    <w:t>15</w:t>
                  </w:r>
                </w:p>
              </w:tc>
              <w:tc>
                <w:tcPr>
                  <w:tcW w:w="693" w:type="dxa"/>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lang w:val="en-US" w:eastAsia="zh-CN"/>
                    </w:rPr>
                    <w:t>0.24</w:t>
                  </w:r>
                </w:p>
              </w:tc>
              <w:tc>
                <w:tcPr>
                  <w:tcW w:w="531" w:type="dxa"/>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lang w:val="en-US" w:eastAsia="zh-CN"/>
                    </w:rPr>
                    <w:t>30</w:t>
                  </w:r>
                </w:p>
              </w:tc>
            </w:tr>
          </w:tbl>
          <w:p>
            <w:pPr>
              <w:keepNext w:val="0"/>
              <w:keepLines w:val="0"/>
              <w:pageBreakBefore w:val="0"/>
              <w:widowControl w:val="0"/>
              <w:suppressLineNumbers w:val="0"/>
              <w:tabs>
                <w:tab w:val="left" w:pos="1173"/>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cs="Times New Roman"/>
                <w:b/>
                <w:color w:val="auto"/>
                <w:sz w:val="21"/>
                <w:szCs w:val="21"/>
              </w:rPr>
            </w:pPr>
          </w:p>
          <w:p>
            <w:pPr>
              <w:keepNext w:val="0"/>
              <w:keepLines w:val="0"/>
              <w:pageBreakBefore w:val="0"/>
              <w:widowControl w:val="0"/>
              <w:suppressLineNumbers w:val="0"/>
              <w:tabs>
                <w:tab w:val="left" w:pos="1173"/>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color w:val="auto"/>
                <w:sz w:val="21"/>
                <w:szCs w:val="21"/>
                <w:highlight w:val="none"/>
              </w:rPr>
            </w:pPr>
            <w:r>
              <w:rPr>
                <w:rFonts w:hint="default" w:ascii="Times New Roman" w:hAnsi="Times New Roman" w:cs="Times New Roman"/>
                <w:b/>
                <w:color w:val="auto"/>
                <w:sz w:val="21"/>
                <w:szCs w:val="21"/>
              </w:rPr>
              <w:t>表</w:t>
            </w:r>
            <w:r>
              <w:rPr>
                <w:rFonts w:hint="eastAsia" w:ascii="Times New Roman" w:hAnsi="Times New Roman" w:eastAsia="宋体" w:cs="Times New Roman"/>
                <w:b/>
                <w:color w:val="auto"/>
                <w:sz w:val="21"/>
                <w:szCs w:val="21"/>
                <w:lang w:val="en-US" w:eastAsia="zh-CN"/>
              </w:rPr>
              <w:t>4-</w:t>
            </w:r>
            <w:r>
              <w:rPr>
                <w:rFonts w:hint="eastAsia" w:cs="Times New Roman"/>
                <w:b/>
                <w:color w:val="auto"/>
                <w:sz w:val="21"/>
                <w:szCs w:val="21"/>
                <w:lang w:val="en-US" w:eastAsia="zh-CN"/>
              </w:rPr>
              <w:t>2</w:t>
            </w:r>
            <w:r>
              <w:rPr>
                <w:rFonts w:hint="eastAsia" w:ascii="Times New Roman" w:hAnsi="Times New Roman" w:eastAsia="宋体" w:cs="Times New Roman"/>
                <w:b/>
                <w:color w:val="auto"/>
                <w:sz w:val="21"/>
                <w:szCs w:val="21"/>
                <w:lang w:val="en-US" w:eastAsia="zh-CN"/>
              </w:rPr>
              <w:t xml:space="preserve"> </w:t>
            </w:r>
            <w:r>
              <w:rPr>
                <w:rFonts w:hint="eastAsia" w:cs="Times New Roman"/>
                <w:b/>
                <w:color w:val="auto"/>
                <w:sz w:val="21"/>
                <w:szCs w:val="21"/>
                <w:lang w:val="en-US" w:eastAsia="zh-CN"/>
              </w:rPr>
              <w:t xml:space="preserve"> </w:t>
            </w:r>
            <w:r>
              <w:rPr>
                <w:rFonts w:hint="eastAsia" w:eastAsia="宋体" w:cs="Times New Roman"/>
                <w:b/>
                <w:color w:val="auto"/>
                <w:sz w:val="21"/>
                <w:szCs w:val="21"/>
                <w:lang w:val="en-US" w:eastAsia="zh-CN"/>
              </w:rPr>
              <w:t>本项目</w:t>
            </w:r>
            <w:r>
              <w:rPr>
                <w:rFonts w:hint="default"/>
                <w:b/>
                <w:color w:val="auto"/>
                <w:sz w:val="21"/>
                <w:szCs w:val="21"/>
              </w:rPr>
              <w:t>无组织排放废气</w:t>
            </w:r>
            <w:r>
              <w:rPr>
                <w:rFonts w:hint="eastAsia" w:eastAsia="宋体"/>
                <w:b/>
                <w:color w:val="auto"/>
                <w:sz w:val="21"/>
                <w:szCs w:val="21"/>
                <w:lang w:val="en-US" w:eastAsia="zh-CN"/>
              </w:rPr>
              <w:t>情况一览表</w:t>
            </w:r>
          </w:p>
          <w:tbl>
            <w:tblPr>
              <w:tblStyle w:val="20"/>
              <w:tblW w:w="12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2874"/>
              <w:gridCol w:w="2237"/>
              <w:gridCol w:w="2108"/>
              <w:gridCol w:w="2093"/>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906"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污染工序</w:t>
                  </w:r>
                </w:p>
              </w:tc>
              <w:tc>
                <w:tcPr>
                  <w:tcW w:w="22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污染因子</w:t>
                  </w:r>
                </w:p>
              </w:tc>
              <w:tc>
                <w:tcPr>
                  <w:tcW w:w="210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排放量（t/a）</w:t>
                  </w:r>
                </w:p>
              </w:tc>
              <w:tc>
                <w:tcPr>
                  <w:tcW w:w="2093"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排放速率（kg/h）</w:t>
                  </w:r>
                </w:p>
              </w:tc>
              <w:tc>
                <w:tcPr>
                  <w:tcW w:w="2073"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年排放时间</w:t>
                  </w:r>
                  <w:r>
                    <w:rPr>
                      <w:rFonts w:hint="eastAsia" w:ascii="Times New Roman" w:hAnsi="Times New Roman" w:cs="Times New Roman" w:eastAsiaTheme="minorEastAsia"/>
                      <w:b/>
                      <w:bCs/>
                      <w:color w:val="auto"/>
                      <w:kern w:val="2"/>
                      <w:sz w:val="21"/>
                      <w:szCs w:val="21"/>
                      <w:lang w:val="en-US" w:eastAsia="zh-CN" w:bidi="ar-SA"/>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2" w:type="dxa"/>
                  <w:vMerge w:val="restart"/>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喷漆车间</w:t>
                  </w:r>
                </w:p>
              </w:tc>
              <w:tc>
                <w:tcPr>
                  <w:tcW w:w="2874" w:type="dxa"/>
                  <w:vMerge w:val="restart"/>
                  <w:tcBorders>
                    <w:top w:val="single" w:color="auto" w:sz="4" w:space="0"/>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cs="Times New Roman"/>
                      <w:color w:val="auto"/>
                      <w:kern w:val="2"/>
                      <w:sz w:val="21"/>
                      <w:szCs w:val="21"/>
                      <w:lang w:val="en-US" w:eastAsia="zh-CN" w:bidi="ar-SA"/>
                    </w:rPr>
                    <w:t>喷漆及固化</w:t>
                  </w:r>
                </w:p>
              </w:tc>
              <w:tc>
                <w:tcPr>
                  <w:tcW w:w="2237"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olor w:val="auto"/>
                      <w:lang w:val="en-US" w:eastAsia="zh-CN"/>
                    </w:rPr>
                  </w:pPr>
                  <w:r>
                    <w:rPr>
                      <w:rFonts w:hint="eastAsia"/>
                      <w:color w:val="auto"/>
                      <w:lang w:val="en-US" w:eastAsia="zh-CN"/>
                    </w:rPr>
                    <w:t>非甲烷总烃</w:t>
                  </w:r>
                </w:p>
              </w:tc>
              <w:tc>
                <w:tcPr>
                  <w:tcW w:w="2108"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0.178</w:t>
                  </w:r>
                </w:p>
              </w:tc>
              <w:tc>
                <w:tcPr>
                  <w:tcW w:w="2093"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0.0742</w:t>
                  </w:r>
                </w:p>
              </w:tc>
              <w:tc>
                <w:tcPr>
                  <w:tcW w:w="2073" w:type="dxa"/>
                  <w:vMerge w:val="restar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2"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874" w:type="dxa"/>
                  <w:vMerge w:val="continue"/>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cs="Times New Roman"/>
                      <w:color w:val="auto"/>
                      <w:kern w:val="2"/>
                      <w:sz w:val="21"/>
                      <w:szCs w:val="21"/>
                      <w:lang w:val="en-US" w:eastAsia="zh-CN" w:bidi="ar-SA"/>
                    </w:rPr>
                    <w:t>颗粒物</w:t>
                  </w:r>
                </w:p>
              </w:tc>
              <w:tc>
                <w:tcPr>
                  <w:tcW w:w="210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0.0406</w:t>
                  </w:r>
                </w:p>
              </w:tc>
              <w:tc>
                <w:tcPr>
                  <w:tcW w:w="2093"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0.0169</w:t>
                  </w:r>
                </w:p>
              </w:tc>
              <w:tc>
                <w:tcPr>
                  <w:tcW w:w="2073" w:type="dxa"/>
                  <w:vMerge w:val="continue"/>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2"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打磨车间</w:t>
                  </w:r>
                </w:p>
              </w:tc>
              <w:tc>
                <w:tcPr>
                  <w:tcW w:w="287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打磨</w:t>
                  </w:r>
                </w:p>
              </w:tc>
              <w:tc>
                <w:tcPr>
                  <w:tcW w:w="2237" w:type="dxa"/>
                  <w:vAlign w:val="center"/>
                </w:tcPr>
                <w:p>
                  <w:pPr>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color w:val="auto"/>
                      <w:kern w:val="2"/>
                      <w:sz w:val="21"/>
                      <w:szCs w:val="21"/>
                      <w:lang w:val="en-US" w:eastAsia="zh-CN" w:bidi="ar-SA"/>
                    </w:rPr>
                    <w:t>颗粒物</w:t>
                  </w:r>
                </w:p>
              </w:tc>
              <w:tc>
                <w:tcPr>
                  <w:tcW w:w="2108"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0.0165</w:t>
                  </w:r>
                </w:p>
              </w:tc>
              <w:tc>
                <w:tcPr>
                  <w:tcW w:w="2093"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0.00685</w:t>
                  </w:r>
                </w:p>
              </w:tc>
              <w:tc>
                <w:tcPr>
                  <w:tcW w:w="2073" w:type="dxa"/>
                  <w:vMerge w:val="continue"/>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eastAsiaTheme="minorEastAsia"/>
                      <w:color w:val="auto"/>
                      <w:kern w:val="2"/>
                      <w:sz w:val="21"/>
                      <w:szCs w:val="21"/>
                      <w:lang w:val="en-US" w:eastAsia="zh-CN" w:bidi="ar-SA"/>
                    </w:rPr>
                  </w:pPr>
                </w:p>
              </w:tc>
            </w:tr>
          </w:tbl>
          <w:p>
            <w:pPr>
              <w:keepNext w:val="0"/>
              <w:keepLines w:val="0"/>
              <w:pageBreakBefore w:val="0"/>
              <w:widowControl w:val="0"/>
              <w:suppressLineNumbers w:val="0"/>
              <w:tabs>
                <w:tab w:val="left" w:pos="1173"/>
              </w:tabs>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rFonts w:hint="default" w:ascii="Times New Roman" w:hAnsi="Times New Roman" w:cs="Times New Roman"/>
                <w:b/>
                <w:color w:val="auto"/>
                <w:sz w:val="21"/>
                <w:szCs w:val="21"/>
              </w:rPr>
            </w:pPr>
          </w:p>
          <w:p>
            <w:pPr>
              <w:pStyle w:val="6"/>
              <w:ind w:firstLine="480"/>
              <w:rPr>
                <w:rFonts w:ascii="Calibri" w:hAnsi="Calibri" w:eastAsia="等线"/>
                <w:snapToGrid w:val="0"/>
              </w:rPr>
            </w:pPr>
          </w:p>
        </w:tc>
      </w:tr>
    </w:tbl>
    <w:p>
      <w:pPr>
        <w:pStyle w:val="12"/>
        <w:rPr>
          <w:rFonts w:hint="eastAsia"/>
        </w:rPr>
        <w:sectPr>
          <w:pgSz w:w="16838" w:h="11905" w:orient="landscape"/>
          <w:pgMar w:top="1417" w:right="1440" w:bottom="1417" w:left="1440" w:header="851" w:footer="850" w:gutter="0"/>
          <w:pgNumType w:fmt="decimal"/>
          <w:cols w:space="0" w:num="1"/>
          <w:rtlGutter w:val="0"/>
          <w:docGrid w:type="lines" w:linePitch="312" w:charSpace="0"/>
        </w:sectPr>
      </w:pP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82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运营</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期环</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境影</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响和</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保护</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措施</w:t>
            </w:r>
          </w:p>
        </w:tc>
        <w:tc>
          <w:tcPr>
            <w:tcW w:w="8190" w:type="dxa"/>
            <w:noWrap w:val="0"/>
            <w:vAlign w:val="center"/>
          </w:tcPr>
          <w:p>
            <w:pPr>
              <w:bidi w:val="0"/>
              <w:rPr>
                <w:b/>
                <w:bCs/>
              </w:rPr>
            </w:pPr>
            <w:r>
              <w:rPr>
                <w:rFonts w:hint="eastAsia"/>
                <w:b/>
                <w:bCs/>
              </w:rPr>
              <w:t>2</w:t>
            </w:r>
            <w:r>
              <w:rPr>
                <w:rFonts w:hint="eastAsia"/>
                <w:b/>
                <w:bCs/>
                <w:lang w:eastAsia="zh-CN"/>
              </w:rPr>
              <w:t>、</w:t>
            </w:r>
            <w:r>
              <w:rPr>
                <w:rFonts w:hint="eastAsia"/>
                <w:b/>
                <w:bCs/>
              </w:rPr>
              <w:t>达标排放分析</w:t>
            </w:r>
          </w:p>
          <w:p>
            <w:pPr>
              <w:bidi w:val="0"/>
            </w:pPr>
            <w:r>
              <w:rPr>
                <w:rFonts w:hint="eastAsia"/>
              </w:rPr>
              <w:t>依据源强核算分析可知：喷漆废气中颗粒物和非甲烷总烃经过滤棉＋</w:t>
            </w:r>
            <w:r>
              <w:rPr>
                <w:rFonts w:hint="eastAsia"/>
                <w:lang w:eastAsia="zh-CN"/>
              </w:rPr>
              <w:t>二级</w:t>
            </w:r>
            <w:r>
              <w:rPr>
                <w:rFonts w:hint="eastAsia"/>
              </w:rPr>
              <w:t>活性炭处理后由15m高的排气筒</w:t>
            </w:r>
            <w:r>
              <w:rPr>
                <w:rFonts w:hint="eastAsia"/>
                <w:lang w:val="en-US" w:eastAsia="zh-CN"/>
              </w:rPr>
              <w:t>DA001</w:t>
            </w:r>
            <w:r>
              <w:t>排放</w:t>
            </w:r>
            <w:r>
              <w:rPr>
                <w:rFonts w:hint="eastAsia"/>
              </w:rPr>
              <w:t>，喷漆废气排放浓度均可以达到《大气污染物综合排放标准》（GB16297-1996）中表2排放限值中限值要求</w:t>
            </w:r>
            <w:r>
              <w:rPr>
                <w:rFonts w:hint="eastAsia"/>
                <w:lang w:eastAsia="zh-CN"/>
              </w:rPr>
              <w:t>（颗粒物：</w:t>
            </w:r>
            <w:r>
              <w:rPr>
                <w:rFonts w:hint="eastAsia"/>
                <w:lang w:val="en-US" w:eastAsia="zh-CN"/>
              </w:rPr>
              <w:t>3.5kg/h</w:t>
            </w:r>
            <w:r>
              <w:rPr>
                <w:rFonts w:hint="eastAsia"/>
                <w:lang w:eastAsia="zh-CN"/>
              </w:rPr>
              <w:t>，</w:t>
            </w:r>
            <w:r>
              <w:rPr>
                <w:rFonts w:hint="eastAsia"/>
                <w:lang w:val="en-US" w:eastAsia="zh-CN"/>
              </w:rPr>
              <w:t>120mg/m</w:t>
            </w:r>
            <w:r>
              <w:rPr>
                <w:rFonts w:hint="eastAsia"/>
                <w:vertAlign w:val="superscript"/>
                <w:lang w:val="en-US" w:eastAsia="zh-CN"/>
              </w:rPr>
              <w:t>3</w:t>
            </w:r>
            <w:r>
              <w:rPr>
                <w:rFonts w:hint="eastAsia"/>
                <w:lang w:val="en-US" w:eastAsia="zh-CN"/>
              </w:rPr>
              <w:t>，</w:t>
            </w:r>
            <w:r>
              <w:rPr>
                <w:rFonts w:hint="eastAsia"/>
                <w:lang w:eastAsia="zh-CN"/>
              </w:rPr>
              <w:t>非甲烷总烃：</w:t>
            </w:r>
            <w:r>
              <w:rPr>
                <w:rFonts w:hint="eastAsia"/>
                <w:lang w:val="en-US" w:eastAsia="zh-CN"/>
              </w:rPr>
              <w:t>10kg/h</w:t>
            </w:r>
            <w:r>
              <w:rPr>
                <w:rFonts w:hint="eastAsia"/>
                <w:lang w:eastAsia="zh-CN"/>
              </w:rPr>
              <w:t>，</w:t>
            </w:r>
            <w:r>
              <w:rPr>
                <w:rFonts w:hint="eastAsia"/>
                <w:lang w:val="en-US" w:eastAsia="zh-CN"/>
              </w:rPr>
              <w:t>120mg/m</w:t>
            </w:r>
            <w:r>
              <w:rPr>
                <w:rFonts w:hint="eastAsia"/>
                <w:vertAlign w:val="superscript"/>
                <w:lang w:val="en-US" w:eastAsia="zh-CN"/>
              </w:rPr>
              <w:t>3</w:t>
            </w:r>
            <w:r>
              <w:rPr>
                <w:rFonts w:hint="eastAsia"/>
                <w:lang w:eastAsia="zh-CN"/>
              </w:rPr>
              <w:t>）</w:t>
            </w:r>
            <w:r>
              <w:rPr>
                <w:rFonts w:hint="eastAsia"/>
              </w:rPr>
              <w:t>，打磨废气经布袋除尘器处理后由1</w:t>
            </w:r>
            <w:r>
              <w:t>5m排气筒</w:t>
            </w:r>
            <w:r>
              <w:rPr>
                <w:rFonts w:hint="eastAsia"/>
                <w:lang w:val="en-US" w:eastAsia="zh-CN"/>
              </w:rPr>
              <w:t>DA002</w:t>
            </w:r>
            <w:r>
              <w:t>排放</w:t>
            </w:r>
            <w:r>
              <w:rPr>
                <w:rFonts w:hint="eastAsia"/>
              </w:rPr>
              <w:t>，可达到《大气污染物综合排放标准》（GB16297-1996）中表2排放限值中限值要求排放</w:t>
            </w:r>
            <w:r>
              <w:rPr>
                <w:rFonts w:hint="eastAsia"/>
                <w:lang w:eastAsia="zh-CN"/>
              </w:rPr>
              <w:t>（颗粒物：</w:t>
            </w:r>
            <w:r>
              <w:rPr>
                <w:rFonts w:hint="eastAsia"/>
                <w:lang w:val="en-US" w:eastAsia="zh-CN"/>
              </w:rPr>
              <w:t>3.5kg/h</w:t>
            </w:r>
            <w:r>
              <w:rPr>
                <w:rFonts w:hint="eastAsia"/>
                <w:lang w:eastAsia="zh-CN"/>
              </w:rPr>
              <w:t>，</w:t>
            </w:r>
            <w:r>
              <w:rPr>
                <w:rFonts w:hint="eastAsia"/>
                <w:lang w:val="en-US" w:eastAsia="zh-CN"/>
              </w:rPr>
              <w:t>120mg/m</w:t>
            </w:r>
            <w:r>
              <w:rPr>
                <w:rFonts w:hint="eastAsia"/>
                <w:vertAlign w:val="superscript"/>
                <w:lang w:val="en-US" w:eastAsia="zh-CN"/>
              </w:rPr>
              <w:t>3</w:t>
            </w:r>
            <w:r>
              <w:rPr>
                <w:rFonts w:hint="eastAsia"/>
                <w:vertAlign w:val="baseline"/>
                <w:lang w:val="en-US" w:eastAsia="zh-CN"/>
              </w:rPr>
              <w:t>）</w:t>
            </w:r>
            <w:r>
              <w:rPr>
                <w:rFonts w:hint="eastAsia"/>
              </w:rPr>
              <w:t>。因此</w:t>
            </w:r>
            <w:r>
              <w:rPr>
                <w:rFonts w:hint="eastAsia"/>
                <w:lang w:eastAsia="zh-CN"/>
              </w:rPr>
              <w:t>本</w:t>
            </w:r>
            <w:r>
              <w:rPr>
                <w:rFonts w:hint="eastAsia"/>
              </w:rPr>
              <w:t>项目运营期废气可达标排放。</w:t>
            </w:r>
          </w:p>
          <w:p>
            <w:pPr>
              <w:bidi w:val="0"/>
              <w:rPr>
                <w:rFonts w:hint="eastAsia"/>
                <w:b/>
                <w:bCs/>
                <w:lang w:eastAsia="zh-CN"/>
              </w:rPr>
            </w:pPr>
            <w:r>
              <w:rPr>
                <w:rFonts w:hint="eastAsia"/>
                <w:b/>
                <w:bCs/>
                <w:lang w:val="en-US" w:eastAsia="zh-CN"/>
              </w:rPr>
              <w:t>3、</w:t>
            </w:r>
            <w:r>
              <w:rPr>
                <w:rFonts w:hint="eastAsia"/>
                <w:b/>
                <w:bCs/>
                <w:lang w:eastAsia="zh-CN"/>
              </w:rPr>
              <w:t>可行性分析</w:t>
            </w:r>
          </w:p>
          <w:p>
            <w:pPr>
              <w:bidi w:val="0"/>
              <w:rPr>
                <w:rFonts w:hint="eastAsia"/>
                <w:color w:val="000000"/>
                <w:highlight w:val="none"/>
              </w:rPr>
            </w:pPr>
            <w:r>
              <w:rPr>
                <w:rFonts w:hint="eastAsia"/>
                <w:color w:val="000000"/>
                <w:highlight w:val="none"/>
                <w:lang w:eastAsia="zh-CN"/>
              </w:rPr>
              <w:t>（</w:t>
            </w:r>
            <w:r>
              <w:rPr>
                <w:rFonts w:hint="eastAsia"/>
                <w:color w:val="000000"/>
                <w:highlight w:val="none"/>
                <w:lang w:val="en-US" w:eastAsia="zh-CN"/>
              </w:rPr>
              <w:t>1</w:t>
            </w:r>
            <w:r>
              <w:rPr>
                <w:rFonts w:hint="eastAsia"/>
                <w:color w:val="000000"/>
                <w:highlight w:val="none"/>
                <w:lang w:eastAsia="zh-CN"/>
              </w:rPr>
              <w:t>）</w:t>
            </w:r>
            <w:r>
              <w:rPr>
                <w:rFonts w:hint="eastAsia"/>
                <w:color w:val="000000"/>
                <w:highlight w:val="none"/>
              </w:rPr>
              <w:t>活性炭吸附：是一种常用的吸附方法，主要利用高孔隙率、高比表面积的吸附剂，藉由物理性吸附（可逆反应）或化学性键结（不可逆反应）作用，将有机气体分子自废气中分离，以达成净化废气的目的。由于一般多采用物理性吸附，随操作时间之增加，吸附剂将逐渐趋于饱和现象，此时则须进行脱附再生或吸附剂更换工作。因活性炭表面有大量微孔，其中绝大部分孔径小于500A（1A=10</w:t>
            </w:r>
            <w:r>
              <w:rPr>
                <w:rFonts w:hint="eastAsia"/>
                <w:color w:val="000000"/>
                <w:highlight w:val="none"/>
                <w:vertAlign w:val="superscript"/>
              </w:rPr>
              <w:t>-10</w:t>
            </w:r>
            <w:r>
              <w:rPr>
                <w:rFonts w:hint="eastAsia"/>
                <w:color w:val="000000"/>
                <w:highlight w:val="none"/>
              </w:rPr>
              <w:t>m），单位材料微孔的总内表面积称“比表面积”，比表面积可高达700～2300m</w:t>
            </w:r>
            <w:r>
              <w:rPr>
                <w:rFonts w:hint="eastAsia"/>
                <w:color w:val="000000"/>
                <w:highlight w:val="none"/>
                <w:vertAlign w:val="superscript"/>
              </w:rPr>
              <w:t>2</w:t>
            </w:r>
            <w:r>
              <w:rPr>
                <w:rFonts w:hint="eastAsia"/>
                <w:color w:val="000000"/>
                <w:highlight w:val="none"/>
              </w:rPr>
              <w:t>/g，常被用来作为吸附有机废气的吸附剂，由于分子间的引力，吸附质粘到微孔内表面，从而使空气得到净化。在有机废气处理过程中，活性炭常被用来吸附烷烃、烯烃、芳香烃、酮、醛、氯代烃、酯以及挥发性有机化合物（VOCs）。</w:t>
            </w:r>
          </w:p>
          <w:p>
            <w:pPr>
              <w:bidi w:val="0"/>
            </w:pPr>
            <w:r>
              <w:t>活性炭选型</w:t>
            </w:r>
            <w:r>
              <w:rPr>
                <w:rFonts w:hint="eastAsia"/>
                <w:lang w:eastAsia="zh-CN"/>
              </w:rPr>
              <w:t>：</w:t>
            </w:r>
            <w:r>
              <w:t>本项目活性炭吸附箱选用的填料为蜂窝状活性炭（0.1m×0.1m×0.1m），尽可能增大活性炭表面积，增加有机废气的停留时间，从而增加活性炭与有机废气的接触面积，提高废气的净化效率</w:t>
            </w:r>
            <w:r>
              <w:rPr>
                <w:rFonts w:hint="eastAsia"/>
              </w:rPr>
              <w:t>，</w:t>
            </w:r>
            <w:r>
              <w:t>烟气温度接近于常温，低于40℃，满足《吸附法工业有机废气治理工程技术规范》（HJ2026-2013）技术要求。建设单位应按照相关规范设计净化工艺和设备，使废气在吸附装置中有足够的停留时间，并足额充填、及时更换。活性炭吸附装置应按照与生产设备</w:t>
            </w:r>
            <w:r>
              <w:rPr>
                <w:rFonts w:hint="eastAsia"/>
                <w:lang w:eastAsia="zh-CN"/>
              </w:rPr>
              <w:t>“</w:t>
            </w:r>
            <w:r>
              <w:t>同启同停</w:t>
            </w:r>
            <w:r>
              <w:rPr>
                <w:rFonts w:hint="eastAsia"/>
                <w:lang w:eastAsia="zh-CN"/>
              </w:rPr>
              <w:t>”</w:t>
            </w:r>
            <w:r>
              <w:t>的原则，确保治理设施运行率，规格参数见下表。</w:t>
            </w:r>
          </w:p>
          <w:p>
            <w:pPr>
              <w:pStyle w:val="24"/>
              <w:bidi w:val="0"/>
            </w:pPr>
            <w:r>
              <w:t>表4-</w:t>
            </w:r>
            <w:r>
              <w:rPr>
                <w:rFonts w:hint="eastAsia"/>
                <w:lang w:val="en-US" w:eastAsia="zh-CN"/>
              </w:rPr>
              <w:t xml:space="preserve">3 </w:t>
            </w:r>
            <w:r>
              <w:rPr>
                <w:rFonts w:hint="eastAsia"/>
              </w:rPr>
              <w:t xml:space="preserve"> </w:t>
            </w:r>
            <w:r>
              <w:t>活性炭吸附装置设计参数</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3228"/>
              <w:gridCol w:w="3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noWrap w:val="0"/>
                  <w:vAlign w:val="center"/>
                </w:tcPr>
                <w:p>
                  <w:pPr>
                    <w:pStyle w:val="25"/>
                    <w:bidi w:val="0"/>
                  </w:pPr>
                  <w:r>
                    <w:t>序号</w:t>
                  </w:r>
                </w:p>
              </w:tc>
              <w:tc>
                <w:tcPr>
                  <w:tcW w:w="2026" w:type="pct"/>
                  <w:noWrap w:val="0"/>
                  <w:vAlign w:val="center"/>
                </w:tcPr>
                <w:p>
                  <w:pPr>
                    <w:pStyle w:val="25"/>
                    <w:bidi w:val="0"/>
                  </w:pPr>
                  <w:r>
                    <w:t>名称</w:t>
                  </w:r>
                </w:p>
              </w:tc>
              <w:tc>
                <w:tcPr>
                  <w:tcW w:w="2157" w:type="pct"/>
                  <w:noWrap w:val="0"/>
                  <w:vAlign w:val="center"/>
                </w:tcPr>
                <w:p>
                  <w:pPr>
                    <w:pStyle w:val="25"/>
                    <w:bidi w:val="0"/>
                  </w:pPr>
                  <w: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noWrap w:val="0"/>
                  <w:vAlign w:val="center"/>
                </w:tcPr>
                <w:p>
                  <w:pPr>
                    <w:pStyle w:val="25"/>
                    <w:bidi w:val="0"/>
                  </w:pPr>
                  <w:r>
                    <w:t>1</w:t>
                  </w:r>
                </w:p>
              </w:tc>
              <w:tc>
                <w:tcPr>
                  <w:tcW w:w="2026" w:type="pct"/>
                  <w:noWrap w:val="0"/>
                  <w:vAlign w:val="center"/>
                </w:tcPr>
                <w:p>
                  <w:pPr>
                    <w:pStyle w:val="25"/>
                    <w:bidi w:val="0"/>
                  </w:pPr>
                  <w:r>
                    <w:t>材质</w:t>
                  </w:r>
                </w:p>
              </w:tc>
              <w:tc>
                <w:tcPr>
                  <w:tcW w:w="2157" w:type="pct"/>
                  <w:noWrap w:val="0"/>
                  <w:vAlign w:val="center"/>
                </w:tcPr>
                <w:p>
                  <w:pPr>
                    <w:pStyle w:val="25"/>
                    <w:bidi w:val="0"/>
                  </w:pPr>
                  <w:r>
                    <w:t>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noWrap w:val="0"/>
                  <w:vAlign w:val="center"/>
                </w:tcPr>
                <w:p>
                  <w:pPr>
                    <w:pStyle w:val="25"/>
                    <w:bidi w:val="0"/>
                  </w:pPr>
                  <w:r>
                    <w:t>2</w:t>
                  </w:r>
                </w:p>
              </w:tc>
              <w:tc>
                <w:tcPr>
                  <w:tcW w:w="2026" w:type="pct"/>
                  <w:noWrap w:val="0"/>
                  <w:vAlign w:val="center"/>
                </w:tcPr>
                <w:p>
                  <w:pPr>
                    <w:pStyle w:val="25"/>
                    <w:bidi w:val="0"/>
                  </w:pPr>
                  <w:r>
                    <w:t>设备尺寸（单个，m）</w:t>
                  </w:r>
                </w:p>
              </w:tc>
              <w:tc>
                <w:tcPr>
                  <w:tcW w:w="2157" w:type="pct"/>
                  <w:noWrap w:val="0"/>
                  <w:vAlign w:val="center"/>
                </w:tcPr>
                <w:p>
                  <w:pPr>
                    <w:pStyle w:val="25"/>
                    <w:bidi w:val="0"/>
                  </w:pPr>
                  <w:r>
                    <w:t>长*宽*高：0.1*0.1*0.1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noWrap w:val="0"/>
                  <w:vAlign w:val="center"/>
                </w:tcPr>
                <w:p>
                  <w:pPr>
                    <w:pStyle w:val="25"/>
                    <w:bidi w:val="0"/>
                  </w:pPr>
                  <w:r>
                    <w:t>3</w:t>
                  </w:r>
                </w:p>
              </w:tc>
              <w:tc>
                <w:tcPr>
                  <w:tcW w:w="2026" w:type="pct"/>
                  <w:noWrap w:val="0"/>
                  <w:vAlign w:val="center"/>
                </w:tcPr>
                <w:p>
                  <w:pPr>
                    <w:pStyle w:val="25"/>
                    <w:bidi w:val="0"/>
                  </w:pPr>
                  <w:r>
                    <w:t>数量</w:t>
                  </w:r>
                </w:p>
              </w:tc>
              <w:tc>
                <w:tcPr>
                  <w:tcW w:w="2157" w:type="pct"/>
                  <w:noWrap w:val="0"/>
                  <w:vAlign w:val="center"/>
                </w:tcPr>
                <w:p>
                  <w:pPr>
                    <w:pStyle w:val="25"/>
                    <w:bidi w:val="0"/>
                  </w:pPr>
                  <w: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noWrap w:val="0"/>
                  <w:vAlign w:val="center"/>
                </w:tcPr>
                <w:p>
                  <w:pPr>
                    <w:pStyle w:val="25"/>
                    <w:bidi w:val="0"/>
                  </w:pPr>
                  <w:r>
                    <w:t>4</w:t>
                  </w:r>
                </w:p>
              </w:tc>
              <w:tc>
                <w:tcPr>
                  <w:tcW w:w="2026" w:type="pct"/>
                  <w:noWrap w:val="0"/>
                  <w:vAlign w:val="center"/>
                </w:tcPr>
                <w:p>
                  <w:pPr>
                    <w:pStyle w:val="25"/>
                    <w:bidi w:val="0"/>
                  </w:pPr>
                  <w:r>
                    <w:t>内部结构</w:t>
                  </w:r>
                </w:p>
              </w:tc>
              <w:tc>
                <w:tcPr>
                  <w:tcW w:w="2157" w:type="pct"/>
                  <w:noWrap w:val="0"/>
                  <w:vAlign w:val="center"/>
                </w:tcPr>
                <w:p>
                  <w:pPr>
                    <w:pStyle w:val="25"/>
                    <w:bidi w:val="0"/>
                    <w:rPr>
                      <w:rFonts w:hint="eastAsia"/>
                    </w:rPr>
                  </w:pPr>
                  <w:r>
                    <w:rPr>
                      <w:rFonts w:hint="eastAsia"/>
                    </w:rPr>
                    <w:t>蜂窝状活性炭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noWrap w:val="0"/>
                  <w:vAlign w:val="center"/>
                </w:tcPr>
                <w:p>
                  <w:pPr>
                    <w:pStyle w:val="25"/>
                    <w:bidi w:val="0"/>
                  </w:pPr>
                  <w:r>
                    <w:t>5</w:t>
                  </w:r>
                </w:p>
              </w:tc>
              <w:tc>
                <w:tcPr>
                  <w:tcW w:w="2026" w:type="pct"/>
                  <w:noWrap w:val="0"/>
                  <w:vAlign w:val="center"/>
                </w:tcPr>
                <w:p>
                  <w:pPr>
                    <w:pStyle w:val="25"/>
                    <w:bidi w:val="0"/>
                  </w:pPr>
                  <w:r>
                    <w:t>含碳量</w:t>
                  </w:r>
                </w:p>
              </w:tc>
              <w:tc>
                <w:tcPr>
                  <w:tcW w:w="2157" w:type="pct"/>
                  <w:noWrap w:val="0"/>
                  <w:vAlign w:val="center"/>
                </w:tcPr>
                <w:p>
                  <w:pPr>
                    <w:pStyle w:val="25"/>
                    <w:bidi w:val="0"/>
                  </w:pPr>
                  <w: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noWrap w:val="0"/>
                  <w:vAlign w:val="center"/>
                </w:tcPr>
                <w:p>
                  <w:pPr>
                    <w:pStyle w:val="25"/>
                    <w:bidi w:val="0"/>
                  </w:pPr>
                  <w:r>
                    <w:t>6</w:t>
                  </w:r>
                </w:p>
              </w:tc>
              <w:tc>
                <w:tcPr>
                  <w:tcW w:w="2026" w:type="pct"/>
                  <w:noWrap w:val="0"/>
                  <w:vAlign w:val="center"/>
                </w:tcPr>
                <w:p>
                  <w:pPr>
                    <w:pStyle w:val="25"/>
                    <w:bidi w:val="0"/>
                  </w:pPr>
                  <w:r>
                    <w:t>单位体积重</w:t>
                  </w:r>
                </w:p>
              </w:tc>
              <w:tc>
                <w:tcPr>
                  <w:tcW w:w="2157" w:type="pct"/>
                  <w:noWrap w:val="0"/>
                  <w:vAlign w:val="center"/>
                </w:tcPr>
                <w:p>
                  <w:pPr>
                    <w:pStyle w:val="25"/>
                    <w:bidi w:val="0"/>
                  </w:pPr>
                  <w:r>
                    <w:rPr>
                      <w:rFonts w:hint="eastAsia"/>
                    </w:rPr>
                    <w:t>0.45</w:t>
                  </w:r>
                  <w:r>
                    <w:t>-</w:t>
                  </w:r>
                  <w:r>
                    <w:rPr>
                      <w:rFonts w:hint="eastAsia"/>
                    </w:rPr>
                    <w:t>0.65</w:t>
                  </w:r>
                  <w:r>
                    <w:t>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noWrap w:val="0"/>
                  <w:vAlign w:val="center"/>
                </w:tcPr>
                <w:p>
                  <w:pPr>
                    <w:pStyle w:val="25"/>
                    <w:bidi w:val="0"/>
                  </w:pPr>
                  <w:r>
                    <w:t>7</w:t>
                  </w:r>
                </w:p>
              </w:tc>
              <w:tc>
                <w:tcPr>
                  <w:tcW w:w="2026" w:type="pct"/>
                  <w:noWrap w:val="0"/>
                  <w:vAlign w:val="center"/>
                </w:tcPr>
                <w:p>
                  <w:pPr>
                    <w:pStyle w:val="25"/>
                    <w:bidi w:val="0"/>
                  </w:pPr>
                  <w:r>
                    <w:t>总吸附效率</w:t>
                  </w:r>
                </w:p>
              </w:tc>
              <w:tc>
                <w:tcPr>
                  <w:tcW w:w="2157" w:type="pct"/>
                  <w:noWrap w:val="0"/>
                  <w:vAlign w:val="center"/>
                </w:tcPr>
                <w:p>
                  <w:pPr>
                    <w:pStyle w:val="25"/>
                    <w:bidi w:val="0"/>
                  </w:pPr>
                  <w:r>
                    <w:t>&gt;</w:t>
                  </w:r>
                  <w:r>
                    <w:rPr>
                      <w:rFonts w:hint="eastAsia"/>
                      <w:lang w:val="en-US" w:eastAsia="zh-CN"/>
                    </w:rPr>
                    <w:t>9</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815" w:type="pct"/>
                  <w:noWrap w:val="0"/>
                  <w:vAlign w:val="center"/>
                </w:tcPr>
                <w:p>
                  <w:pPr>
                    <w:pStyle w:val="25"/>
                    <w:bidi w:val="0"/>
                  </w:pPr>
                  <w:r>
                    <w:t>8</w:t>
                  </w:r>
                </w:p>
              </w:tc>
              <w:tc>
                <w:tcPr>
                  <w:tcW w:w="2026" w:type="pct"/>
                  <w:noWrap w:val="0"/>
                  <w:vAlign w:val="center"/>
                </w:tcPr>
                <w:p>
                  <w:pPr>
                    <w:pStyle w:val="25"/>
                    <w:bidi w:val="0"/>
                  </w:pPr>
                  <w:r>
                    <w:t>碘值</w:t>
                  </w:r>
                </w:p>
              </w:tc>
              <w:tc>
                <w:tcPr>
                  <w:tcW w:w="2157" w:type="pct"/>
                  <w:noWrap w:val="0"/>
                  <w:vAlign w:val="center"/>
                </w:tcPr>
                <w:p>
                  <w:pPr>
                    <w:pStyle w:val="25"/>
                    <w:bidi w:val="0"/>
                  </w:pPr>
                  <w:r>
                    <w:t>≥</w:t>
                  </w:r>
                  <w:r>
                    <w:rPr>
                      <w:rFonts w:hint="eastAsia"/>
                      <w:lang w:val="en-US" w:eastAsia="zh-CN"/>
                    </w:rPr>
                    <w:t>80</w:t>
                  </w:r>
                  <w:r>
                    <w:t>0mg/g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815" w:type="pct"/>
                  <w:noWrap w:val="0"/>
                  <w:vAlign w:val="center"/>
                </w:tcPr>
                <w:p>
                  <w:pPr>
                    <w:pStyle w:val="25"/>
                    <w:bidi w:val="0"/>
                    <w:rPr>
                      <w:rFonts w:hint="eastAsia"/>
                      <w:lang w:val="en-US" w:eastAsia="zh-CN"/>
                    </w:rPr>
                  </w:pPr>
                  <w:r>
                    <w:rPr>
                      <w:rFonts w:hint="eastAsia"/>
                      <w:lang w:val="en-US" w:eastAsia="zh-CN"/>
                    </w:rPr>
                    <w:t>9</w:t>
                  </w:r>
                </w:p>
              </w:tc>
              <w:tc>
                <w:tcPr>
                  <w:tcW w:w="2026" w:type="pct"/>
                  <w:noWrap w:val="0"/>
                  <w:vAlign w:val="center"/>
                </w:tcPr>
                <w:p>
                  <w:pPr>
                    <w:pStyle w:val="25"/>
                    <w:bidi w:val="0"/>
                    <w:rPr>
                      <w:rFonts w:hint="eastAsia"/>
                      <w:lang w:eastAsia="zh-CN"/>
                    </w:rPr>
                  </w:pPr>
                  <w:r>
                    <w:rPr>
                      <w:rFonts w:hint="eastAsia"/>
                      <w:lang w:eastAsia="zh-CN"/>
                    </w:rPr>
                    <w:t>更换周期</w:t>
                  </w:r>
                </w:p>
              </w:tc>
              <w:tc>
                <w:tcPr>
                  <w:tcW w:w="2157" w:type="pct"/>
                  <w:noWrap w:val="0"/>
                  <w:vAlign w:val="center"/>
                </w:tcPr>
                <w:p>
                  <w:pPr>
                    <w:pStyle w:val="25"/>
                    <w:bidi w:val="0"/>
                    <w:rPr>
                      <w:rFonts w:hint="eastAsia"/>
                      <w:lang w:val="en-US" w:eastAsia="zh-CN"/>
                    </w:rPr>
                  </w:pPr>
                  <w:r>
                    <w:rPr>
                      <w:rFonts w:hint="eastAsia"/>
                      <w:lang w:val="en-US" w:eastAsia="zh-CN"/>
                    </w:rPr>
                    <w:t>3-6个月</w:t>
                  </w:r>
                </w:p>
              </w:tc>
            </w:tr>
          </w:tbl>
          <w:p>
            <w:pPr>
              <w:adjustRightInd w:val="0"/>
              <w:snapToGrid w:val="0"/>
              <w:ind w:firstLine="200"/>
              <w:rPr>
                <w:color w:val="000000"/>
                <w:sz w:val="10"/>
                <w:szCs w:val="10"/>
                <w:highlight w:val="none"/>
              </w:rPr>
            </w:pPr>
          </w:p>
          <w:p>
            <w:pPr>
              <w:ind w:firstLine="480"/>
              <w:rPr>
                <w:color w:val="000000"/>
              </w:rPr>
            </w:pPr>
            <w:r>
              <w:rPr>
                <w:rFonts w:hint="eastAsia"/>
                <w:color w:val="000000"/>
                <w:lang w:eastAsia="zh-CN"/>
              </w:rPr>
              <w:t>（</w:t>
            </w:r>
            <w:r>
              <w:rPr>
                <w:rFonts w:hint="eastAsia"/>
                <w:color w:val="000000"/>
                <w:lang w:val="en-US" w:eastAsia="zh-CN"/>
              </w:rPr>
              <w:t>2</w:t>
            </w:r>
            <w:r>
              <w:rPr>
                <w:rFonts w:hint="eastAsia"/>
                <w:color w:val="000000"/>
                <w:lang w:eastAsia="zh-CN"/>
              </w:rPr>
              <w:t>）</w:t>
            </w:r>
            <w:r>
              <w:rPr>
                <w:color w:val="000000"/>
              </w:rPr>
              <w:t>布袋除尘器除尘原理：含尘气体由灰斗上部进风口进入后，在挡风板的作用下，气流向上流动，流速降低，部分大颗粒粉尘由于惯性力的作用被分离出来落入灰斗。含尘气体进入中箱体经滤袋的过滤净化，粉尘被阻留在滤袋的外表面，净化后的气体经滤袋口进入上箱体，由出风口排出。</w:t>
            </w:r>
          </w:p>
          <w:p>
            <w:pPr>
              <w:ind w:firstLine="480"/>
              <w:rPr>
                <w:color w:val="000000"/>
              </w:rPr>
            </w:pPr>
            <w:r>
              <w:rPr>
                <w:color w:val="000000"/>
              </w:rPr>
              <w:t>废气处理工艺流程如图4-1所示：</w:t>
            </w:r>
          </w:p>
          <w:p>
            <w:pPr>
              <w:ind w:firstLine="480"/>
              <w:jc w:val="center"/>
              <w:rPr>
                <w:color w:val="000000"/>
                <w:u w:val="single"/>
              </w:rPr>
            </w:pPr>
            <w:r>
              <w:rPr>
                <w:color w:val="000000"/>
              </w:rPr>
              <w:drawing>
                <wp:inline distT="0" distB="0" distL="114300" distR="114300">
                  <wp:extent cx="3842385" cy="2335530"/>
                  <wp:effectExtent l="0" t="0" r="5715" b="762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6"/>
                          <a:stretch>
                            <a:fillRect/>
                          </a:stretch>
                        </pic:blipFill>
                        <pic:spPr>
                          <a:xfrm>
                            <a:off x="0" y="0"/>
                            <a:ext cx="3842385" cy="2335530"/>
                          </a:xfrm>
                          <a:prstGeom prst="rect">
                            <a:avLst/>
                          </a:prstGeom>
                          <a:noFill/>
                          <a:ln>
                            <a:noFill/>
                          </a:ln>
                        </pic:spPr>
                      </pic:pic>
                    </a:graphicData>
                  </a:graphic>
                </wp:inline>
              </w:drawing>
            </w:r>
          </w:p>
          <w:p>
            <w:pPr>
              <w:pStyle w:val="34"/>
              <w:rPr>
                <w:color w:val="000000"/>
              </w:rPr>
            </w:pPr>
            <w:r>
              <w:rPr>
                <w:color w:val="000000"/>
              </w:rPr>
              <w:t>图4-1</w:t>
            </w:r>
            <w:r>
              <w:rPr>
                <w:rFonts w:hint="eastAsia"/>
                <w:color w:val="000000"/>
              </w:rPr>
              <w:t xml:space="preserve"> </w:t>
            </w:r>
            <w:r>
              <w:rPr>
                <w:rFonts w:hint="eastAsia"/>
                <w:color w:val="000000"/>
                <w:lang w:val="en-US" w:eastAsia="zh-CN"/>
              </w:rPr>
              <w:t xml:space="preserve"> </w:t>
            </w:r>
            <w:r>
              <w:rPr>
                <w:color w:val="000000"/>
              </w:rPr>
              <w:t>布袋除尘处理工艺流程图</w:t>
            </w:r>
          </w:p>
          <w:p>
            <w:pPr>
              <w:bidi w:val="0"/>
              <w:rPr>
                <w:rFonts w:hint="eastAsia" w:eastAsia="宋体"/>
                <w:lang w:eastAsia="zh-CN"/>
              </w:rPr>
            </w:pPr>
            <w:r>
              <w:rPr>
                <w:rFonts w:hint="eastAsia"/>
                <w:lang w:eastAsia="zh-CN"/>
              </w:rPr>
              <w:t>本项目使用原料为木板，主要工艺为喷漆和打磨，与家具制造业使用原料及工艺类似，参考《家具制造工业污染防治可行技术指南》（</w:t>
            </w:r>
            <w:r>
              <w:rPr>
                <w:rFonts w:hint="eastAsia"/>
                <w:lang w:val="en-US" w:eastAsia="zh-CN"/>
              </w:rPr>
              <w:t>HJ1180-2021</w:t>
            </w:r>
            <w:r>
              <w:rPr>
                <w:rFonts w:hint="eastAsia"/>
                <w:lang w:eastAsia="zh-CN"/>
              </w:rPr>
              <w:t>）中废气污染防治可行技术。</w:t>
            </w:r>
          </w:p>
          <w:p>
            <w:pPr>
              <w:pStyle w:val="24"/>
              <w:bidi w:val="0"/>
              <w:rPr>
                <w:rFonts w:hint="eastAsia"/>
              </w:rPr>
            </w:pPr>
            <w:r>
              <w:rPr>
                <w:rFonts w:hint="eastAsia"/>
              </w:rPr>
              <w:t xml:space="preserve">表4-4 </w:t>
            </w:r>
            <w:r>
              <w:rPr>
                <w:rFonts w:hint="eastAsia"/>
                <w:lang w:val="en-US" w:eastAsia="zh-CN"/>
              </w:rPr>
              <w:t xml:space="preserve"> </w:t>
            </w:r>
            <w:r>
              <w:rPr>
                <w:rFonts w:hint="eastAsia"/>
              </w:rPr>
              <w:t>废气污染防治可行技术</w:t>
            </w:r>
          </w:p>
          <w:tbl>
            <w:tblPr>
              <w:tblStyle w:val="21"/>
              <w:tblW w:w="7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92"/>
              <w:gridCol w:w="1110"/>
              <w:gridCol w:w="1365"/>
              <w:gridCol w:w="1200"/>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vAlign w:val="center"/>
                </w:tcPr>
                <w:p>
                  <w:pPr>
                    <w:pStyle w:val="25"/>
                    <w:bidi w:val="0"/>
                    <w:rPr>
                      <w:rFonts w:hint="eastAsia"/>
                      <w:lang w:eastAsia="zh-CN"/>
                    </w:rPr>
                  </w:pPr>
                  <w:r>
                    <w:rPr>
                      <w:rFonts w:hint="eastAsia"/>
                      <w:lang w:eastAsia="zh-CN"/>
                    </w:rPr>
                    <w:t>工序类型</w:t>
                  </w:r>
                </w:p>
              </w:tc>
              <w:tc>
                <w:tcPr>
                  <w:tcW w:w="792" w:type="dxa"/>
                  <w:vMerge w:val="restart"/>
                  <w:vAlign w:val="center"/>
                </w:tcPr>
                <w:p>
                  <w:pPr>
                    <w:pStyle w:val="25"/>
                    <w:bidi w:val="0"/>
                    <w:rPr>
                      <w:rFonts w:hint="eastAsia"/>
                      <w:lang w:eastAsia="zh-CN"/>
                    </w:rPr>
                  </w:pPr>
                  <w:r>
                    <w:rPr>
                      <w:rFonts w:hint="eastAsia"/>
                      <w:lang w:eastAsia="zh-CN"/>
                    </w:rPr>
                    <w:t>预防技术</w:t>
                  </w:r>
                </w:p>
              </w:tc>
              <w:tc>
                <w:tcPr>
                  <w:tcW w:w="1110" w:type="dxa"/>
                  <w:vMerge w:val="restart"/>
                  <w:vAlign w:val="center"/>
                </w:tcPr>
                <w:p>
                  <w:pPr>
                    <w:pStyle w:val="25"/>
                    <w:bidi w:val="0"/>
                    <w:rPr>
                      <w:rFonts w:hint="eastAsia"/>
                      <w:lang w:eastAsia="zh-CN"/>
                    </w:rPr>
                  </w:pPr>
                  <w:r>
                    <w:rPr>
                      <w:rFonts w:hint="eastAsia"/>
                      <w:lang w:eastAsia="zh-CN"/>
                    </w:rPr>
                    <w:t>治理技术</w:t>
                  </w:r>
                </w:p>
              </w:tc>
              <w:tc>
                <w:tcPr>
                  <w:tcW w:w="2565" w:type="dxa"/>
                  <w:gridSpan w:val="2"/>
                  <w:vAlign w:val="center"/>
                </w:tcPr>
                <w:p>
                  <w:pPr>
                    <w:pStyle w:val="25"/>
                    <w:bidi w:val="0"/>
                    <w:rPr>
                      <w:rFonts w:hint="eastAsia"/>
                    </w:rPr>
                  </w:pPr>
                  <w:r>
                    <w:rPr>
                      <w:rFonts w:hint="eastAsia"/>
                      <w:lang w:eastAsia="zh-CN"/>
                    </w:rPr>
                    <w:t>污染物排放水平</w:t>
                  </w:r>
                  <w:r>
                    <w:rPr>
                      <w:rFonts w:hint="eastAsia"/>
                      <w:lang w:val="en-US" w:eastAsia="zh-CN"/>
                    </w:rPr>
                    <w:t>/（mg/m</w:t>
                  </w:r>
                  <w:r>
                    <w:rPr>
                      <w:rFonts w:hint="eastAsia"/>
                      <w:vertAlign w:val="superscript"/>
                      <w:lang w:val="en-US" w:eastAsia="zh-CN"/>
                    </w:rPr>
                    <w:t>3</w:t>
                  </w:r>
                  <w:r>
                    <w:rPr>
                      <w:rFonts w:hint="eastAsia"/>
                      <w:lang w:val="en-US" w:eastAsia="zh-CN"/>
                    </w:rPr>
                    <w:t>）</w:t>
                  </w:r>
                </w:p>
              </w:tc>
              <w:tc>
                <w:tcPr>
                  <w:tcW w:w="2665" w:type="dxa"/>
                  <w:vMerge w:val="restart"/>
                  <w:vAlign w:val="center"/>
                </w:tcPr>
                <w:p>
                  <w:pPr>
                    <w:pStyle w:val="25"/>
                    <w:bidi w:val="0"/>
                    <w:rPr>
                      <w:rFonts w:hint="default"/>
                      <w:lang w:val="en-US" w:eastAsia="zh-CN"/>
                    </w:rPr>
                  </w:pPr>
                  <w:r>
                    <w:rPr>
                      <w:rFonts w:hint="eastAsia"/>
                      <w:lang w:val="en-US" w:eastAsia="zh-CN"/>
                    </w:rPr>
                    <w:t>技术适用条件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vAlign w:val="center"/>
                </w:tcPr>
                <w:p>
                  <w:pPr>
                    <w:pStyle w:val="25"/>
                    <w:bidi w:val="0"/>
                    <w:rPr>
                      <w:rFonts w:hint="eastAsia"/>
                    </w:rPr>
                  </w:pPr>
                </w:p>
              </w:tc>
              <w:tc>
                <w:tcPr>
                  <w:tcW w:w="792" w:type="dxa"/>
                  <w:vMerge w:val="continue"/>
                  <w:vAlign w:val="center"/>
                </w:tcPr>
                <w:p>
                  <w:pPr>
                    <w:pStyle w:val="25"/>
                    <w:bidi w:val="0"/>
                    <w:rPr>
                      <w:rFonts w:hint="eastAsia"/>
                    </w:rPr>
                  </w:pPr>
                </w:p>
              </w:tc>
              <w:tc>
                <w:tcPr>
                  <w:tcW w:w="1110" w:type="dxa"/>
                  <w:vMerge w:val="continue"/>
                  <w:vAlign w:val="center"/>
                </w:tcPr>
                <w:p>
                  <w:pPr>
                    <w:pStyle w:val="25"/>
                    <w:bidi w:val="0"/>
                    <w:rPr>
                      <w:rFonts w:hint="eastAsia"/>
                    </w:rPr>
                  </w:pPr>
                </w:p>
              </w:tc>
              <w:tc>
                <w:tcPr>
                  <w:tcW w:w="1365" w:type="dxa"/>
                  <w:vAlign w:val="center"/>
                </w:tcPr>
                <w:p>
                  <w:pPr>
                    <w:pStyle w:val="25"/>
                    <w:bidi w:val="0"/>
                    <w:rPr>
                      <w:rFonts w:hint="eastAsia"/>
                      <w:lang w:eastAsia="zh-CN"/>
                    </w:rPr>
                  </w:pPr>
                  <w:r>
                    <w:rPr>
                      <w:rFonts w:hint="eastAsia"/>
                      <w:lang w:eastAsia="zh-CN"/>
                    </w:rPr>
                    <w:t>非甲烷总烃</w:t>
                  </w:r>
                </w:p>
              </w:tc>
              <w:tc>
                <w:tcPr>
                  <w:tcW w:w="1200" w:type="dxa"/>
                  <w:vAlign w:val="center"/>
                </w:tcPr>
                <w:p>
                  <w:pPr>
                    <w:pStyle w:val="25"/>
                    <w:bidi w:val="0"/>
                    <w:rPr>
                      <w:rFonts w:hint="eastAsia"/>
                      <w:lang w:eastAsia="zh-CN"/>
                    </w:rPr>
                  </w:pPr>
                  <w:r>
                    <w:rPr>
                      <w:rFonts w:hint="eastAsia"/>
                      <w:lang w:eastAsia="zh-CN"/>
                    </w:rPr>
                    <w:t>颗粒物</w:t>
                  </w:r>
                </w:p>
              </w:tc>
              <w:tc>
                <w:tcPr>
                  <w:tcW w:w="2665" w:type="dxa"/>
                  <w:vMerge w:val="continue"/>
                  <w:vAlign w:val="center"/>
                </w:tcPr>
                <w:p>
                  <w:pPr>
                    <w:pStyle w:val="25"/>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pStyle w:val="25"/>
                    <w:bidi w:val="0"/>
                    <w:rPr>
                      <w:rFonts w:hint="eastAsia"/>
                      <w:lang w:eastAsia="zh-CN"/>
                    </w:rPr>
                  </w:pPr>
                  <w:r>
                    <w:rPr>
                      <w:rFonts w:hint="eastAsia"/>
                      <w:lang w:eastAsia="zh-CN"/>
                    </w:rPr>
                    <w:t>漆面打磨工序</w:t>
                  </w:r>
                </w:p>
              </w:tc>
              <w:tc>
                <w:tcPr>
                  <w:tcW w:w="792" w:type="dxa"/>
                  <w:vAlign w:val="center"/>
                </w:tcPr>
                <w:p>
                  <w:pPr>
                    <w:pStyle w:val="25"/>
                    <w:bidi w:val="0"/>
                    <w:rPr>
                      <w:rFonts w:hint="eastAsia"/>
                      <w:lang w:val="en-US" w:eastAsia="zh-CN"/>
                    </w:rPr>
                  </w:pPr>
                  <w:r>
                    <w:rPr>
                      <w:rFonts w:hint="eastAsia"/>
                      <w:lang w:val="en-US" w:eastAsia="zh-CN"/>
                    </w:rPr>
                    <w:t>-</w:t>
                  </w:r>
                </w:p>
              </w:tc>
              <w:tc>
                <w:tcPr>
                  <w:tcW w:w="1110" w:type="dxa"/>
                  <w:vAlign w:val="center"/>
                </w:tcPr>
                <w:p>
                  <w:pPr>
                    <w:pStyle w:val="25"/>
                    <w:bidi w:val="0"/>
                    <w:rPr>
                      <w:rFonts w:hint="default"/>
                      <w:lang w:val="en-US" w:eastAsia="zh-CN"/>
                    </w:rPr>
                  </w:pPr>
                  <w:r>
                    <w:rPr>
                      <w:rFonts w:hint="eastAsia"/>
                      <w:lang w:eastAsia="zh-CN"/>
                    </w:rPr>
                    <w:t>袋式除尘技术</w:t>
                  </w:r>
                  <w:r>
                    <w:rPr>
                      <w:rFonts w:hint="eastAsia"/>
                      <w:lang w:val="en-US" w:eastAsia="zh-CN"/>
                    </w:rPr>
                    <w:t>/滤筒除尘技术</w:t>
                  </w:r>
                </w:p>
              </w:tc>
              <w:tc>
                <w:tcPr>
                  <w:tcW w:w="1365" w:type="dxa"/>
                  <w:vAlign w:val="center"/>
                </w:tcPr>
                <w:p>
                  <w:pPr>
                    <w:pStyle w:val="25"/>
                    <w:bidi w:val="0"/>
                    <w:rPr>
                      <w:rFonts w:hint="eastAsia"/>
                      <w:lang w:val="en-US" w:eastAsia="zh-CN"/>
                    </w:rPr>
                  </w:pPr>
                  <w:r>
                    <w:rPr>
                      <w:rFonts w:hint="eastAsia"/>
                      <w:lang w:val="en-US" w:eastAsia="zh-CN"/>
                    </w:rPr>
                    <w:t>-</w:t>
                  </w:r>
                </w:p>
              </w:tc>
              <w:tc>
                <w:tcPr>
                  <w:tcW w:w="1200" w:type="dxa"/>
                  <w:vAlign w:val="center"/>
                </w:tcPr>
                <w:p>
                  <w:pPr>
                    <w:pStyle w:val="25"/>
                    <w:bidi w:val="0"/>
                    <w:rPr>
                      <w:rFonts w:hint="default"/>
                      <w:lang w:val="en-US" w:eastAsia="zh-CN"/>
                    </w:rPr>
                  </w:pPr>
                  <w:r>
                    <w:rPr>
                      <w:rFonts w:hint="eastAsia"/>
                      <w:lang w:val="en-US" w:eastAsia="zh-CN"/>
                    </w:rPr>
                    <w:t>&lt;20</w:t>
                  </w:r>
                </w:p>
              </w:tc>
              <w:tc>
                <w:tcPr>
                  <w:tcW w:w="2665" w:type="dxa"/>
                  <w:vAlign w:val="center"/>
                </w:tcPr>
                <w:p>
                  <w:pPr>
                    <w:pStyle w:val="25"/>
                    <w:bidi w:val="0"/>
                    <w:rPr>
                      <w:rFonts w:hint="eastAsia"/>
                      <w:spacing w:val="0"/>
                      <w:sz w:val="21"/>
                    </w:rPr>
                  </w:pPr>
                  <w:r>
                    <w:rPr>
                      <w:rFonts w:hint="eastAsia"/>
                      <w:spacing w:val="0"/>
                      <w:sz w:val="21"/>
                    </w:rPr>
                    <w:t>适用于漆面打磨工序。袋式除尘技术需定期清理或更换滤袋；滤筒除尘技术需定期清理或更换滤筒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pStyle w:val="25"/>
                    <w:bidi w:val="0"/>
                    <w:rPr>
                      <w:rFonts w:hint="eastAsia"/>
                      <w:lang w:eastAsia="zh-CN"/>
                    </w:rPr>
                  </w:pPr>
                  <w:r>
                    <w:rPr>
                      <w:rFonts w:hint="eastAsia"/>
                      <w:lang w:eastAsia="zh-CN"/>
                    </w:rPr>
                    <w:t>涂装工序</w:t>
                  </w:r>
                </w:p>
              </w:tc>
              <w:tc>
                <w:tcPr>
                  <w:tcW w:w="792" w:type="dxa"/>
                  <w:vAlign w:val="center"/>
                </w:tcPr>
                <w:p>
                  <w:pPr>
                    <w:pStyle w:val="25"/>
                    <w:bidi w:val="0"/>
                    <w:rPr>
                      <w:rFonts w:hint="default"/>
                      <w:lang w:val="en-US" w:eastAsia="zh-CN"/>
                    </w:rPr>
                  </w:pPr>
                  <w:r>
                    <w:rPr>
                      <w:rFonts w:hint="eastAsia"/>
                      <w:lang w:val="en-US" w:eastAsia="zh-CN"/>
                    </w:rPr>
                    <w:t>UV固化涂料替代技术</w:t>
                  </w:r>
                </w:p>
              </w:tc>
              <w:tc>
                <w:tcPr>
                  <w:tcW w:w="1110" w:type="dxa"/>
                  <w:vAlign w:val="center"/>
                </w:tcPr>
                <w:p>
                  <w:pPr>
                    <w:pStyle w:val="25"/>
                    <w:bidi w:val="0"/>
                    <w:rPr>
                      <w:rFonts w:hint="eastAsia"/>
                    </w:rPr>
                  </w:pPr>
                  <w:r>
                    <w:rPr>
                      <w:rFonts w:hint="eastAsia"/>
                    </w:rPr>
                    <w:t>①干式过滤技术*+②吸附法VOCs治理技术</w:t>
                  </w:r>
                </w:p>
              </w:tc>
              <w:tc>
                <w:tcPr>
                  <w:tcW w:w="1365" w:type="dxa"/>
                  <w:vAlign w:val="center"/>
                </w:tcPr>
                <w:p>
                  <w:pPr>
                    <w:pStyle w:val="25"/>
                    <w:bidi w:val="0"/>
                    <w:rPr>
                      <w:rFonts w:hint="default"/>
                      <w:lang w:val="en-US" w:eastAsia="zh-CN"/>
                    </w:rPr>
                  </w:pPr>
                  <w:r>
                    <w:rPr>
                      <w:rFonts w:hint="eastAsia"/>
                      <w:lang w:val="en-US" w:eastAsia="zh-CN"/>
                    </w:rPr>
                    <w:t>10~20</w:t>
                  </w:r>
                </w:p>
              </w:tc>
              <w:tc>
                <w:tcPr>
                  <w:tcW w:w="1200" w:type="dxa"/>
                  <w:vAlign w:val="center"/>
                </w:tcPr>
                <w:p>
                  <w:pPr>
                    <w:pStyle w:val="25"/>
                    <w:bidi w:val="0"/>
                    <w:rPr>
                      <w:rFonts w:hint="eastAsia"/>
                      <w:lang w:val="en-US" w:eastAsia="zh-CN"/>
                    </w:rPr>
                  </w:pPr>
                  <w:r>
                    <w:rPr>
                      <w:rFonts w:hint="eastAsia"/>
                      <w:lang w:val="en-US" w:eastAsia="zh-CN"/>
                    </w:rPr>
                    <w:t>-</w:t>
                  </w:r>
                </w:p>
              </w:tc>
              <w:tc>
                <w:tcPr>
                  <w:tcW w:w="2665" w:type="dxa"/>
                  <w:vAlign w:val="center"/>
                </w:tcPr>
                <w:p>
                  <w:pPr>
                    <w:pStyle w:val="25"/>
                    <w:bidi w:val="0"/>
                    <w:rPr>
                      <w:rFonts w:hint="eastAsia"/>
                      <w:spacing w:val="0"/>
                      <w:sz w:val="21"/>
                    </w:rPr>
                  </w:pPr>
                  <w:r>
                    <w:rPr>
                      <w:rFonts w:hint="eastAsia"/>
                      <w:spacing w:val="0"/>
                      <w:sz w:val="21"/>
                    </w:rPr>
                    <w:t>水性UV固化涂料需采用吸附法VOCs治理技术，典型治理技术路线为活性炭吸附技术，后期维护需根据污染物处理量、处理要求等定时再生或更换吸附材料；采用无溶剂UV固化涂料若满足排放标准可不采用末端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7" w:type="dxa"/>
                  <w:gridSpan w:val="6"/>
                  <w:vAlign w:val="center"/>
                </w:tcPr>
                <w:p>
                  <w:pPr>
                    <w:pStyle w:val="25"/>
                    <w:bidi w:val="0"/>
                    <w:jc w:val="both"/>
                    <w:rPr>
                      <w:rFonts w:hint="eastAsia"/>
                    </w:rPr>
                  </w:pPr>
                  <w:r>
                    <w:rPr>
                      <w:rFonts w:hint="eastAsia"/>
                      <w:sz w:val="18"/>
                      <w:szCs w:val="18"/>
                    </w:rPr>
                    <w:t>注：表中“*”表示企业可根据自身情况选择是否采用该技术。</w:t>
                  </w:r>
                </w:p>
              </w:tc>
            </w:tr>
          </w:tbl>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textAlignment w:val="auto"/>
              <w:rPr>
                <w:rFonts w:hint="default" w:eastAsia="宋体"/>
                <w:lang w:val="en-US" w:eastAsia="zh-CN"/>
              </w:rPr>
            </w:pPr>
          </w:p>
          <w:p>
            <w:pPr>
              <w:bidi w:val="0"/>
              <w:rPr>
                <w:rFonts w:hint="eastAsia"/>
                <w:b/>
                <w:bCs/>
                <w:lang w:eastAsia="zh-CN"/>
              </w:rPr>
            </w:pPr>
            <w:r>
              <w:rPr>
                <w:rFonts w:hint="eastAsia"/>
                <w:b/>
                <w:bCs/>
                <w:lang w:val="en-US" w:eastAsia="zh-CN"/>
              </w:rPr>
              <w:t>4、</w:t>
            </w:r>
            <w:r>
              <w:rPr>
                <w:rFonts w:hint="eastAsia"/>
                <w:b/>
                <w:bCs/>
                <w:lang w:eastAsia="zh-CN"/>
              </w:rPr>
              <w:t>监测计划</w:t>
            </w:r>
          </w:p>
          <w:p>
            <w:pPr>
              <w:keepNext w:val="0"/>
              <w:keepLines w:val="0"/>
              <w:suppressLineNumbers w:val="0"/>
              <w:bidi w:val="0"/>
              <w:spacing w:before="0" w:beforeAutospacing="0" w:after="0" w:afterAutospacing="0"/>
              <w:ind w:left="0" w:right="0"/>
              <w:rPr>
                <w:rFonts w:hint="default"/>
                <w:color w:val="auto"/>
                <w:sz w:val="24"/>
                <w:szCs w:val="18"/>
                <w:lang w:val="en-US" w:eastAsia="zh-CN"/>
              </w:rPr>
            </w:pPr>
            <w:r>
              <w:rPr>
                <w:rFonts w:hint="eastAsia"/>
                <w:color w:val="auto"/>
                <w:sz w:val="24"/>
                <w:szCs w:val="18"/>
                <w:lang w:val="en-US" w:eastAsia="zh-CN"/>
              </w:rPr>
              <w:t>根据</w:t>
            </w:r>
            <w:r>
              <w:rPr>
                <w:rFonts w:hint="eastAsia"/>
                <w:color w:val="auto"/>
                <w:lang w:val="en-US" w:eastAsia="zh-CN"/>
              </w:rPr>
              <w:t>《排污许可证申请与核发技术规范 人造板工业》（HJ1032-2019）</w:t>
            </w:r>
            <w:r>
              <w:rPr>
                <w:rFonts w:hint="default" w:ascii="Times New Roman" w:hAnsi="Times New Roman" w:eastAsia="宋体" w:cs="Times New Roman"/>
                <w:b w:val="0"/>
                <w:bCs w:val="0"/>
                <w:color w:val="auto"/>
                <w:kern w:val="2"/>
                <w:sz w:val="24"/>
                <w:szCs w:val="24"/>
                <w:vertAlign w:val="baseline"/>
                <w:lang w:val="en-US" w:eastAsia="zh-CN" w:bidi="ar-SA"/>
              </w:rPr>
              <w:t>中要</w:t>
            </w:r>
            <w:r>
              <w:rPr>
                <w:rFonts w:hint="eastAsia" w:ascii="Times New Roman" w:hAnsi="Times New Roman" w:eastAsia="宋体" w:cs="Times New Roman"/>
                <w:b w:val="0"/>
                <w:bCs w:val="0"/>
                <w:color w:val="auto"/>
                <w:kern w:val="2"/>
                <w:sz w:val="24"/>
                <w:szCs w:val="24"/>
                <w:vertAlign w:val="baseline"/>
                <w:lang w:val="en-US" w:eastAsia="zh-CN" w:bidi="ar-SA"/>
              </w:rPr>
              <w:t>求，制定环境监测计划如下：</w:t>
            </w:r>
          </w:p>
          <w:p>
            <w:pPr>
              <w:pStyle w:val="24"/>
              <w:bidi w:val="0"/>
              <w:rPr>
                <w:rFonts w:hint="eastAsia"/>
                <w:lang w:eastAsia="zh-CN"/>
              </w:rPr>
            </w:pPr>
            <w:r>
              <w:rPr>
                <w:rFonts w:hint="default"/>
                <w:lang w:val="en-US" w:eastAsia="zh-CN"/>
              </w:rPr>
              <w:t>表</w:t>
            </w:r>
            <w:r>
              <w:rPr>
                <w:rFonts w:hint="eastAsia"/>
                <w:lang w:val="en-US" w:eastAsia="zh-CN"/>
              </w:rPr>
              <w:t xml:space="preserve">4-5  </w:t>
            </w:r>
            <w:r>
              <w:rPr>
                <w:rFonts w:hint="default"/>
                <w:lang w:val="en-US" w:eastAsia="zh-CN"/>
              </w:rPr>
              <w:t>大气监测工作计划一览表</w:t>
            </w:r>
          </w:p>
          <w:tbl>
            <w:tblPr>
              <w:tblStyle w:val="21"/>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646"/>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646" w:type="dxa"/>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rPr>
                    <w:t>监测点位</w:t>
                  </w:r>
                </w:p>
              </w:tc>
              <w:tc>
                <w:tcPr>
                  <w:tcW w:w="2646" w:type="dxa"/>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rPr>
                    <w:t>监测因子</w:t>
                  </w:r>
                </w:p>
              </w:tc>
              <w:tc>
                <w:tcPr>
                  <w:tcW w:w="2646" w:type="dxa"/>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646" w:type="dxa"/>
                  <w:vAlign w:val="center"/>
                </w:tcPr>
                <w:p>
                  <w:pPr>
                    <w:pStyle w:val="2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DA002</w:t>
                  </w:r>
                </w:p>
              </w:tc>
              <w:tc>
                <w:tcPr>
                  <w:tcW w:w="2646" w:type="dxa"/>
                  <w:vAlign w:val="center"/>
                </w:tcPr>
                <w:p>
                  <w:pPr>
                    <w:pStyle w:val="2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lang w:eastAsia="zh-CN"/>
                    </w:rPr>
                    <w:t>颗粒物</w:t>
                  </w:r>
                  <w:r>
                    <w:rPr>
                      <w:rFonts w:hint="eastAsia"/>
                    </w:rPr>
                    <w:t>、非甲烷总烃</w:t>
                  </w:r>
                </w:p>
              </w:tc>
              <w:tc>
                <w:tcPr>
                  <w:tcW w:w="2646" w:type="dxa"/>
                  <w:vAlign w:val="center"/>
                </w:tcPr>
                <w:p>
                  <w:pPr>
                    <w:pStyle w:val="2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kern w:val="2"/>
                      <w:sz w:val="21"/>
                      <w:szCs w:val="21"/>
                      <w:lang w:val="en-US" w:eastAsia="zh-CN" w:bidi="ar-SA"/>
                    </w:rPr>
                  </w:pPr>
                  <w:r>
                    <w:t>1</w:t>
                  </w:r>
                  <w:r>
                    <w:rPr>
                      <w:rFonts w:hint="eastAsia"/>
                    </w:rPr>
                    <w:t>次</w:t>
                  </w:r>
                  <w:r>
                    <w:t>/</w:t>
                  </w: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646" w:type="dxa"/>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DA001</w:t>
                  </w:r>
                </w:p>
              </w:tc>
              <w:tc>
                <w:tcPr>
                  <w:tcW w:w="2646" w:type="dxa"/>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rPr>
                    <w:t>非甲烷总烃</w:t>
                  </w:r>
                </w:p>
              </w:tc>
              <w:tc>
                <w:tcPr>
                  <w:tcW w:w="2646" w:type="dxa"/>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t>1</w:t>
                  </w:r>
                  <w:r>
                    <w:rPr>
                      <w:rFonts w:hint="eastAsia"/>
                    </w:rPr>
                    <w:t>次</w:t>
                  </w:r>
                  <w:r>
                    <w:t>/</w:t>
                  </w: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0" w:type="auto"/>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rPr>
                    <w:t>厂界</w:t>
                  </w:r>
                </w:p>
              </w:tc>
              <w:tc>
                <w:tcPr>
                  <w:tcW w:w="0" w:type="auto"/>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rPr>
                    <w:t>颗粒物、非甲烷总烃</w:t>
                  </w:r>
                </w:p>
              </w:tc>
              <w:tc>
                <w:tcPr>
                  <w:tcW w:w="0" w:type="auto"/>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t>1</w:t>
                  </w:r>
                  <w:r>
                    <w:rPr>
                      <w:rFonts w:hint="eastAsia"/>
                    </w:rPr>
                    <w:t>次</w:t>
                  </w:r>
                  <w:r>
                    <w:t>/</w:t>
                  </w:r>
                  <w:r>
                    <w:rPr>
                      <w:rFonts w:hint="eastAsia"/>
                    </w:rPr>
                    <w:t>年</w:t>
                  </w:r>
                </w:p>
              </w:tc>
            </w:tr>
          </w:tbl>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rPr>
            </w:pPr>
          </w:p>
          <w:p>
            <w:pPr>
              <w:bidi w:val="0"/>
              <w:rPr>
                <w:b/>
                <w:bCs/>
              </w:rPr>
            </w:pPr>
            <w:r>
              <w:rPr>
                <w:rFonts w:hint="eastAsia"/>
                <w:b/>
                <w:bCs/>
                <w:lang w:eastAsia="zh-CN"/>
              </w:rPr>
              <w:t>二、</w:t>
            </w:r>
            <w:r>
              <w:rPr>
                <w:rFonts w:hint="eastAsia"/>
                <w:b/>
                <w:bCs/>
              </w:rPr>
              <w:t>废水</w:t>
            </w:r>
          </w:p>
          <w:p>
            <w:pPr>
              <w:bidi w:val="0"/>
              <w:rPr>
                <w:b/>
                <w:bCs/>
              </w:rPr>
            </w:pPr>
            <w:r>
              <w:rPr>
                <w:rFonts w:hint="eastAsia"/>
                <w:b/>
                <w:bCs/>
              </w:rPr>
              <w:t>1</w:t>
            </w:r>
            <w:r>
              <w:rPr>
                <w:rFonts w:hint="eastAsia"/>
                <w:b/>
                <w:bCs/>
                <w:lang w:eastAsia="zh-CN"/>
              </w:rPr>
              <w:t>、</w:t>
            </w:r>
            <w:r>
              <w:rPr>
                <w:rFonts w:hint="eastAsia"/>
                <w:b/>
                <w:bCs/>
              </w:rPr>
              <w:t>废水源强分析</w:t>
            </w:r>
          </w:p>
          <w:p>
            <w:pPr>
              <w:bidi w:val="0"/>
              <w:rPr>
                <w:rFonts w:hint="eastAsia"/>
                <w:lang w:eastAsia="zh-CN"/>
              </w:rPr>
            </w:pPr>
            <w:r>
              <w:rPr>
                <w:rFonts w:hint="eastAsia"/>
              </w:rPr>
              <w:t>（1）生活</w:t>
            </w:r>
            <w:r>
              <w:rPr>
                <w:rFonts w:hint="eastAsia"/>
                <w:lang w:eastAsia="zh-CN"/>
              </w:rPr>
              <w:t>污水</w:t>
            </w:r>
          </w:p>
          <w:p>
            <w:pPr>
              <w:bidi w:val="0"/>
            </w:pPr>
            <w:r>
              <w:t>主要是职工生活、办公用水。根据《安徽省行业用水定额》（DB 34</w:t>
            </w:r>
            <w:r>
              <w:rPr>
                <w:rFonts w:hint="eastAsia"/>
              </w:rPr>
              <w:t>/</w:t>
            </w:r>
            <w:r>
              <w:t>T 679-201</w:t>
            </w:r>
            <w:r>
              <w:rPr>
                <w:rFonts w:hint="eastAsia"/>
                <w:lang w:val="en-US" w:eastAsia="zh-CN"/>
              </w:rPr>
              <w:t>9</w:t>
            </w:r>
            <w:r>
              <w:t>），职工生活用水按</w:t>
            </w:r>
            <w:r>
              <w:rPr>
                <w:rFonts w:hint="eastAsia"/>
                <w:lang w:val="en-US" w:eastAsia="zh-CN"/>
              </w:rPr>
              <w:t>6</w:t>
            </w:r>
            <w:r>
              <w:t>0L/人·d，本项目劳动定员10人，年工作300天，故本项目用水量为</w:t>
            </w:r>
            <w:r>
              <w:rPr>
                <w:rFonts w:hint="eastAsia"/>
              </w:rPr>
              <w:t>1</w:t>
            </w:r>
            <w:r>
              <w:rPr>
                <w:rFonts w:hint="eastAsia"/>
                <w:lang w:val="en-US" w:eastAsia="zh-CN"/>
              </w:rPr>
              <w:t>8</w:t>
            </w:r>
            <w:r>
              <w:rPr>
                <w:rFonts w:hint="eastAsia"/>
              </w:rPr>
              <w:t>0</w:t>
            </w:r>
            <w:r>
              <w:t>t/a，排水系数按80%计算，污水量为</w:t>
            </w:r>
            <w:r>
              <w:rPr>
                <w:rFonts w:hint="eastAsia"/>
              </w:rPr>
              <w:t>1</w:t>
            </w:r>
            <w:r>
              <w:rPr>
                <w:rFonts w:hint="eastAsia"/>
                <w:lang w:val="en-US" w:eastAsia="zh-CN"/>
              </w:rPr>
              <w:t>44</w:t>
            </w:r>
            <w:r>
              <w:t>t/a，生活污水主要污染物为：COD300mg/L、BOD</w:t>
            </w:r>
            <w:r>
              <w:rPr>
                <w:vertAlign w:val="subscript"/>
              </w:rPr>
              <w:t>5</w:t>
            </w:r>
            <w:r>
              <w:t>150mg/L、SS200mg/L、NH</w:t>
            </w:r>
            <w:r>
              <w:rPr>
                <w:vertAlign w:val="subscript"/>
              </w:rPr>
              <w:t>3</w:t>
            </w:r>
            <w:r>
              <w:t>-N25mg/L</w:t>
            </w:r>
            <w:r>
              <w:rPr>
                <w:rFonts w:hint="eastAsia"/>
                <w:lang w:eastAsia="zh-CN"/>
              </w:rPr>
              <w:t>，经</w:t>
            </w:r>
            <w:r>
              <w:rPr>
                <w:rFonts w:hint="default"/>
              </w:rPr>
              <w:t>安徽省泗县友前木片餐盒有限公司</w:t>
            </w:r>
            <w:r>
              <w:rPr>
                <w:rFonts w:hint="eastAsia"/>
                <w:lang w:eastAsia="zh-CN"/>
              </w:rPr>
              <w:t>现有化粪池预处理后接管至</w:t>
            </w:r>
            <w:r>
              <w:rPr>
                <w:rFonts w:hint="eastAsia"/>
              </w:rPr>
              <w:t>大庄镇污水处理厂</w:t>
            </w:r>
            <w:r>
              <w:t>，</w:t>
            </w:r>
            <w:r>
              <w:rPr>
                <w:rFonts w:hint="eastAsia"/>
              </w:rPr>
              <w:t>大庄镇污水处理厂</w:t>
            </w:r>
            <w:r>
              <w:t>尾水排放执行《城镇污水处理厂污染物排放标准》（GB18918-2002）一级</w:t>
            </w:r>
            <w:r>
              <w:rPr>
                <w:rFonts w:hint="eastAsia"/>
              </w:rPr>
              <w:t>A</w:t>
            </w:r>
            <w:r>
              <w:t>标准</w:t>
            </w:r>
            <w:r>
              <w:rPr>
                <w:rFonts w:hint="eastAsia"/>
              </w:rPr>
              <w:t>，最终排入老濉河</w:t>
            </w:r>
            <w:r>
              <w:t>。</w:t>
            </w:r>
          </w:p>
          <w:p>
            <w:pPr>
              <w:adjustRightInd w:val="0"/>
              <w:ind w:firstLine="0" w:firstLineChars="0"/>
              <w:rPr>
                <w:bCs/>
                <w:spacing w:val="-10"/>
                <w:szCs w:val="21"/>
              </w:rPr>
            </w:pPr>
          </w:p>
          <w:p>
            <w:pPr>
              <w:wordWrap w:val="0"/>
              <w:ind w:firstLine="480"/>
              <w:jc w:val="left"/>
            </w:pPr>
          </w:p>
          <w:p>
            <w:pPr>
              <w:wordWrap w:val="0"/>
              <w:ind w:firstLine="480"/>
              <w:jc w:val="left"/>
            </w:pPr>
          </w:p>
          <w:p>
            <w:pPr>
              <w:wordWrap w:val="0"/>
              <w:ind w:firstLine="480"/>
              <w:jc w:val="left"/>
            </w:pPr>
          </w:p>
          <w:p>
            <w:pPr>
              <w:wordWrap w:val="0"/>
              <w:ind w:firstLine="480"/>
              <w:jc w:val="left"/>
            </w:pPr>
          </w:p>
          <w:p>
            <w:pPr>
              <w:ind w:firstLine="480"/>
            </w:pPr>
          </w:p>
          <w:p>
            <w:pPr>
              <w:adjustRightInd w:val="0"/>
              <w:snapToGrid w:val="0"/>
              <w:rPr>
                <w:rFonts w:hint="default" w:ascii="Times New Roman" w:hAnsi="Times New Roman" w:cs="Times New Roman"/>
                <w:bCs/>
                <w:spacing w:val="-10"/>
                <w:sz w:val="24"/>
                <w:szCs w:val="24"/>
              </w:rPr>
            </w:pPr>
          </w:p>
        </w:tc>
      </w:tr>
    </w:tbl>
    <w:p>
      <w:pPr>
        <w:pStyle w:val="18"/>
        <w:jc w:val="center"/>
        <w:outlineLvl w:val="0"/>
        <w:rPr>
          <w:rFonts w:hint="eastAsia" w:ascii="黑体" w:hAnsi="黑体" w:eastAsia="黑体"/>
          <w:snapToGrid w:val="0"/>
          <w:sz w:val="30"/>
          <w:szCs w:val="30"/>
        </w:rPr>
        <w:sectPr>
          <w:pgSz w:w="11905" w:h="16838"/>
          <w:pgMar w:top="1440" w:right="1417" w:bottom="1440" w:left="1417" w:header="851" w:footer="850" w:gutter="0"/>
          <w:pgNumType w:fmt="decimal"/>
          <w:cols w:space="0" w:num="1"/>
          <w:rtlGutter w:val="0"/>
          <w:docGrid w:type="lines" w:linePitch="312" w:charSpace="0"/>
        </w:sectPr>
      </w:pPr>
    </w:p>
    <w:tbl>
      <w:tblPr>
        <w:tblStyle w:val="21"/>
        <w:tblW w:w="1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5" w:hRule="atLeast"/>
          <w:jc w:val="center"/>
        </w:trPr>
        <w:tc>
          <w:tcPr>
            <w:tcW w:w="14080" w:type="dxa"/>
          </w:tcPr>
          <w:p>
            <w:pPr>
              <w:pStyle w:val="24"/>
            </w:pPr>
            <w:r>
              <w:t>表4-</w:t>
            </w:r>
            <w:r>
              <w:rPr>
                <w:rFonts w:hint="eastAsia"/>
                <w:lang w:val="en-US" w:eastAsia="zh-CN"/>
              </w:rPr>
              <w:t>6</w:t>
            </w:r>
            <w:r>
              <w:t xml:space="preserve">  废</w:t>
            </w:r>
            <w:r>
              <w:rPr>
                <w:rFonts w:hint="eastAsia"/>
              </w:rPr>
              <w:t>水</w:t>
            </w:r>
            <w:r>
              <w:t>污染源源强核算结果及相关参数一览表</w:t>
            </w:r>
          </w:p>
          <w:tbl>
            <w:tblPr>
              <w:tblStyle w:val="20"/>
              <w:tblW w:w="13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07"/>
              <w:gridCol w:w="891"/>
              <w:gridCol w:w="844"/>
              <w:gridCol w:w="1029"/>
              <w:gridCol w:w="935"/>
              <w:gridCol w:w="977"/>
              <w:gridCol w:w="783"/>
              <w:gridCol w:w="813"/>
              <w:gridCol w:w="806"/>
              <w:gridCol w:w="998"/>
              <w:gridCol w:w="921"/>
              <w:gridCol w:w="118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6" w:hRule="atLeast"/>
                <w:jc w:val="center"/>
              </w:trPr>
              <w:tc>
                <w:tcPr>
                  <w:tcW w:w="807" w:type="dxa"/>
                  <w:vMerge w:val="restart"/>
                  <w:tcBorders>
                    <w:tl2br w:val="nil"/>
                    <w:tr2bl w:val="nil"/>
                  </w:tcBorders>
                  <w:vAlign w:val="center"/>
                </w:tcPr>
                <w:p>
                  <w:pPr>
                    <w:pStyle w:val="25"/>
                    <w:bidi w:val="0"/>
                  </w:pPr>
                  <w:r>
                    <w:t>工序</w:t>
                  </w:r>
                </w:p>
              </w:tc>
              <w:tc>
                <w:tcPr>
                  <w:tcW w:w="891" w:type="dxa"/>
                  <w:vMerge w:val="restart"/>
                  <w:tcBorders>
                    <w:tl2br w:val="nil"/>
                    <w:tr2bl w:val="nil"/>
                  </w:tcBorders>
                  <w:vAlign w:val="center"/>
                </w:tcPr>
                <w:p>
                  <w:pPr>
                    <w:pStyle w:val="25"/>
                    <w:bidi w:val="0"/>
                  </w:pPr>
                  <w:r>
                    <w:t>污染源</w:t>
                  </w:r>
                </w:p>
              </w:tc>
              <w:tc>
                <w:tcPr>
                  <w:tcW w:w="844" w:type="dxa"/>
                  <w:vMerge w:val="restart"/>
                  <w:tcBorders>
                    <w:tl2br w:val="nil"/>
                    <w:tr2bl w:val="nil"/>
                  </w:tcBorders>
                  <w:vAlign w:val="center"/>
                </w:tcPr>
                <w:p>
                  <w:pPr>
                    <w:pStyle w:val="25"/>
                    <w:bidi w:val="0"/>
                  </w:pPr>
                  <w:r>
                    <w:t>废水量</w:t>
                  </w:r>
                </w:p>
                <w:p>
                  <w:pPr>
                    <w:pStyle w:val="25"/>
                    <w:bidi w:val="0"/>
                  </w:pPr>
                  <w:r>
                    <w:rPr>
                      <w:rFonts w:hint="eastAsia"/>
                      <w:lang w:val="zh-CN"/>
                    </w:rPr>
                    <w:t>m</w:t>
                  </w:r>
                  <w:r>
                    <w:rPr>
                      <w:rFonts w:hint="eastAsia"/>
                      <w:vertAlign w:val="superscript"/>
                    </w:rPr>
                    <w:t>3</w:t>
                  </w:r>
                  <w:r>
                    <w:t>/a</w:t>
                  </w:r>
                </w:p>
              </w:tc>
              <w:tc>
                <w:tcPr>
                  <w:tcW w:w="1029" w:type="dxa"/>
                  <w:vMerge w:val="restart"/>
                  <w:tcBorders>
                    <w:tl2br w:val="nil"/>
                    <w:tr2bl w:val="nil"/>
                  </w:tcBorders>
                  <w:vAlign w:val="center"/>
                </w:tcPr>
                <w:p>
                  <w:pPr>
                    <w:pStyle w:val="25"/>
                    <w:bidi w:val="0"/>
                  </w:pPr>
                  <w:r>
                    <w:t>污染物</w:t>
                  </w:r>
                </w:p>
              </w:tc>
              <w:tc>
                <w:tcPr>
                  <w:tcW w:w="1912" w:type="dxa"/>
                  <w:gridSpan w:val="2"/>
                  <w:tcBorders>
                    <w:tl2br w:val="nil"/>
                    <w:tr2bl w:val="nil"/>
                  </w:tcBorders>
                  <w:vAlign w:val="center"/>
                </w:tcPr>
                <w:p>
                  <w:pPr>
                    <w:pStyle w:val="25"/>
                    <w:bidi w:val="0"/>
                  </w:pPr>
                  <w:r>
                    <w:t>产生情况</w:t>
                  </w:r>
                </w:p>
              </w:tc>
              <w:tc>
                <w:tcPr>
                  <w:tcW w:w="1596" w:type="dxa"/>
                  <w:gridSpan w:val="2"/>
                  <w:tcBorders>
                    <w:tl2br w:val="nil"/>
                    <w:tr2bl w:val="nil"/>
                  </w:tcBorders>
                  <w:vAlign w:val="center"/>
                </w:tcPr>
                <w:p>
                  <w:pPr>
                    <w:pStyle w:val="25"/>
                    <w:bidi w:val="0"/>
                  </w:pPr>
                  <w:r>
                    <w:t>治理措施</w:t>
                  </w:r>
                </w:p>
              </w:tc>
              <w:tc>
                <w:tcPr>
                  <w:tcW w:w="1804" w:type="dxa"/>
                  <w:gridSpan w:val="2"/>
                  <w:tcBorders>
                    <w:tl2br w:val="nil"/>
                    <w:tr2bl w:val="nil"/>
                  </w:tcBorders>
                  <w:vAlign w:val="center"/>
                </w:tcPr>
                <w:p>
                  <w:pPr>
                    <w:pStyle w:val="25"/>
                    <w:bidi w:val="0"/>
                  </w:pPr>
                  <w:r>
                    <w:rPr>
                      <w:rFonts w:hint="eastAsia"/>
                    </w:rPr>
                    <w:t>接管</w:t>
                  </w:r>
                  <w:r>
                    <w:t>情况</w:t>
                  </w:r>
                </w:p>
              </w:tc>
              <w:tc>
                <w:tcPr>
                  <w:tcW w:w="2108" w:type="dxa"/>
                  <w:gridSpan w:val="2"/>
                  <w:tcBorders>
                    <w:tl2br w:val="nil"/>
                    <w:tr2bl w:val="nil"/>
                  </w:tcBorders>
                  <w:vAlign w:val="center"/>
                </w:tcPr>
                <w:p>
                  <w:pPr>
                    <w:pStyle w:val="25"/>
                    <w:bidi w:val="0"/>
                  </w:pPr>
                  <w:r>
                    <w:rPr>
                      <w:rFonts w:hint="eastAsia"/>
                    </w:rPr>
                    <w:t>排放情况</w:t>
                  </w:r>
                </w:p>
              </w:tc>
              <w:tc>
                <w:tcPr>
                  <w:tcW w:w="2035" w:type="dxa"/>
                  <w:vMerge w:val="restart"/>
                  <w:tcBorders>
                    <w:tl2br w:val="nil"/>
                    <w:tr2bl w:val="nil"/>
                  </w:tcBorders>
                  <w:vAlign w:val="center"/>
                </w:tcPr>
                <w:p>
                  <w:pPr>
                    <w:pStyle w:val="25"/>
                    <w:bidi w:val="0"/>
                  </w:pPr>
                  <w:r>
                    <w:t>排放方式及去向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9" w:hRule="atLeast"/>
                <w:jc w:val="center"/>
              </w:trPr>
              <w:tc>
                <w:tcPr>
                  <w:tcW w:w="807" w:type="dxa"/>
                  <w:vMerge w:val="continue"/>
                  <w:tcBorders>
                    <w:tl2br w:val="nil"/>
                    <w:tr2bl w:val="nil"/>
                  </w:tcBorders>
                  <w:vAlign w:val="center"/>
                </w:tcPr>
                <w:p>
                  <w:pPr>
                    <w:pStyle w:val="25"/>
                    <w:bidi w:val="0"/>
                  </w:pPr>
                </w:p>
              </w:tc>
              <w:tc>
                <w:tcPr>
                  <w:tcW w:w="891" w:type="dxa"/>
                  <w:vMerge w:val="continue"/>
                  <w:tcBorders>
                    <w:tl2br w:val="nil"/>
                    <w:tr2bl w:val="nil"/>
                  </w:tcBorders>
                  <w:vAlign w:val="center"/>
                </w:tcPr>
                <w:p>
                  <w:pPr>
                    <w:pStyle w:val="25"/>
                    <w:bidi w:val="0"/>
                  </w:pPr>
                </w:p>
              </w:tc>
              <w:tc>
                <w:tcPr>
                  <w:tcW w:w="844" w:type="dxa"/>
                  <w:vMerge w:val="continue"/>
                  <w:tcBorders>
                    <w:tl2br w:val="nil"/>
                    <w:tr2bl w:val="nil"/>
                  </w:tcBorders>
                  <w:vAlign w:val="center"/>
                </w:tcPr>
                <w:p>
                  <w:pPr>
                    <w:pStyle w:val="25"/>
                    <w:bidi w:val="0"/>
                  </w:pPr>
                </w:p>
              </w:tc>
              <w:tc>
                <w:tcPr>
                  <w:tcW w:w="1029" w:type="dxa"/>
                  <w:vMerge w:val="continue"/>
                  <w:tcBorders>
                    <w:tl2br w:val="nil"/>
                    <w:tr2bl w:val="nil"/>
                  </w:tcBorders>
                  <w:vAlign w:val="center"/>
                </w:tcPr>
                <w:p>
                  <w:pPr>
                    <w:pStyle w:val="25"/>
                    <w:bidi w:val="0"/>
                  </w:pPr>
                </w:p>
              </w:tc>
              <w:tc>
                <w:tcPr>
                  <w:tcW w:w="935" w:type="dxa"/>
                  <w:tcBorders>
                    <w:tl2br w:val="nil"/>
                    <w:tr2bl w:val="nil"/>
                  </w:tcBorders>
                  <w:vAlign w:val="center"/>
                </w:tcPr>
                <w:p>
                  <w:pPr>
                    <w:pStyle w:val="25"/>
                    <w:bidi w:val="0"/>
                  </w:pPr>
                  <w:r>
                    <w:t>mg/L</w:t>
                  </w:r>
                </w:p>
              </w:tc>
              <w:tc>
                <w:tcPr>
                  <w:tcW w:w="977" w:type="dxa"/>
                  <w:tcBorders>
                    <w:tl2br w:val="nil"/>
                    <w:tr2bl w:val="nil"/>
                  </w:tcBorders>
                  <w:vAlign w:val="center"/>
                </w:tcPr>
                <w:p>
                  <w:pPr>
                    <w:pStyle w:val="25"/>
                    <w:bidi w:val="0"/>
                  </w:pPr>
                  <w:r>
                    <w:rPr>
                      <w:rFonts w:hint="eastAsia"/>
                      <w:lang w:val="zh-CN"/>
                    </w:rPr>
                    <w:t>m</w:t>
                  </w:r>
                  <w:r>
                    <w:rPr>
                      <w:rFonts w:hint="eastAsia"/>
                      <w:vertAlign w:val="superscript"/>
                    </w:rPr>
                    <w:t>3</w:t>
                  </w:r>
                  <w:r>
                    <w:t>/a</w:t>
                  </w:r>
                </w:p>
              </w:tc>
              <w:tc>
                <w:tcPr>
                  <w:tcW w:w="783" w:type="dxa"/>
                  <w:tcBorders>
                    <w:tl2br w:val="nil"/>
                    <w:tr2bl w:val="nil"/>
                  </w:tcBorders>
                  <w:vAlign w:val="center"/>
                </w:tcPr>
                <w:p>
                  <w:pPr>
                    <w:pStyle w:val="25"/>
                    <w:bidi w:val="0"/>
                  </w:pPr>
                  <w:r>
                    <w:t>工艺</w:t>
                  </w:r>
                </w:p>
              </w:tc>
              <w:tc>
                <w:tcPr>
                  <w:tcW w:w="813" w:type="dxa"/>
                  <w:tcBorders>
                    <w:tl2br w:val="nil"/>
                    <w:tr2bl w:val="nil"/>
                  </w:tcBorders>
                  <w:vAlign w:val="center"/>
                </w:tcPr>
                <w:p>
                  <w:pPr>
                    <w:pStyle w:val="25"/>
                    <w:bidi w:val="0"/>
                  </w:pPr>
                  <w:r>
                    <w:t>效率</w:t>
                  </w:r>
                </w:p>
              </w:tc>
              <w:tc>
                <w:tcPr>
                  <w:tcW w:w="806" w:type="dxa"/>
                  <w:tcBorders>
                    <w:tl2br w:val="nil"/>
                    <w:tr2bl w:val="nil"/>
                  </w:tcBorders>
                  <w:vAlign w:val="center"/>
                </w:tcPr>
                <w:p>
                  <w:pPr>
                    <w:pStyle w:val="25"/>
                    <w:bidi w:val="0"/>
                  </w:pPr>
                  <w:r>
                    <w:t>mg/L</w:t>
                  </w:r>
                </w:p>
              </w:tc>
              <w:tc>
                <w:tcPr>
                  <w:tcW w:w="998" w:type="dxa"/>
                  <w:tcBorders>
                    <w:tl2br w:val="nil"/>
                    <w:tr2bl w:val="nil"/>
                  </w:tcBorders>
                  <w:vAlign w:val="center"/>
                </w:tcPr>
                <w:p>
                  <w:pPr>
                    <w:pStyle w:val="25"/>
                    <w:bidi w:val="0"/>
                  </w:pPr>
                  <w:r>
                    <w:rPr>
                      <w:rFonts w:hint="eastAsia"/>
                      <w:lang w:val="zh-CN"/>
                    </w:rPr>
                    <w:t>m</w:t>
                  </w:r>
                  <w:r>
                    <w:rPr>
                      <w:rFonts w:hint="eastAsia"/>
                      <w:vertAlign w:val="superscript"/>
                    </w:rPr>
                    <w:t>3</w:t>
                  </w:r>
                  <w:r>
                    <w:t>/a</w:t>
                  </w:r>
                </w:p>
              </w:tc>
              <w:tc>
                <w:tcPr>
                  <w:tcW w:w="921" w:type="dxa"/>
                  <w:tcBorders>
                    <w:tl2br w:val="nil"/>
                    <w:tr2bl w:val="nil"/>
                  </w:tcBorders>
                  <w:vAlign w:val="center"/>
                </w:tcPr>
                <w:p>
                  <w:pPr>
                    <w:pStyle w:val="25"/>
                    <w:bidi w:val="0"/>
                  </w:pPr>
                  <w:r>
                    <w:t>mg/L</w:t>
                  </w:r>
                </w:p>
              </w:tc>
              <w:tc>
                <w:tcPr>
                  <w:tcW w:w="1187" w:type="dxa"/>
                  <w:tcBorders>
                    <w:tl2br w:val="nil"/>
                    <w:tr2bl w:val="nil"/>
                  </w:tcBorders>
                  <w:vAlign w:val="center"/>
                </w:tcPr>
                <w:p>
                  <w:pPr>
                    <w:pStyle w:val="25"/>
                    <w:bidi w:val="0"/>
                  </w:pPr>
                  <w:r>
                    <w:rPr>
                      <w:rFonts w:hint="eastAsia"/>
                      <w:lang w:val="zh-CN"/>
                    </w:rPr>
                    <w:t>m</w:t>
                  </w:r>
                  <w:r>
                    <w:rPr>
                      <w:rFonts w:hint="eastAsia"/>
                      <w:vertAlign w:val="superscript"/>
                    </w:rPr>
                    <w:t>3</w:t>
                  </w:r>
                  <w:r>
                    <w:t>/a</w:t>
                  </w:r>
                </w:p>
              </w:tc>
              <w:tc>
                <w:tcPr>
                  <w:tcW w:w="2035" w:type="dxa"/>
                  <w:vMerge w:val="continue"/>
                  <w:tcBorders>
                    <w:tl2br w:val="nil"/>
                    <w:tr2bl w:val="nil"/>
                  </w:tcBorders>
                  <w:vAlign w:val="center"/>
                </w:tcPr>
                <w:p>
                  <w:pPr>
                    <w:pStyle w:val="25"/>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 w:hRule="atLeast"/>
                <w:jc w:val="center"/>
              </w:trPr>
              <w:tc>
                <w:tcPr>
                  <w:tcW w:w="807" w:type="dxa"/>
                  <w:vMerge w:val="restart"/>
                  <w:tcBorders>
                    <w:tl2br w:val="nil"/>
                    <w:tr2bl w:val="nil"/>
                  </w:tcBorders>
                  <w:vAlign w:val="center"/>
                </w:tcPr>
                <w:p>
                  <w:pPr>
                    <w:pStyle w:val="25"/>
                    <w:bidi w:val="0"/>
                    <w:rPr>
                      <w:rFonts w:hint="eastAsia"/>
                      <w:lang w:val="en-US" w:eastAsia="zh-CN"/>
                    </w:rPr>
                  </w:pPr>
                  <w:r>
                    <w:rPr>
                      <w:rFonts w:hint="eastAsia"/>
                    </w:rPr>
                    <w:t>生活办公</w:t>
                  </w:r>
                </w:p>
              </w:tc>
              <w:tc>
                <w:tcPr>
                  <w:tcW w:w="891" w:type="dxa"/>
                  <w:vMerge w:val="restart"/>
                  <w:tcBorders>
                    <w:tl2br w:val="nil"/>
                    <w:tr2bl w:val="nil"/>
                  </w:tcBorders>
                  <w:vAlign w:val="center"/>
                </w:tcPr>
                <w:p>
                  <w:pPr>
                    <w:pStyle w:val="25"/>
                    <w:bidi w:val="0"/>
                    <w:rPr>
                      <w:rFonts w:hint="eastAsia"/>
                      <w:lang w:val="en-US" w:eastAsia="zh-CN"/>
                    </w:rPr>
                  </w:pPr>
                  <w:r>
                    <w:rPr>
                      <w:rFonts w:hint="eastAsia"/>
                    </w:rPr>
                    <w:t>生活污水</w:t>
                  </w:r>
                </w:p>
              </w:tc>
              <w:tc>
                <w:tcPr>
                  <w:tcW w:w="844" w:type="dxa"/>
                  <w:vMerge w:val="restart"/>
                  <w:tcBorders>
                    <w:tl2br w:val="nil"/>
                    <w:tr2bl w:val="nil"/>
                  </w:tcBorders>
                  <w:vAlign w:val="center"/>
                </w:tcPr>
                <w:p>
                  <w:pPr>
                    <w:pStyle w:val="25"/>
                    <w:bidi w:val="0"/>
                    <w:rPr>
                      <w:rFonts w:hint="default"/>
                      <w:lang w:val="en-US" w:eastAsia="zh-CN"/>
                    </w:rPr>
                  </w:pPr>
                  <w:r>
                    <w:rPr>
                      <w:rFonts w:hint="eastAsia"/>
                      <w:lang w:val="en-US" w:eastAsia="zh-CN"/>
                    </w:rPr>
                    <w:t>144</w:t>
                  </w:r>
                </w:p>
              </w:tc>
              <w:tc>
                <w:tcPr>
                  <w:tcW w:w="1029" w:type="dxa"/>
                  <w:tcBorders>
                    <w:tl2br w:val="nil"/>
                    <w:tr2bl w:val="nil"/>
                  </w:tcBorders>
                  <w:vAlign w:val="center"/>
                </w:tcPr>
                <w:p>
                  <w:pPr>
                    <w:pStyle w:val="25"/>
                    <w:bidi w:val="0"/>
                    <w:rPr>
                      <w:lang w:val="en-US" w:eastAsia="zh-CN"/>
                    </w:rPr>
                  </w:pPr>
                  <w:r>
                    <w:t>pH</w:t>
                  </w:r>
                </w:p>
              </w:tc>
              <w:tc>
                <w:tcPr>
                  <w:tcW w:w="935" w:type="dxa"/>
                  <w:tcBorders>
                    <w:tl2br w:val="nil"/>
                    <w:tr2bl w:val="nil"/>
                  </w:tcBorders>
                  <w:vAlign w:val="center"/>
                </w:tcPr>
                <w:p>
                  <w:pPr>
                    <w:pStyle w:val="25"/>
                    <w:bidi w:val="0"/>
                    <w:rPr>
                      <w:rFonts w:hint="default"/>
                      <w:lang w:val="en-US" w:eastAsia="zh-CN"/>
                    </w:rPr>
                  </w:pPr>
                  <w:r>
                    <w:rPr>
                      <w:rFonts w:hint="eastAsia"/>
                      <w:lang w:val="en-US" w:eastAsia="zh-CN"/>
                    </w:rPr>
                    <w:t>6-9</w:t>
                  </w:r>
                </w:p>
              </w:tc>
              <w:tc>
                <w:tcPr>
                  <w:tcW w:w="977" w:type="dxa"/>
                  <w:tcBorders>
                    <w:tl2br w:val="nil"/>
                    <w:tr2bl w:val="nil"/>
                  </w:tcBorders>
                  <w:vAlign w:val="center"/>
                </w:tcPr>
                <w:p>
                  <w:pPr>
                    <w:pStyle w:val="25"/>
                    <w:bidi w:val="0"/>
                    <w:rPr>
                      <w:rFonts w:hint="default"/>
                      <w:lang w:val="en-US" w:eastAsia="zh-CN"/>
                    </w:rPr>
                  </w:pPr>
                  <w:r>
                    <w:rPr>
                      <w:rFonts w:hint="eastAsia"/>
                    </w:rPr>
                    <w:t>/</w:t>
                  </w:r>
                </w:p>
              </w:tc>
              <w:tc>
                <w:tcPr>
                  <w:tcW w:w="783" w:type="dxa"/>
                  <w:vMerge w:val="restart"/>
                  <w:tcBorders>
                    <w:tl2br w:val="nil"/>
                    <w:tr2bl w:val="nil"/>
                  </w:tcBorders>
                  <w:vAlign w:val="center"/>
                </w:tcPr>
                <w:p>
                  <w:pPr>
                    <w:pStyle w:val="25"/>
                    <w:bidi w:val="0"/>
                    <w:rPr>
                      <w:rFonts w:hint="eastAsia"/>
                      <w:lang w:val="en-US" w:eastAsia="zh-CN"/>
                    </w:rPr>
                  </w:pPr>
                  <w:r>
                    <w:rPr>
                      <w:rFonts w:hint="eastAsia"/>
                      <w:lang w:val="en-US" w:eastAsia="zh-CN"/>
                    </w:rPr>
                    <w:t>化粪池</w:t>
                  </w:r>
                </w:p>
              </w:tc>
              <w:tc>
                <w:tcPr>
                  <w:tcW w:w="813" w:type="dxa"/>
                  <w:tcBorders>
                    <w:tl2br w:val="nil"/>
                    <w:tr2bl w:val="nil"/>
                  </w:tcBorders>
                  <w:vAlign w:val="center"/>
                </w:tcPr>
                <w:p>
                  <w:pPr>
                    <w:pStyle w:val="25"/>
                    <w:bidi w:val="0"/>
                    <w:rPr>
                      <w:rFonts w:hint="eastAsia" w:eastAsia="宋体"/>
                      <w:lang w:val="en-US" w:eastAsia="zh-CN"/>
                    </w:rPr>
                  </w:pPr>
                  <w:r>
                    <w:rPr>
                      <w:rFonts w:hint="eastAsia"/>
                      <w:lang w:val="en-US" w:eastAsia="zh-CN"/>
                    </w:rPr>
                    <w:t>/</w:t>
                  </w:r>
                </w:p>
              </w:tc>
              <w:tc>
                <w:tcPr>
                  <w:tcW w:w="806" w:type="dxa"/>
                  <w:tcBorders>
                    <w:tl2br w:val="nil"/>
                    <w:tr2bl w:val="nil"/>
                  </w:tcBorders>
                  <w:vAlign w:val="center"/>
                </w:tcPr>
                <w:p>
                  <w:pPr>
                    <w:pStyle w:val="25"/>
                    <w:bidi w:val="0"/>
                    <w:rPr>
                      <w:rFonts w:hint="default"/>
                      <w:lang w:val="en-US" w:eastAsia="zh-CN"/>
                    </w:rPr>
                  </w:pPr>
                  <w:r>
                    <w:rPr>
                      <w:rFonts w:hint="eastAsia"/>
                      <w:lang w:val="en-US" w:eastAsia="zh-CN"/>
                    </w:rPr>
                    <w:t>6-9</w:t>
                  </w:r>
                </w:p>
              </w:tc>
              <w:tc>
                <w:tcPr>
                  <w:tcW w:w="998" w:type="dxa"/>
                  <w:tcBorders>
                    <w:tl2br w:val="nil"/>
                    <w:tr2bl w:val="nil"/>
                  </w:tcBorders>
                  <w:vAlign w:val="center"/>
                </w:tcPr>
                <w:p>
                  <w:pPr>
                    <w:pStyle w:val="25"/>
                    <w:bidi w:val="0"/>
                    <w:rPr>
                      <w:rFonts w:hint="default"/>
                      <w:lang w:val="en-US" w:eastAsia="zh-CN"/>
                    </w:rPr>
                  </w:pPr>
                  <w:r>
                    <w:rPr>
                      <w:rFonts w:hint="eastAsia"/>
                    </w:rPr>
                    <w:t>/</w:t>
                  </w:r>
                </w:p>
              </w:tc>
              <w:tc>
                <w:tcPr>
                  <w:tcW w:w="921" w:type="dxa"/>
                  <w:tcBorders>
                    <w:tl2br w:val="nil"/>
                    <w:tr2bl w:val="nil"/>
                  </w:tcBorders>
                  <w:vAlign w:val="center"/>
                </w:tcPr>
                <w:p>
                  <w:pPr>
                    <w:pStyle w:val="25"/>
                    <w:bidi w:val="0"/>
                    <w:rPr>
                      <w:lang w:val="en-US" w:eastAsia="zh-CN"/>
                    </w:rPr>
                  </w:pPr>
                  <w:r>
                    <w:t>6~9</w:t>
                  </w:r>
                </w:p>
              </w:tc>
              <w:tc>
                <w:tcPr>
                  <w:tcW w:w="1187" w:type="dxa"/>
                  <w:tcBorders>
                    <w:tl2br w:val="nil"/>
                    <w:tr2bl w:val="nil"/>
                  </w:tcBorders>
                  <w:vAlign w:val="center"/>
                </w:tcPr>
                <w:p>
                  <w:pPr>
                    <w:pStyle w:val="25"/>
                    <w:bidi w:val="0"/>
                    <w:rPr>
                      <w:rFonts w:hint="default"/>
                      <w:highlight w:val="none"/>
                      <w:lang w:val="en-US" w:eastAsia="zh-CN"/>
                    </w:rPr>
                  </w:pPr>
                  <w:r>
                    <w:rPr>
                      <w:rFonts w:hint="eastAsia"/>
                      <w:highlight w:val="none"/>
                      <w:lang w:val="en-US" w:eastAsia="zh-CN"/>
                    </w:rPr>
                    <w:t>/</w:t>
                  </w:r>
                </w:p>
              </w:tc>
              <w:tc>
                <w:tcPr>
                  <w:tcW w:w="2035" w:type="dxa"/>
                  <w:vMerge w:val="restart"/>
                  <w:tcBorders>
                    <w:tl2br w:val="nil"/>
                    <w:tr2bl w:val="nil"/>
                  </w:tcBorders>
                  <w:vAlign w:val="center"/>
                </w:tcPr>
                <w:p>
                  <w:pPr>
                    <w:pStyle w:val="25"/>
                    <w:bidi w:val="0"/>
                    <w:rPr>
                      <w:highlight w:val="none"/>
                    </w:rPr>
                  </w:pPr>
                  <w:r>
                    <w:rPr>
                      <w:rFonts w:hint="eastAsia"/>
                      <w:highlight w:val="none"/>
                    </w:rPr>
                    <w:t>排入大庄镇污水处理厂满足一级A标准后排入</w:t>
                  </w:r>
                  <w:r>
                    <w:rPr>
                      <w:rFonts w:hint="eastAsia"/>
                      <w:highlight w:val="none"/>
                      <w:lang w:eastAsia="zh-CN"/>
                    </w:rPr>
                    <w:t>老濉</w:t>
                  </w:r>
                  <w:r>
                    <w:rPr>
                      <w:rFonts w:hint="eastAsia"/>
                      <w:highlight w:val="none"/>
                    </w:rPr>
                    <w:t>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 w:hRule="atLeast"/>
                <w:jc w:val="center"/>
              </w:trPr>
              <w:tc>
                <w:tcPr>
                  <w:tcW w:w="807" w:type="dxa"/>
                  <w:vMerge w:val="continue"/>
                  <w:tcBorders>
                    <w:tl2br w:val="nil"/>
                    <w:tr2bl w:val="nil"/>
                  </w:tcBorders>
                  <w:vAlign w:val="center"/>
                </w:tcPr>
                <w:p>
                  <w:pPr>
                    <w:pStyle w:val="25"/>
                    <w:bidi w:val="0"/>
                    <w:rPr>
                      <w:rFonts w:hint="eastAsia"/>
                      <w:lang w:eastAsia="zh-CN"/>
                    </w:rPr>
                  </w:pPr>
                </w:p>
              </w:tc>
              <w:tc>
                <w:tcPr>
                  <w:tcW w:w="891" w:type="dxa"/>
                  <w:vMerge w:val="continue"/>
                  <w:tcBorders>
                    <w:tl2br w:val="nil"/>
                    <w:tr2bl w:val="nil"/>
                  </w:tcBorders>
                  <w:vAlign w:val="center"/>
                </w:tcPr>
                <w:p>
                  <w:pPr>
                    <w:pStyle w:val="25"/>
                    <w:bidi w:val="0"/>
                    <w:rPr>
                      <w:rFonts w:hint="eastAsia"/>
                      <w:lang w:eastAsia="zh-CN"/>
                    </w:rPr>
                  </w:pPr>
                </w:p>
              </w:tc>
              <w:tc>
                <w:tcPr>
                  <w:tcW w:w="844" w:type="dxa"/>
                  <w:vMerge w:val="continue"/>
                  <w:tcBorders>
                    <w:tl2br w:val="nil"/>
                    <w:tr2bl w:val="nil"/>
                  </w:tcBorders>
                  <w:vAlign w:val="center"/>
                </w:tcPr>
                <w:p>
                  <w:pPr>
                    <w:pStyle w:val="25"/>
                    <w:bidi w:val="0"/>
                    <w:rPr>
                      <w:rFonts w:hint="eastAsia"/>
                      <w:lang w:val="en-US" w:eastAsia="zh-CN"/>
                    </w:rPr>
                  </w:pPr>
                </w:p>
              </w:tc>
              <w:tc>
                <w:tcPr>
                  <w:tcW w:w="1029" w:type="dxa"/>
                  <w:tcBorders>
                    <w:tl2br w:val="nil"/>
                    <w:tr2bl w:val="nil"/>
                  </w:tcBorders>
                  <w:vAlign w:val="center"/>
                </w:tcPr>
                <w:p>
                  <w:pPr>
                    <w:pStyle w:val="25"/>
                    <w:bidi w:val="0"/>
                    <w:rPr>
                      <w:rFonts w:hint="default"/>
                      <w:lang w:val="en-US" w:eastAsia="zh-CN"/>
                    </w:rPr>
                  </w:pPr>
                  <w:r>
                    <w:t>COD</w:t>
                  </w:r>
                </w:p>
              </w:tc>
              <w:tc>
                <w:tcPr>
                  <w:tcW w:w="935" w:type="dxa"/>
                  <w:tcBorders>
                    <w:tl2br w:val="nil"/>
                    <w:tr2bl w:val="nil"/>
                  </w:tcBorders>
                  <w:vAlign w:val="center"/>
                </w:tcPr>
                <w:p>
                  <w:pPr>
                    <w:pStyle w:val="25"/>
                    <w:bidi w:val="0"/>
                    <w:rPr>
                      <w:rFonts w:hint="default"/>
                      <w:lang w:val="en-US" w:eastAsia="zh-CN"/>
                    </w:rPr>
                  </w:pPr>
                  <w:r>
                    <w:rPr>
                      <w:rFonts w:hint="eastAsia"/>
                    </w:rPr>
                    <w:t>300</w:t>
                  </w:r>
                </w:p>
              </w:tc>
              <w:tc>
                <w:tcPr>
                  <w:tcW w:w="977" w:type="dxa"/>
                  <w:tcBorders>
                    <w:tl2br w:val="nil"/>
                    <w:tr2bl w:val="nil"/>
                  </w:tcBorders>
                  <w:vAlign w:val="center"/>
                </w:tcPr>
                <w:p>
                  <w:pPr>
                    <w:pStyle w:val="25"/>
                    <w:bidi w:val="0"/>
                    <w:rPr>
                      <w:rFonts w:hint="default"/>
                      <w:lang w:val="en-US" w:eastAsia="zh-CN"/>
                    </w:rPr>
                  </w:pPr>
                  <w:r>
                    <w:rPr>
                      <w:rFonts w:hint="eastAsia"/>
                      <w:lang w:val="en-US" w:eastAsia="zh-CN"/>
                    </w:rPr>
                    <w:t>0.0432</w:t>
                  </w:r>
                </w:p>
              </w:tc>
              <w:tc>
                <w:tcPr>
                  <w:tcW w:w="783" w:type="dxa"/>
                  <w:vMerge w:val="continue"/>
                  <w:tcBorders>
                    <w:tl2br w:val="nil"/>
                    <w:tr2bl w:val="nil"/>
                  </w:tcBorders>
                  <w:vAlign w:val="center"/>
                </w:tcPr>
                <w:p>
                  <w:pPr>
                    <w:pStyle w:val="25"/>
                    <w:bidi w:val="0"/>
                    <w:rPr>
                      <w:rFonts w:hint="eastAsia"/>
                      <w:lang w:eastAsia="zh-CN"/>
                    </w:rPr>
                  </w:pPr>
                </w:p>
              </w:tc>
              <w:tc>
                <w:tcPr>
                  <w:tcW w:w="813" w:type="dxa"/>
                  <w:tcBorders>
                    <w:tl2br w:val="nil"/>
                    <w:tr2bl w:val="nil"/>
                  </w:tcBorders>
                  <w:vAlign w:val="center"/>
                </w:tcPr>
                <w:p>
                  <w:pPr>
                    <w:pStyle w:val="25"/>
                    <w:bidi w:val="0"/>
                    <w:rPr>
                      <w:rFonts w:hint="default"/>
                      <w:lang w:val="en-US" w:eastAsia="zh-CN"/>
                    </w:rPr>
                  </w:pPr>
                  <w:r>
                    <w:rPr>
                      <w:rFonts w:hint="eastAsia"/>
                      <w:lang w:val="en-US" w:eastAsia="zh-CN"/>
                    </w:rPr>
                    <w:t>20</w:t>
                  </w:r>
                  <w:r>
                    <w:t>%</w:t>
                  </w:r>
                </w:p>
              </w:tc>
              <w:tc>
                <w:tcPr>
                  <w:tcW w:w="806" w:type="dxa"/>
                  <w:tcBorders>
                    <w:tl2br w:val="nil"/>
                    <w:tr2bl w:val="nil"/>
                  </w:tcBorders>
                  <w:vAlign w:val="center"/>
                </w:tcPr>
                <w:p>
                  <w:pPr>
                    <w:pStyle w:val="25"/>
                    <w:bidi w:val="0"/>
                    <w:rPr>
                      <w:rFonts w:hint="default"/>
                      <w:lang w:val="en-US" w:eastAsia="zh-CN"/>
                    </w:rPr>
                  </w:pPr>
                  <w:r>
                    <w:rPr>
                      <w:rFonts w:hint="default"/>
                      <w:lang w:val="en-US" w:eastAsia="zh-CN"/>
                    </w:rPr>
                    <w:t>240</w:t>
                  </w:r>
                </w:p>
              </w:tc>
              <w:tc>
                <w:tcPr>
                  <w:tcW w:w="998" w:type="dxa"/>
                  <w:tcBorders>
                    <w:tl2br w:val="nil"/>
                    <w:tr2bl w:val="nil"/>
                  </w:tcBorders>
                  <w:vAlign w:val="center"/>
                </w:tcPr>
                <w:p>
                  <w:pPr>
                    <w:pStyle w:val="25"/>
                    <w:bidi w:val="0"/>
                    <w:rPr>
                      <w:rFonts w:hint="default"/>
                      <w:lang w:val="en-US" w:eastAsia="zh-CN"/>
                    </w:rPr>
                  </w:pPr>
                  <w:r>
                    <w:rPr>
                      <w:rFonts w:hint="default"/>
                      <w:lang w:val="en-US" w:eastAsia="zh-CN"/>
                    </w:rPr>
                    <w:t>0.035</w:t>
                  </w:r>
                </w:p>
              </w:tc>
              <w:tc>
                <w:tcPr>
                  <w:tcW w:w="921" w:type="dxa"/>
                  <w:tcBorders>
                    <w:tl2br w:val="nil"/>
                    <w:tr2bl w:val="nil"/>
                  </w:tcBorders>
                  <w:vAlign w:val="center"/>
                </w:tcPr>
                <w:p>
                  <w:pPr>
                    <w:pStyle w:val="25"/>
                    <w:bidi w:val="0"/>
                    <w:rPr>
                      <w:rFonts w:hint="default"/>
                      <w:lang w:val="en-US" w:eastAsia="zh-CN"/>
                    </w:rPr>
                  </w:pPr>
                  <w:r>
                    <w:rPr>
                      <w:rFonts w:hint="eastAsia"/>
                    </w:rPr>
                    <w:t>350</w:t>
                  </w:r>
                </w:p>
              </w:tc>
              <w:tc>
                <w:tcPr>
                  <w:tcW w:w="1187" w:type="dxa"/>
                  <w:tcBorders>
                    <w:tl2br w:val="nil"/>
                    <w:tr2bl w:val="nil"/>
                  </w:tcBorders>
                  <w:vAlign w:val="center"/>
                </w:tcPr>
                <w:p>
                  <w:pPr>
                    <w:pStyle w:val="25"/>
                    <w:bidi w:val="0"/>
                    <w:rPr>
                      <w:rFonts w:hint="default"/>
                      <w:lang w:val="en-US" w:eastAsia="zh-CN"/>
                    </w:rPr>
                  </w:pPr>
                  <w:r>
                    <w:rPr>
                      <w:rFonts w:hint="default"/>
                      <w:lang w:val="en-US" w:eastAsia="zh-CN"/>
                    </w:rPr>
                    <w:t>0.050</w:t>
                  </w:r>
                </w:p>
              </w:tc>
              <w:tc>
                <w:tcPr>
                  <w:tcW w:w="2035" w:type="dxa"/>
                  <w:vMerge w:val="continue"/>
                  <w:tcBorders>
                    <w:tl2br w:val="nil"/>
                    <w:tr2bl w:val="nil"/>
                  </w:tcBorders>
                  <w:vAlign w:val="center"/>
                </w:tcPr>
                <w:p>
                  <w:pPr>
                    <w:pStyle w:val="25"/>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 w:hRule="atLeast"/>
                <w:jc w:val="center"/>
              </w:trPr>
              <w:tc>
                <w:tcPr>
                  <w:tcW w:w="807" w:type="dxa"/>
                  <w:vMerge w:val="continue"/>
                  <w:tcBorders>
                    <w:tl2br w:val="nil"/>
                    <w:tr2bl w:val="nil"/>
                  </w:tcBorders>
                  <w:vAlign w:val="center"/>
                </w:tcPr>
                <w:p>
                  <w:pPr>
                    <w:pStyle w:val="25"/>
                    <w:bidi w:val="0"/>
                    <w:rPr>
                      <w:rFonts w:hint="eastAsia"/>
                      <w:lang w:eastAsia="zh-CN"/>
                    </w:rPr>
                  </w:pPr>
                </w:p>
              </w:tc>
              <w:tc>
                <w:tcPr>
                  <w:tcW w:w="891" w:type="dxa"/>
                  <w:vMerge w:val="continue"/>
                  <w:tcBorders>
                    <w:tl2br w:val="nil"/>
                    <w:tr2bl w:val="nil"/>
                  </w:tcBorders>
                  <w:vAlign w:val="center"/>
                </w:tcPr>
                <w:p>
                  <w:pPr>
                    <w:pStyle w:val="25"/>
                    <w:bidi w:val="0"/>
                    <w:rPr>
                      <w:rFonts w:hint="eastAsia"/>
                      <w:lang w:eastAsia="zh-CN"/>
                    </w:rPr>
                  </w:pPr>
                </w:p>
              </w:tc>
              <w:tc>
                <w:tcPr>
                  <w:tcW w:w="844" w:type="dxa"/>
                  <w:vMerge w:val="continue"/>
                  <w:tcBorders>
                    <w:tl2br w:val="nil"/>
                    <w:tr2bl w:val="nil"/>
                  </w:tcBorders>
                  <w:vAlign w:val="center"/>
                </w:tcPr>
                <w:p>
                  <w:pPr>
                    <w:pStyle w:val="25"/>
                    <w:bidi w:val="0"/>
                    <w:rPr>
                      <w:rFonts w:hint="eastAsia"/>
                      <w:lang w:val="en-US" w:eastAsia="zh-CN"/>
                    </w:rPr>
                  </w:pPr>
                </w:p>
              </w:tc>
              <w:tc>
                <w:tcPr>
                  <w:tcW w:w="1029" w:type="dxa"/>
                  <w:tcBorders>
                    <w:tl2br w:val="nil"/>
                    <w:tr2bl w:val="nil"/>
                  </w:tcBorders>
                  <w:vAlign w:val="center"/>
                </w:tcPr>
                <w:p>
                  <w:pPr>
                    <w:pStyle w:val="25"/>
                    <w:bidi w:val="0"/>
                    <w:rPr>
                      <w:rFonts w:hint="eastAsia"/>
                      <w:lang w:val="en-US" w:eastAsia="zh-CN"/>
                    </w:rPr>
                  </w:pPr>
                  <w:r>
                    <w:t>BOD</w:t>
                  </w:r>
                  <w:r>
                    <w:rPr>
                      <w:vertAlign w:val="subscript"/>
                    </w:rPr>
                    <w:t>5</w:t>
                  </w:r>
                </w:p>
              </w:tc>
              <w:tc>
                <w:tcPr>
                  <w:tcW w:w="935" w:type="dxa"/>
                  <w:tcBorders>
                    <w:tl2br w:val="nil"/>
                    <w:tr2bl w:val="nil"/>
                  </w:tcBorders>
                  <w:vAlign w:val="center"/>
                </w:tcPr>
                <w:p>
                  <w:pPr>
                    <w:pStyle w:val="25"/>
                    <w:bidi w:val="0"/>
                    <w:rPr>
                      <w:rFonts w:hint="eastAsia"/>
                      <w:lang w:val="en-US" w:eastAsia="zh-CN"/>
                    </w:rPr>
                  </w:pPr>
                  <w:r>
                    <w:rPr>
                      <w:rFonts w:hint="eastAsia"/>
                    </w:rPr>
                    <w:t>150</w:t>
                  </w:r>
                </w:p>
              </w:tc>
              <w:tc>
                <w:tcPr>
                  <w:tcW w:w="977" w:type="dxa"/>
                  <w:tcBorders>
                    <w:tl2br w:val="nil"/>
                    <w:tr2bl w:val="nil"/>
                  </w:tcBorders>
                  <w:vAlign w:val="center"/>
                </w:tcPr>
                <w:p>
                  <w:pPr>
                    <w:pStyle w:val="25"/>
                    <w:bidi w:val="0"/>
                    <w:rPr>
                      <w:rFonts w:hint="eastAsia"/>
                      <w:lang w:val="en-US" w:eastAsia="zh-CN"/>
                    </w:rPr>
                  </w:pPr>
                  <w:r>
                    <w:rPr>
                      <w:rFonts w:hint="eastAsia"/>
                      <w:lang w:val="en-US" w:eastAsia="zh-CN"/>
                    </w:rPr>
                    <w:t>0.0216</w:t>
                  </w:r>
                </w:p>
              </w:tc>
              <w:tc>
                <w:tcPr>
                  <w:tcW w:w="783" w:type="dxa"/>
                  <w:vMerge w:val="continue"/>
                  <w:tcBorders>
                    <w:tl2br w:val="nil"/>
                    <w:tr2bl w:val="nil"/>
                  </w:tcBorders>
                  <w:vAlign w:val="center"/>
                </w:tcPr>
                <w:p>
                  <w:pPr>
                    <w:pStyle w:val="25"/>
                    <w:bidi w:val="0"/>
                    <w:rPr>
                      <w:rFonts w:hint="eastAsia"/>
                      <w:lang w:val="en-US" w:eastAsia="zh-CN"/>
                    </w:rPr>
                  </w:pPr>
                </w:p>
              </w:tc>
              <w:tc>
                <w:tcPr>
                  <w:tcW w:w="813" w:type="dxa"/>
                  <w:tcBorders>
                    <w:tl2br w:val="nil"/>
                    <w:tr2bl w:val="nil"/>
                  </w:tcBorders>
                  <w:vAlign w:val="center"/>
                </w:tcPr>
                <w:p>
                  <w:pPr>
                    <w:pStyle w:val="25"/>
                    <w:bidi w:val="0"/>
                    <w:rPr>
                      <w:rFonts w:hint="eastAsia"/>
                      <w:lang w:val="en-US" w:eastAsia="zh-CN"/>
                    </w:rPr>
                  </w:pPr>
                  <w:r>
                    <w:rPr>
                      <w:rFonts w:hint="eastAsia"/>
                      <w:lang w:val="en-US" w:eastAsia="zh-CN"/>
                    </w:rPr>
                    <w:t>20%</w:t>
                  </w:r>
                </w:p>
              </w:tc>
              <w:tc>
                <w:tcPr>
                  <w:tcW w:w="806" w:type="dxa"/>
                  <w:tcBorders>
                    <w:tl2br w:val="nil"/>
                    <w:tr2bl w:val="nil"/>
                  </w:tcBorders>
                  <w:vAlign w:val="center"/>
                </w:tcPr>
                <w:p>
                  <w:pPr>
                    <w:pStyle w:val="25"/>
                    <w:bidi w:val="0"/>
                    <w:rPr>
                      <w:rFonts w:hint="default"/>
                      <w:lang w:val="en-US" w:eastAsia="zh-CN"/>
                    </w:rPr>
                  </w:pPr>
                  <w:r>
                    <w:rPr>
                      <w:rFonts w:hint="default"/>
                      <w:lang w:val="en-US" w:eastAsia="zh-CN"/>
                    </w:rPr>
                    <w:t>1</w:t>
                  </w:r>
                  <w:r>
                    <w:rPr>
                      <w:rFonts w:hint="eastAsia"/>
                      <w:lang w:val="en-US" w:eastAsia="zh-CN"/>
                    </w:rPr>
                    <w:t>20</w:t>
                  </w:r>
                </w:p>
              </w:tc>
              <w:tc>
                <w:tcPr>
                  <w:tcW w:w="998" w:type="dxa"/>
                  <w:tcBorders>
                    <w:tl2br w:val="nil"/>
                    <w:tr2bl w:val="nil"/>
                  </w:tcBorders>
                  <w:vAlign w:val="center"/>
                </w:tcPr>
                <w:p>
                  <w:pPr>
                    <w:pStyle w:val="25"/>
                    <w:bidi w:val="0"/>
                    <w:rPr>
                      <w:rFonts w:hint="default"/>
                      <w:lang w:val="en-US" w:eastAsia="zh-CN"/>
                    </w:rPr>
                  </w:pPr>
                  <w:r>
                    <w:rPr>
                      <w:rFonts w:hint="default"/>
                      <w:lang w:val="en-US" w:eastAsia="zh-CN"/>
                    </w:rPr>
                    <w:t>0.017</w:t>
                  </w:r>
                </w:p>
              </w:tc>
              <w:tc>
                <w:tcPr>
                  <w:tcW w:w="921" w:type="dxa"/>
                  <w:tcBorders>
                    <w:tl2br w:val="nil"/>
                    <w:tr2bl w:val="nil"/>
                  </w:tcBorders>
                  <w:vAlign w:val="center"/>
                </w:tcPr>
                <w:p>
                  <w:pPr>
                    <w:pStyle w:val="25"/>
                    <w:bidi w:val="0"/>
                    <w:rPr>
                      <w:rFonts w:hint="default"/>
                      <w:lang w:val="en-US" w:eastAsia="zh-CN"/>
                    </w:rPr>
                  </w:pPr>
                  <w:r>
                    <w:rPr>
                      <w:rFonts w:hint="eastAsia"/>
                    </w:rPr>
                    <w:t>200</w:t>
                  </w:r>
                </w:p>
              </w:tc>
              <w:tc>
                <w:tcPr>
                  <w:tcW w:w="1187" w:type="dxa"/>
                  <w:tcBorders>
                    <w:tl2br w:val="nil"/>
                    <w:tr2bl w:val="nil"/>
                  </w:tcBorders>
                  <w:vAlign w:val="center"/>
                </w:tcPr>
                <w:p>
                  <w:pPr>
                    <w:pStyle w:val="25"/>
                    <w:bidi w:val="0"/>
                    <w:rPr>
                      <w:rFonts w:hint="eastAsia"/>
                      <w:lang w:val="en-US" w:eastAsia="zh-CN"/>
                    </w:rPr>
                  </w:pPr>
                  <w:r>
                    <w:rPr>
                      <w:rFonts w:hint="default"/>
                      <w:lang w:val="en-US" w:eastAsia="zh-CN"/>
                    </w:rPr>
                    <w:t>0.029</w:t>
                  </w:r>
                </w:p>
              </w:tc>
              <w:tc>
                <w:tcPr>
                  <w:tcW w:w="2035" w:type="dxa"/>
                  <w:vMerge w:val="continue"/>
                  <w:tcBorders>
                    <w:tl2br w:val="nil"/>
                    <w:tr2bl w:val="nil"/>
                  </w:tcBorders>
                  <w:vAlign w:val="center"/>
                </w:tcPr>
                <w:p>
                  <w:pPr>
                    <w:pStyle w:val="25"/>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 w:hRule="atLeast"/>
                <w:jc w:val="center"/>
              </w:trPr>
              <w:tc>
                <w:tcPr>
                  <w:tcW w:w="807" w:type="dxa"/>
                  <w:vMerge w:val="continue"/>
                  <w:tcBorders>
                    <w:tl2br w:val="nil"/>
                    <w:tr2bl w:val="nil"/>
                  </w:tcBorders>
                  <w:vAlign w:val="center"/>
                </w:tcPr>
                <w:p>
                  <w:pPr>
                    <w:pStyle w:val="25"/>
                    <w:bidi w:val="0"/>
                  </w:pPr>
                </w:p>
              </w:tc>
              <w:tc>
                <w:tcPr>
                  <w:tcW w:w="891" w:type="dxa"/>
                  <w:vMerge w:val="continue"/>
                  <w:tcBorders>
                    <w:tl2br w:val="nil"/>
                    <w:tr2bl w:val="nil"/>
                  </w:tcBorders>
                  <w:vAlign w:val="center"/>
                </w:tcPr>
                <w:p>
                  <w:pPr>
                    <w:pStyle w:val="25"/>
                    <w:bidi w:val="0"/>
                  </w:pPr>
                </w:p>
              </w:tc>
              <w:tc>
                <w:tcPr>
                  <w:tcW w:w="844" w:type="dxa"/>
                  <w:vMerge w:val="continue"/>
                  <w:tcBorders>
                    <w:tl2br w:val="nil"/>
                    <w:tr2bl w:val="nil"/>
                  </w:tcBorders>
                  <w:vAlign w:val="center"/>
                </w:tcPr>
                <w:p>
                  <w:pPr>
                    <w:pStyle w:val="25"/>
                    <w:bidi w:val="0"/>
                  </w:pPr>
                </w:p>
              </w:tc>
              <w:tc>
                <w:tcPr>
                  <w:tcW w:w="1029" w:type="dxa"/>
                  <w:tcBorders>
                    <w:tl2br w:val="nil"/>
                    <w:tr2bl w:val="nil"/>
                  </w:tcBorders>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rPr>
                    <w:t>SS</w:t>
                  </w:r>
                </w:p>
              </w:tc>
              <w:tc>
                <w:tcPr>
                  <w:tcW w:w="935" w:type="dxa"/>
                  <w:tcBorders>
                    <w:tl2br w:val="nil"/>
                    <w:tr2bl w:val="nil"/>
                  </w:tcBorders>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rPr>
                    <w:t>200</w:t>
                  </w:r>
                </w:p>
              </w:tc>
              <w:tc>
                <w:tcPr>
                  <w:tcW w:w="977" w:type="dxa"/>
                  <w:tcBorders>
                    <w:tl2br w:val="nil"/>
                    <w:tr2bl w:val="nil"/>
                  </w:tcBorders>
                  <w:vAlign w:val="center"/>
                </w:tcPr>
                <w:p>
                  <w:pPr>
                    <w:pStyle w:val="25"/>
                    <w:bidi w:val="0"/>
                    <w:rPr>
                      <w:rFonts w:hint="default"/>
                      <w:lang w:val="en-US" w:eastAsia="zh-CN"/>
                    </w:rPr>
                  </w:pPr>
                  <w:r>
                    <w:rPr>
                      <w:rFonts w:hint="eastAsia"/>
                      <w:lang w:val="en-US" w:eastAsia="zh-CN"/>
                    </w:rPr>
                    <w:t>0.0288</w:t>
                  </w:r>
                </w:p>
              </w:tc>
              <w:tc>
                <w:tcPr>
                  <w:tcW w:w="783" w:type="dxa"/>
                  <w:vMerge w:val="continue"/>
                  <w:tcBorders>
                    <w:tl2br w:val="nil"/>
                    <w:tr2bl w:val="nil"/>
                  </w:tcBorders>
                  <w:vAlign w:val="top"/>
                </w:tcPr>
                <w:p>
                  <w:pPr>
                    <w:pStyle w:val="25"/>
                    <w:bidi w:val="0"/>
                    <w:ind w:firstLine="0" w:firstLineChars="0"/>
                    <w:rPr>
                      <w:rFonts w:ascii="Times New Roman" w:hAnsi="Times New Roman" w:eastAsia="宋体" w:cs="Times New Roman"/>
                      <w:kern w:val="2"/>
                      <w:sz w:val="21"/>
                      <w:szCs w:val="21"/>
                      <w:lang w:val="en-US" w:eastAsia="zh-CN" w:bidi="ar-SA"/>
                    </w:rPr>
                  </w:pPr>
                </w:p>
              </w:tc>
              <w:tc>
                <w:tcPr>
                  <w:tcW w:w="813" w:type="dxa"/>
                  <w:tcBorders>
                    <w:tl2br w:val="nil"/>
                    <w:tr2bl w:val="nil"/>
                  </w:tcBorders>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2</w:t>
                  </w:r>
                  <w:r>
                    <w:rPr>
                      <w:rFonts w:hint="eastAsia"/>
                    </w:rPr>
                    <w:t>0</w:t>
                  </w:r>
                  <w:r>
                    <w:t>%</w:t>
                  </w:r>
                </w:p>
              </w:tc>
              <w:tc>
                <w:tcPr>
                  <w:tcW w:w="806" w:type="dxa"/>
                  <w:tcBorders>
                    <w:tl2br w:val="nil"/>
                    <w:tr2bl w:val="nil"/>
                  </w:tcBorders>
                  <w:vAlign w:val="center"/>
                </w:tcPr>
                <w:p>
                  <w:pPr>
                    <w:pStyle w:val="25"/>
                    <w:bidi w:val="0"/>
                    <w:rPr>
                      <w:rFonts w:hint="default"/>
                      <w:lang w:val="en-US" w:eastAsia="zh-CN"/>
                    </w:rPr>
                  </w:pPr>
                  <w:r>
                    <w:rPr>
                      <w:rFonts w:hint="default"/>
                      <w:lang w:val="en-US" w:eastAsia="zh-CN"/>
                    </w:rPr>
                    <w:t>160</w:t>
                  </w:r>
                </w:p>
              </w:tc>
              <w:tc>
                <w:tcPr>
                  <w:tcW w:w="998" w:type="dxa"/>
                  <w:tcBorders>
                    <w:tl2br w:val="nil"/>
                    <w:tr2bl w:val="nil"/>
                  </w:tcBorders>
                  <w:vAlign w:val="center"/>
                </w:tcPr>
                <w:p>
                  <w:pPr>
                    <w:pStyle w:val="25"/>
                    <w:bidi w:val="0"/>
                    <w:rPr>
                      <w:rFonts w:hint="default"/>
                      <w:lang w:val="en-US" w:eastAsia="zh-CN"/>
                    </w:rPr>
                  </w:pPr>
                  <w:r>
                    <w:rPr>
                      <w:rFonts w:hint="default"/>
                      <w:lang w:val="en-US" w:eastAsia="zh-CN"/>
                    </w:rPr>
                    <w:t>0.023</w:t>
                  </w:r>
                </w:p>
              </w:tc>
              <w:tc>
                <w:tcPr>
                  <w:tcW w:w="921" w:type="dxa"/>
                  <w:tcBorders>
                    <w:tl2br w:val="nil"/>
                    <w:tr2bl w:val="nil"/>
                  </w:tcBorders>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rPr>
                    <w:t>200</w:t>
                  </w:r>
                </w:p>
              </w:tc>
              <w:tc>
                <w:tcPr>
                  <w:tcW w:w="1187" w:type="dxa"/>
                  <w:tcBorders>
                    <w:tl2br w:val="nil"/>
                    <w:tr2bl w:val="nil"/>
                  </w:tcBorders>
                  <w:vAlign w:val="center"/>
                </w:tcPr>
                <w:p>
                  <w:pPr>
                    <w:pStyle w:val="25"/>
                    <w:bidi w:val="0"/>
                    <w:rPr>
                      <w:rFonts w:hint="default"/>
                      <w:lang w:val="en-US" w:eastAsia="zh-CN"/>
                    </w:rPr>
                  </w:pPr>
                  <w:r>
                    <w:rPr>
                      <w:rFonts w:hint="default"/>
                      <w:lang w:val="en-US" w:eastAsia="zh-CN"/>
                    </w:rPr>
                    <w:t>0.029</w:t>
                  </w:r>
                </w:p>
              </w:tc>
              <w:tc>
                <w:tcPr>
                  <w:tcW w:w="2035" w:type="dxa"/>
                  <w:vMerge w:val="continue"/>
                  <w:tcBorders>
                    <w:tl2br w:val="nil"/>
                    <w:tr2bl w:val="nil"/>
                  </w:tcBorders>
                  <w:vAlign w:val="center"/>
                </w:tcPr>
                <w:p>
                  <w:pPr>
                    <w:pStyle w:val="25"/>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 w:hRule="atLeast"/>
                <w:jc w:val="center"/>
              </w:trPr>
              <w:tc>
                <w:tcPr>
                  <w:tcW w:w="807" w:type="dxa"/>
                  <w:vMerge w:val="continue"/>
                </w:tcPr>
                <w:p>
                  <w:pPr>
                    <w:pStyle w:val="25"/>
                    <w:bidi w:val="0"/>
                  </w:pPr>
                </w:p>
              </w:tc>
              <w:tc>
                <w:tcPr>
                  <w:tcW w:w="891" w:type="dxa"/>
                  <w:vMerge w:val="continue"/>
                </w:tcPr>
                <w:p>
                  <w:pPr>
                    <w:pStyle w:val="25"/>
                    <w:bidi w:val="0"/>
                  </w:pPr>
                </w:p>
              </w:tc>
              <w:tc>
                <w:tcPr>
                  <w:tcW w:w="844" w:type="dxa"/>
                  <w:vMerge w:val="continue"/>
                </w:tcPr>
                <w:p>
                  <w:pPr>
                    <w:pStyle w:val="25"/>
                    <w:bidi w:val="0"/>
                  </w:pPr>
                </w:p>
              </w:tc>
              <w:tc>
                <w:tcPr>
                  <w:tcW w:w="0" w:type="auto"/>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rPr>
                    <w:t>氨氮</w:t>
                  </w:r>
                </w:p>
              </w:tc>
              <w:tc>
                <w:tcPr>
                  <w:tcW w:w="0" w:type="auto"/>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rPr>
                    <w:t>25</w:t>
                  </w:r>
                </w:p>
              </w:tc>
              <w:tc>
                <w:tcPr>
                  <w:tcW w:w="977" w:type="dxa"/>
                  <w:vAlign w:val="center"/>
                </w:tcPr>
                <w:p>
                  <w:pPr>
                    <w:pStyle w:val="25"/>
                    <w:bidi w:val="0"/>
                    <w:rPr>
                      <w:rFonts w:hint="default"/>
                      <w:lang w:val="en-US" w:eastAsia="zh-CN"/>
                    </w:rPr>
                  </w:pPr>
                  <w:r>
                    <w:rPr>
                      <w:rFonts w:hint="eastAsia"/>
                      <w:lang w:val="en-US" w:eastAsia="zh-CN"/>
                    </w:rPr>
                    <w:t>0.0036</w:t>
                  </w:r>
                </w:p>
              </w:tc>
              <w:tc>
                <w:tcPr>
                  <w:tcW w:w="783" w:type="dxa"/>
                  <w:vMerge w:val="continue"/>
                  <w:vAlign w:val="center"/>
                </w:tcPr>
                <w:p>
                  <w:pPr>
                    <w:pStyle w:val="25"/>
                    <w:bidi w:val="0"/>
                    <w:ind w:firstLine="0" w:firstLineChars="0"/>
                    <w:rPr>
                      <w:rFonts w:ascii="Times New Roman" w:hAnsi="Times New Roman" w:eastAsia="宋体" w:cs="Times New Roman"/>
                      <w:kern w:val="2"/>
                      <w:sz w:val="21"/>
                      <w:szCs w:val="21"/>
                      <w:lang w:val="en-US" w:eastAsia="zh-CN" w:bidi="ar-SA"/>
                    </w:rPr>
                  </w:pPr>
                </w:p>
              </w:tc>
              <w:tc>
                <w:tcPr>
                  <w:tcW w:w="0" w:type="auto"/>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806" w:type="dxa"/>
                  <w:vAlign w:val="center"/>
                </w:tcPr>
                <w:p>
                  <w:pPr>
                    <w:pStyle w:val="25"/>
                    <w:bidi w:val="0"/>
                    <w:rPr>
                      <w:rFonts w:hint="default"/>
                      <w:lang w:val="en-US" w:eastAsia="zh-CN"/>
                    </w:rPr>
                  </w:pPr>
                  <w:r>
                    <w:rPr>
                      <w:rFonts w:hint="default"/>
                      <w:lang w:val="en-US" w:eastAsia="zh-CN"/>
                    </w:rPr>
                    <w:t>25</w:t>
                  </w:r>
                </w:p>
              </w:tc>
              <w:tc>
                <w:tcPr>
                  <w:tcW w:w="998" w:type="dxa"/>
                  <w:vAlign w:val="center"/>
                </w:tcPr>
                <w:p>
                  <w:pPr>
                    <w:pStyle w:val="25"/>
                    <w:bidi w:val="0"/>
                    <w:rPr>
                      <w:rFonts w:hint="default"/>
                      <w:lang w:val="en-US" w:eastAsia="zh-CN"/>
                    </w:rPr>
                  </w:pPr>
                  <w:r>
                    <w:rPr>
                      <w:rFonts w:hint="default"/>
                      <w:lang w:val="en-US" w:eastAsia="zh-CN"/>
                    </w:rPr>
                    <w:t>0.004</w:t>
                  </w:r>
                </w:p>
              </w:tc>
              <w:tc>
                <w:tcPr>
                  <w:tcW w:w="0" w:type="auto"/>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rPr>
                    <w:t>35</w:t>
                  </w:r>
                </w:p>
              </w:tc>
              <w:tc>
                <w:tcPr>
                  <w:tcW w:w="1187" w:type="dxa"/>
                  <w:vAlign w:val="center"/>
                </w:tcPr>
                <w:p>
                  <w:pPr>
                    <w:pStyle w:val="25"/>
                    <w:bidi w:val="0"/>
                    <w:rPr>
                      <w:rFonts w:hint="default"/>
                      <w:lang w:val="en-US" w:eastAsia="zh-CN"/>
                    </w:rPr>
                  </w:pPr>
                  <w:r>
                    <w:rPr>
                      <w:rFonts w:hint="default"/>
                      <w:lang w:val="en-US" w:eastAsia="zh-CN"/>
                    </w:rPr>
                    <w:t>0.005</w:t>
                  </w:r>
                </w:p>
              </w:tc>
              <w:tc>
                <w:tcPr>
                  <w:tcW w:w="2035" w:type="dxa"/>
                  <w:vMerge w:val="continue"/>
                </w:tcPr>
                <w:p>
                  <w:pPr>
                    <w:pStyle w:val="25"/>
                    <w:bidi w:val="0"/>
                  </w:pPr>
                </w:p>
              </w:tc>
            </w:tr>
          </w:tbl>
          <w:p>
            <w:pPr>
              <w:pStyle w:val="24"/>
            </w:pPr>
          </w:p>
          <w:p>
            <w:pPr>
              <w:pStyle w:val="24"/>
            </w:pPr>
          </w:p>
          <w:p>
            <w:pPr>
              <w:pStyle w:val="18"/>
              <w:jc w:val="center"/>
              <w:outlineLvl w:val="0"/>
              <w:rPr>
                <w:rFonts w:hint="eastAsia" w:ascii="黑体" w:hAnsi="黑体" w:eastAsia="黑体"/>
                <w:snapToGrid w:val="0"/>
                <w:sz w:val="30"/>
                <w:szCs w:val="30"/>
                <w:vertAlign w:val="baseline"/>
              </w:rPr>
            </w:pPr>
          </w:p>
          <w:p>
            <w:pPr>
              <w:pStyle w:val="18"/>
              <w:jc w:val="center"/>
              <w:outlineLvl w:val="0"/>
              <w:rPr>
                <w:rFonts w:hint="eastAsia" w:ascii="黑体" w:hAnsi="黑体" w:eastAsia="黑体"/>
                <w:snapToGrid w:val="0"/>
                <w:sz w:val="30"/>
                <w:szCs w:val="30"/>
                <w:vertAlign w:val="baseline"/>
              </w:rPr>
            </w:pPr>
          </w:p>
        </w:tc>
      </w:tr>
    </w:tbl>
    <w:p>
      <w:pPr>
        <w:pStyle w:val="18"/>
        <w:jc w:val="center"/>
        <w:outlineLvl w:val="0"/>
        <w:rPr>
          <w:rFonts w:hint="eastAsia" w:ascii="黑体" w:hAnsi="黑体" w:eastAsia="黑体"/>
          <w:snapToGrid w:val="0"/>
          <w:sz w:val="30"/>
          <w:szCs w:val="30"/>
        </w:rPr>
        <w:sectPr>
          <w:pgSz w:w="16838" w:h="11905" w:orient="landscape"/>
          <w:pgMar w:top="1417" w:right="1440" w:bottom="1417" w:left="1440" w:header="851" w:footer="850" w:gutter="0"/>
          <w:pgNumType w:fmt="decimal"/>
          <w:cols w:space="0" w:num="1"/>
          <w:rtlGutter w:val="0"/>
          <w:docGrid w:type="lines" w:linePitch="312" w:charSpace="0"/>
        </w:sectPr>
      </w:pP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82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运营</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期环</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境影</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响和</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保护</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措施</w:t>
            </w:r>
          </w:p>
        </w:tc>
        <w:tc>
          <w:tcPr>
            <w:tcW w:w="8190" w:type="dxa"/>
            <w:noWrap w:val="0"/>
            <w:vAlign w:val="center"/>
          </w:tcPr>
          <w:p>
            <w:pPr>
              <w:bidi w:val="0"/>
              <w:rPr>
                <w:b/>
                <w:bCs/>
              </w:rPr>
            </w:pPr>
            <w:r>
              <w:rPr>
                <w:rFonts w:hint="eastAsia"/>
                <w:b/>
                <w:bCs/>
              </w:rPr>
              <w:t>2</w:t>
            </w:r>
            <w:r>
              <w:rPr>
                <w:rFonts w:hint="eastAsia"/>
                <w:b/>
                <w:bCs/>
                <w:lang w:eastAsia="zh-CN"/>
              </w:rPr>
              <w:t>、</w:t>
            </w:r>
            <w:r>
              <w:rPr>
                <w:rFonts w:hint="eastAsia"/>
                <w:b/>
                <w:bCs/>
              </w:rPr>
              <w:t>达标排放分析</w:t>
            </w:r>
          </w:p>
          <w:p>
            <w:pPr>
              <w:ind w:firstLine="480"/>
            </w:pPr>
            <w:r>
              <w:t>生活污水主要污染物为：CODcr300mg/L、BOD</w:t>
            </w:r>
            <w:r>
              <w:rPr>
                <w:vertAlign w:val="subscript"/>
              </w:rPr>
              <w:t>5</w:t>
            </w:r>
            <w:r>
              <w:t>150mg/L、SS200mg/L、NH</w:t>
            </w:r>
            <w:r>
              <w:rPr>
                <w:vertAlign w:val="subscript"/>
              </w:rPr>
              <w:t>3</w:t>
            </w:r>
            <w:r>
              <w:t>-N25mg/L。</w:t>
            </w:r>
            <w:r>
              <w:rPr>
                <w:rFonts w:hint="eastAsia"/>
              </w:rPr>
              <w:t>项目生活废水经</w:t>
            </w:r>
            <w:r>
              <w:rPr>
                <w:rFonts w:hint="default"/>
              </w:rPr>
              <w:t>安徽省泗县友前木片餐盒有限公司</w:t>
            </w:r>
            <w:r>
              <w:rPr>
                <w:rFonts w:hint="eastAsia"/>
                <w:lang w:eastAsia="zh-CN"/>
              </w:rPr>
              <w:t>现有</w:t>
            </w:r>
            <w:r>
              <w:rPr>
                <w:rFonts w:hint="eastAsia"/>
              </w:rPr>
              <w:t>化粪池</w:t>
            </w:r>
            <w:r>
              <w:rPr>
                <w:rFonts w:hint="eastAsia"/>
                <w:lang w:eastAsia="zh-CN"/>
              </w:rPr>
              <w:t>预</w:t>
            </w:r>
            <w:r>
              <w:rPr>
                <w:rFonts w:hint="eastAsia"/>
              </w:rPr>
              <w:t>处理后出水水质可符合《污水综合排放标准》（</w:t>
            </w:r>
            <w:r>
              <w:t>GB8978-1996</w:t>
            </w:r>
            <w:r>
              <w:rPr>
                <w:rFonts w:hint="eastAsia"/>
              </w:rPr>
              <w:t>）</w:t>
            </w:r>
            <w:r>
              <w:t>中的排放标准</w:t>
            </w:r>
            <w:r>
              <w:rPr>
                <w:rFonts w:hint="eastAsia"/>
              </w:rPr>
              <w:t>要求及大庄镇污水处理厂的进水水质指标要求（</w:t>
            </w:r>
            <w:r>
              <w:t>COD</w:t>
            </w:r>
            <w:r>
              <w:rPr>
                <w:rFonts w:hint="eastAsia"/>
              </w:rPr>
              <w:t>≤35</w:t>
            </w:r>
            <w:r>
              <w:t>0mg/L</w:t>
            </w:r>
            <w:r>
              <w:rPr>
                <w:rFonts w:hint="eastAsia"/>
              </w:rPr>
              <w:t>、</w:t>
            </w:r>
            <w:r>
              <w:t>BOD</w:t>
            </w:r>
            <w:r>
              <w:rPr>
                <w:vertAlign w:val="subscript"/>
              </w:rPr>
              <w:t>5</w:t>
            </w:r>
            <w:r>
              <w:rPr>
                <w:rFonts w:hint="eastAsia"/>
              </w:rPr>
              <w:t>≤2</w:t>
            </w:r>
            <w:r>
              <w:t>00mg/L</w:t>
            </w:r>
            <w:r>
              <w:rPr>
                <w:rFonts w:hint="eastAsia"/>
              </w:rPr>
              <w:t>、</w:t>
            </w:r>
            <w:r>
              <w:t>SS</w:t>
            </w:r>
            <w:r>
              <w:rPr>
                <w:rFonts w:hint="eastAsia"/>
              </w:rPr>
              <w:t>≤2</w:t>
            </w:r>
            <w:r>
              <w:t>00mg/L</w:t>
            </w:r>
            <w:r>
              <w:rPr>
                <w:rFonts w:hint="eastAsia"/>
              </w:rPr>
              <w:t>、</w:t>
            </w:r>
            <w:r>
              <w:t>氨氮</w:t>
            </w:r>
            <w:r>
              <w:rPr>
                <w:rFonts w:hint="eastAsia"/>
              </w:rPr>
              <w:t>≤35</w:t>
            </w:r>
            <w:r>
              <w:t>mg/L</w:t>
            </w:r>
            <w:r>
              <w:rPr>
                <w:rFonts w:hint="eastAsia"/>
              </w:rPr>
              <w:t>）。</w:t>
            </w:r>
          </w:p>
          <w:p>
            <w:pPr>
              <w:bidi w:val="0"/>
              <w:rPr>
                <w:b/>
                <w:bCs/>
              </w:rPr>
            </w:pPr>
            <w:r>
              <w:rPr>
                <w:rFonts w:hint="eastAsia"/>
                <w:b/>
                <w:bCs/>
              </w:rPr>
              <w:t>3</w:t>
            </w:r>
            <w:r>
              <w:rPr>
                <w:rFonts w:hint="eastAsia"/>
                <w:b/>
                <w:bCs/>
                <w:lang w:eastAsia="zh-CN"/>
              </w:rPr>
              <w:t>、</w:t>
            </w:r>
            <w:r>
              <w:rPr>
                <w:rFonts w:hint="eastAsia"/>
                <w:b/>
                <w:bCs/>
              </w:rPr>
              <w:t>大庄镇污水处理厂接管可行性</w:t>
            </w:r>
          </w:p>
          <w:p>
            <w:pPr>
              <w:ind w:firstLine="480"/>
            </w:pPr>
            <w:r>
              <w:rPr>
                <w:rFonts w:hint="eastAsia"/>
              </w:rPr>
              <w:t>大庄镇污水处理厂位于大庄镇东风大道东侧、丰收沟南侧，设计规模为</w:t>
            </w:r>
            <w:r>
              <w:t>1000m</w:t>
            </w:r>
            <w:r>
              <w:rPr>
                <w:vertAlign w:val="superscript"/>
              </w:rPr>
              <w:t>3</w:t>
            </w:r>
            <w:r>
              <w:t>/d</w:t>
            </w:r>
            <w:r>
              <w:rPr>
                <w:rFonts w:hint="eastAsia"/>
              </w:rPr>
              <w:t>，</w:t>
            </w:r>
            <w:r>
              <w:t>服务范围为</w:t>
            </w:r>
            <w:r>
              <w:rPr>
                <w:rFonts w:hint="eastAsia"/>
              </w:rPr>
              <w:t>大庄镇镇区和大庄镇工业聚集区。大庄镇污水处理厂处理工艺为</w:t>
            </w:r>
            <w:r>
              <w:rPr>
                <w:rFonts w:hint="eastAsia"/>
                <w:lang w:eastAsia="zh-CN"/>
              </w:rPr>
              <w:t>“</w:t>
            </w:r>
            <w:r>
              <w:rPr>
                <w:rFonts w:hint="eastAsia"/>
              </w:rPr>
              <w:t>组合调节池+一体化污水处理设备（MBR膜处理系统）+紫外消毒</w:t>
            </w:r>
            <w:r>
              <w:rPr>
                <w:rFonts w:hint="eastAsia"/>
                <w:lang w:eastAsia="zh-CN"/>
              </w:rPr>
              <w:t>”</w:t>
            </w:r>
            <w:r>
              <w:rPr>
                <w:rFonts w:hint="eastAsia"/>
              </w:rPr>
              <w:t>，</w:t>
            </w:r>
            <w:r>
              <w:t>污水处理厂处理达标后的尾水最终排入</w:t>
            </w:r>
            <w:r>
              <w:rPr>
                <w:rFonts w:hint="eastAsia"/>
              </w:rPr>
              <w:t>老濉河</w:t>
            </w:r>
            <w:r>
              <w:t>。</w:t>
            </w:r>
          </w:p>
          <w:p>
            <w:pPr>
              <w:ind w:firstLine="480"/>
            </w:pPr>
            <w:r>
              <w:t>项目所在地位于</w:t>
            </w:r>
            <w:r>
              <w:rPr>
                <w:rFonts w:hint="eastAsia"/>
              </w:rPr>
              <w:t>大庄镇工业聚集区</w:t>
            </w:r>
            <w:r>
              <w:t>属于</w:t>
            </w:r>
            <w:r>
              <w:rPr>
                <w:rFonts w:hint="eastAsia"/>
              </w:rPr>
              <w:t>大庄镇污水处理厂</w:t>
            </w:r>
            <w:r>
              <w:t>的收水范围之内，本项目污水排放量较小，对</w:t>
            </w:r>
            <w:r>
              <w:rPr>
                <w:rFonts w:hint="eastAsia"/>
              </w:rPr>
              <w:t>大庄镇污水处理厂</w:t>
            </w:r>
            <w:r>
              <w:t>运营负荷产生的影响较小。</w:t>
            </w:r>
          </w:p>
          <w:p>
            <w:pPr>
              <w:ind w:firstLine="480"/>
            </w:pPr>
            <w:r>
              <w:t>综上，本项目生活污水经</w:t>
            </w:r>
            <w:r>
              <w:rPr>
                <w:rFonts w:hint="eastAsia"/>
              </w:rPr>
              <w:t>化粪池</w:t>
            </w:r>
            <w:r>
              <w:t>预处理后，接管进入</w:t>
            </w:r>
            <w:r>
              <w:rPr>
                <w:rFonts w:hint="eastAsia"/>
              </w:rPr>
              <w:t>大庄镇</w:t>
            </w:r>
            <w:r>
              <w:t>污水处理厂是可行的</w:t>
            </w:r>
            <w:r>
              <w:rPr>
                <w:rFonts w:hint="eastAsia"/>
              </w:rPr>
              <w:t>。</w:t>
            </w:r>
          </w:p>
          <w:p>
            <w:pPr>
              <w:bidi w:val="0"/>
              <w:rPr>
                <w:rFonts w:hint="eastAsia"/>
                <w:b/>
                <w:bCs/>
                <w:lang w:eastAsia="zh-CN"/>
              </w:rPr>
            </w:pPr>
            <w:r>
              <w:rPr>
                <w:rFonts w:hint="eastAsia"/>
                <w:b/>
                <w:bCs/>
                <w:lang w:val="en-US" w:eastAsia="zh-CN"/>
              </w:rPr>
              <w:t>4、</w:t>
            </w:r>
            <w:r>
              <w:rPr>
                <w:rFonts w:hint="eastAsia"/>
                <w:b/>
                <w:bCs/>
                <w:lang w:eastAsia="zh-CN"/>
              </w:rPr>
              <w:t>监测计划</w:t>
            </w:r>
          </w:p>
          <w:p>
            <w:pPr>
              <w:bidi w:val="0"/>
              <w:rPr>
                <w:rFonts w:hint="eastAsia"/>
                <w:b w:val="0"/>
                <w:bCs w:val="0"/>
              </w:rPr>
            </w:pPr>
            <w:r>
              <w:rPr>
                <w:rFonts w:hint="eastAsia"/>
                <w:color w:val="auto"/>
                <w:sz w:val="24"/>
                <w:szCs w:val="18"/>
                <w:lang w:val="en-US" w:eastAsia="zh-CN"/>
              </w:rPr>
              <w:t>根据</w:t>
            </w:r>
            <w:r>
              <w:rPr>
                <w:rFonts w:hint="eastAsia"/>
                <w:color w:val="auto"/>
                <w:lang w:val="en-US" w:eastAsia="zh-CN"/>
              </w:rPr>
              <w:t>《排污许可证申请与核发技术规范 人造板工业》（HJ1032-2019）</w:t>
            </w:r>
            <w:r>
              <w:rPr>
                <w:rFonts w:hint="default" w:ascii="Times New Roman" w:hAnsi="Times New Roman" w:eastAsia="宋体" w:cs="Times New Roman"/>
                <w:b w:val="0"/>
                <w:bCs w:val="0"/>
                <w:color w:val="auto"/>
                <w:kern w:val="2"/>
                <w:sz w:val="24"/>
                <w:szCs w:val="24"/>
                <w:vertAlign w:val="baseline"/>
                <w:lang w:val="en-US" w:eastAsia="zh-CN" w:bidi="ar-SA"/>
              </w:rPr>
              <w:t>中要</w:t>
            </w:r>
            <w:r>
              <w:rPr>
                <w:rFonts w:hint="eastAsia" w:ascii="Times New Roman" w:hAnsi="Times New Roman" w:eastAsia="宋体" w:cs="Times New Roman"/>
                <w:b w:val="0"/>
                <w:bCs w:val="0"/>
                <w:color w:val="auto"/>
                <w:kern w:val="2"/>
                <w:sz w:val="24"/>
                <w:szCs w:val="24"/>
                <w:vertAlign w:val="baseline"/>
                <w:lang w:val="en-US" w:eastAsia="zh-CN" w:bidi="ar-SA"/>
              </w:rPr>
              <w:t>求，本项目废水无自行监测要求。</w:t>
            </w:r>
          </w:p>
          <w:p>
            <w:pPr>
              <w:bidi w:val="0"/>
              <w:rPr>
                <w:b/>
                <w:bCs/>
              </w:rPr>
            </w:pPr>
            <w:r>
              <w:rPr>
                <w:rFonts w:hint="eastAsia"/>
                <w:b/>
                <w:bCs/>
                <w:lang w:eastAsia="zh-CN"/>
              </w:rPr>
              <w:t>三、</w:t>
            </w:r>
            <w:r>
              <w:rPr>
                <w:b/>
                <w:bCs/>
              </w:rPr>
              <w:t>噪声</w:t>
            </w:r>
          </w:p>
          <w:p>
            <w:pPr>
              <w:ind w:firstLine="482"/>
              <w:rPr>
                <w:b/>
                <w:bCs/>
                <w:snapToGrid/>
                <w:kern w:val="2"/>
              </w:rPr>
            </w:pPr>
            <w:r>
              <w:rPr>
                <w:rFonts w:hint="eastAsia"/>
                <w:b/>
                <w:bCs/>
                <w:lang w:val="en-US" w:eastAsia="zh-CN"/>
              </w:rPr>
              <w:t>1、</w:t>
            </w:r>
            <w:r>
              <w:rPr>
                <w:b/>
                <w:bCs/>
              </w:rPr>
              <w:t>噪声环境影响分析</w:t>
            </w:r>
          </w:p>
          <w:p>
            <w:pPr>
              <w:ind w:firstLine="480"/>
              <w:rPr>
                <w:color w:val="000000"/>
              </w:rPr>
            </w:pPr>
            <w:r>
              <w:rPr>
                <w:color w:val="000000"/>
              </w:rPr>
              <w:t>根据《环境影响评价技术导则 声环境》（HJ2.4-20</w:t>
            </w:r>
            <w:r>
              <w:rPr>
                <w:rFonts w:hint="eastAsia"/>
                <w:color w:val="000000"/>
              </w:rPr>
              <w:t>21</w:t>
            </w:r>
            <w:r>
              <w:rPr>
                <w:color w:val="000000"/>
              </w:rPr>
              <w:t>）的技术要求，本次评价采取导则上推荐模式。</w:t>
            </w:r>
          </w:p>
          <w:p>
            <w:pPr>
              <w:autoSpaceDE w:val="0"/>
              <w:autoSpaceDN w:val="0"/>
              <w:ind w:firstLine="480"/>
              <w:rPr>
                <w:rFonts w:hint="eastAsia"/>
                <w:color w:val="000000"/>
              </w:rPr>
            </w:pPr>
            <w:r>
              <w:rPr>
                <w:color w:val="000000"/>
              </w:rPr>
              <w:t>①</w:t>
            </w:r>
            <w:r>
              <w:rPr>
                <w:rFonts w:hint="eastAsia"/>
                <w:color w:val="000000"/>
              </w:rPr>
              <w:t>室内声源等效室外声源声功率级计算方法</w:t>
            </w:r>
          </w:p>
          <w:p>
            <w:pPr>
              <w:ind w:firstLine="480"/>
              <w:jc w:val="center"/>
              <w:rPr>
                <w:iCs/>
                <w:color w:val="000000"/>
              </w:rPr>
            </w:pPr>
            <w:r>
              <w:rPr>
                <w:color w:val="000000"/>
              </w:rPr>
              <w:drawing>
                <wp:inline distT="0" distB="0" distL="114300" distR="114300">
                  <wp:extent cx="1570355" cy="424815"/>
                  <wp:effectExtent l="0" t="0" r="10795" b="13335"/>
                  <wp:docPr id="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
                          <pic:cNvPicPr>
                            <a:picLocks noChangeAspect="1"/>
                          </pic:cNvPicPr>
                        </pic:nvPicPr>
                        <pic:blipFill>
                          <a:blip r:embed="rId17"/>
                          <a:stretch>
                            <a:fillRect/>
                          </a:stretch>
                        </pic:blipFill>
                        <pic:spPr>
                          <a:xfrm>
                            <a:off x="0" y="0"/>
                            <a:ext cx="1570355" cy="424815"/>
                          </a:xfrm>
                          <a:prstGeom prst="rect">
                            <a:avLst/>
                          </a:prstGeom>
                          <a:noFill/>
                          <a:ln>
                            <a:noFill/>
                          </a:ln>
                        </pic:spPr>
                      </pic:pic>
                    </a:graphicData>
                  </a:graphic>
                </wp:inline>
              </w:drawing>
            </w:r>
          </w:p>
          <w:p>
            <w:pPr>
              <w:autoSpaceDE w:val="0"/>
              <w:autoSpaceDN w:val="0"/>
              <w:ind w:firstLine="480"/>
              <w:rPr>
                <w:color w:val="000000"/>
              </w:rPr>
            </w:pPr>
            <w:r>
              <w:rPr>
                <w:color w:val="000000"/>
              </w:rPr>
              <w:t>式中：</w:t>
            </w:r>
            <w:r>
              <w:rPr>
                <w:bCs/>
                <w:i/>
                <w:iCs/>
                <w:color w:val="000000"/>
              </w:rPr>
              <w:t>L</w:t>
            </w:r>
            <w:r>
              <w:rPr>
                <w:rFonts w:hint="eastAsia"/>
                <w:bCs/>
                <w:i/>
                <w:iCs/>
                <w:color w:val="000000"/>
                <w:vertAlign w:val="subscript"/>
              </w:rPr>
              <w:t>p1</w:t>
            </w:r>
            <w:r>
              <w:rPr>
                <w:color w:val="000000"/>
              </w:rPr>
              <w:t>—</w:t>
            </w:r>
            <w:r>
              <w:rPr>
                <w:rFonts w:hint="eastAsia"/>
                <w:color w:val="000000"/>
              </w:rPr>
              <w:t>靠近开口处（或窗户）室内某倍频带的声压级或A声级，dB</w:t>
            </w:r>
            <w:r>
              <w:rPr>
                <w:color w:val="000000"/>
              </w:rPr>
              <w:t>；</w:t>
            </w:r>
          </w:p>
          <w:p>
            <w:pPr>
              <w:ind w:firstLine="1070" w:firstLineChars="446"/>
              <w:rPr>
                <w:b/>
                <w:i/>
                <w:iCs/>
                <w:color w:val="000000"/>
              </w:rPr>
            </w:pPr>
            <w:r>
              <w:rPr>
                <w:bCs/>
                <w:i/>
                <w:iCs/>
                <w:color w:val="000000"/>
              </w:rPr>
              <w:t>L</w:t>
            </w:r>
            <w:r>
              <w:rPr>
                <w:rFonts w:hint="eastAsia"/>
                <w:bCs/>
                <w:i/>
                <w:iCs/>
                <w:color w:val="000000"/>
                <w:vertAlign w:val="subscript"/>
              </w:rPr>
              <w:t>w</w:t>
            </w:r>
            <w:r>
              <w:rPr>
                <w:color w:val="000000"/>
              </w:rPr>
              <w:t>—</w:t>
            </w:r>
            <w:r>
              <w:rPr>
                <w:rFonts w:hint="eastAsia"/>
                <w:color w:val="000000"/>
              </w:rPr>
              <w:t>点声源声功率级（A计权或倍频带），dB</w:t>
            </w:r>
            <w:r>
              <w:rPr>
                <w:color w:val="000000"/>
              </w:rPr>
              <w:t>；</w:t>
            </w:r>
          </w:p>
          <w:p>
            <w:pPr>
              <w:ind w:firstLine="1070" w:firstLineChars="446"/>
              <w:rPr>
                <w:b/>
                <w:i/>
                <w:iCs/>
                <w:color w:val="000000"/>
              </w:rPr>
            </w:pPr>
            <w:r>
              <w:rPr>
                <w:rFonts w:hint="eastAsia"/>
                <w:bCs/>
                <w:i/>
                <w:iCs/>
                <w:color w:val="000000"/>
              </w:rPr>
              <w:t>Q</w:t>
            </w:r>
            <w:r>
              <w:rPr>
                <w:rFonts w:hint="eastAsia"/>
                <w:bCs/>
                <w:color w:val="000000"/>
              </w:rPr>
              <w:t>—指向性因数；通常对无指向性声源，当声源放在房间中心时，Q=1；当放在一面墙的中心时，Q=2；当放在两面墙夹角处时，Q=4；当放在三面墙夹角处时，Q=8；</w:t>
            </w:r>
          </w:p>
          <w:p>
            <w:pPr>
              <w:ind w:firstLine="1070" w:firstLineChars="446"/>
              <w:jc w:val="left"/>
              <w:rPr>
                <w:b/>
                <w:i/>
                <w:iCs/>
                <w:color w:val="000000"/>
              </w:rPr>
            </w:pPr>
            <w:r>
              <w:rPr>
                <w:rFonts w:hint="eastAsia"/>
                <w:bCs/>
                <w:i/>
                <w:iCs/>
                <w:color w:val="000000"/>
              </w:rPr>
              <w:t>R</w:t>
            </w:r>
            <w:r>
              <w:rPr>
                <w:color w:val="000000"/>
              </w:rPr>
              <w:t>—</w:t>
            </w:r>
            <w:r>
              <w:rPr>
                <w:rFonts w:hint="eastAsia"/>
                <w:color w:val="000000"/>
              </w:rPr>
              <w:t>房间常数；</w:t>
            </w:r>
            <w:r>
              <w:rPr>
                <w:rFonts w:hint="eastAsia"/>
                <w:i/>
                <w:iCs/>
                <w:color w:val="000000"/>
              </w:rPr>
              <w:t>R</w:t>
            </w:r>
            <w:r>
              <w:rPr>
                <w:rFonts w:hint="eastAsia"/>
                <w:color w:val="000000"/>
              </w:rPr>
              <w:t>=</w:t>
            </w:r>
            <w:r>
              <w:rPr>
                <w:rFonts w:hint="eastAsia"/>
                <w:i/>
                <w:iCs/>
                <w:color w:val="000000"/>
              </w:rPr>
              <w:t>S</w:t>
            </w:r>
            <w:r>
              <w:rPr>
                <w:rFonts w:ascii="Arial" w:hAnsi="Arial" w:cs="Arial"/>
                <w:i/>
                <w:iCs/>
                <w:color w:val="000000"/>
              </w:rPr>
              <w:t>α</w:t>
            </w:r>
            <w:r>
              <w:rPr>
                <w:rFonts w:hint="eastAsia"/>
                <w:color w:val="000000"/>
              </w:rPr>
              <w:t>/（1-</w:t>
            </w:r>
            <w:r>
              <w:rPr>
                <w:rFonts w:ascii="Arial" w:hAnsi="Arial" w:cs="Arial"/>
                <w:i/>
                <w:iCs/>
                <w:color w:val="000000"/>
              </w:rPr>
              <w:t>α</w:t>
            </w:r>
            <w:r>
              <w:rPr>
                <w:rFonts w:hint="eastAsia"/>
                <w:color w:val="000000"/>
              </w:rPr>
              <w:t>），</w:t>
            </w:r>
            <w:r>
              <w:rPr>
                <w:rFonts w:hint="eastAsia"/>
                <w:i/>
                <w:iCs/>
                <w:color w:val="000000"/>
              </w:rPr>
              <w:t>S</w:t>
            </w:r>
            <w:r>
              <w:rPr>
                <w:rFonts w:hint="eastAsia"/>
                <w:color w:val="000000"/>
              </w:rPr>
              <w:t>为房间内表面面积，m</w:t>
            </w:r>
            <w:r>
              <w:rPr>
                <w:rFonts w:hint="eastAsia"/>
                <w:color w:val="000000"/>
                <w:vertAlign w:val="superscript"/>
              </w:rPr>
              <w:t>2</w:t>
            </w:r>
            <w:r>
              <w:rPr>
                <w:rFonts w:hint="eastAsia"/>
                <w:color w:val="000000"/>
              </w:rPr>
              <w:t>；</w:t>
            </w:r>
            <w:r>
              <w:rPr>
                <w:rFonts w:ascii="Arial" w:hAnsi="Arial" w:cs="Arial"/>
                <w:i/>
                <w:iCs/>
                <w:color w:val="000000"/>
              </w:rPr>
              <w:t>α</w:t>
            </w:r>
            <w:r>
              <w:rPr>
                <w:rFonts w:hint="eastAsia"/>
                <w:color w:val="000000"/>
              </w:rPr>
              <w:t>为平均吸声系数</w:t>
            </w:r>
            <w:r>
              <w:rPr>
                <w:color w:val="000000"/>
              </w:rPr>
              <w:t>。</w:t>
            </w:r>
          </w:p>
          <w:p>
            <w:pPr>
              <w:tabs>
                <w:tab w:val="left" w:pos="2910"/>
              </w:tabs>
              <w:ind w:firstLine="1200" w:firstLineChars="500"/>
              <w:rPr>
                <w:color w:val="000000"/>
              </w:rPr>
            </w:pPr>
            <w:r>
              <w:rPr>
                <w:rFonts w:hint="eastAsia"/>
                <w:color w:val="000000"/>
              </w:rPr>
              <w:t>r—声源到靠近围护结构某点处的距离，m</w:t>
            </w:r>
          </w:p>
          <w:p>
            <w:pPr>
              <w:tabs>
                <w:tab w:val="left" w:pos="2910"/>
              </w:tabs>
              <w:ind w:firstLine="480"/>
              <w:rPr>
                <w:color w:val="000000"/>
              </w:rPr>
            </w:pPr>
            <w:r>
              <w:rPr>
                <w:color w:val="000000"/>
              </w:rPr>
              <w:t>②</w:t>
            </w:r>
            <w:r>
              <w:rPr>
                <w:rFonts w:hint="eastAsia"/>
                <w:color w:val="000000"/>
              </w:rPr>
              <w:t>所有室内声源在围护结构处产生的</w:t>
            </w:r>
            <w:r>
              <w:rPr>
                <w:rFonts w:hint="eastAsia"/>
                <w:i/>
                <w:iCs/>
                <w:color w:val="000000"/>
              </w:rPr>
              <w:t>i</w:t>
            </w:r>
            <w:r>
              <w:rPr>
                <w:rFonts w:hint="eastAsia"/>
                <w:color w:val="000000"/>
              </w:rPr>
              <w:t>倍频带叠加声压级</w:t>
            </w:r>
            <w:r>
              <w:rPr>
                <w:color w:val="000000"/>
              </w:rPr>
              <w:t>：</w:t>
            </w:r>
          </w:p>
          <w:p>
            <w:pPr>
              <w:tabs>
                <w:tab w:val="left" w:pos="2910"/>
              </w:tabs>
              <w:ind w:firstLine="480"/>
              <w:jc w:val="center"/>
              <w:rPr>
                <w:color w:val="000000"/>
              </w:rPr>
            </w:pPr>
            <w:r>
              <w:rPr>
                <w:color w:val="000000"/>
              </w:rPr>
              <w:drawing>
                <wp:inline distT="0" distB="0" distL="114300" distR="114300">
                  <wp:extent cx="1686560" cy="461645"/>
                  <wp:effectExtent l="0" t="0" r="8890" b="14605"/>
                  <wp:docPr id="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
                          <pic:cNvPicPr>
                            <a:picLocks noChangeAspect="1"/>
                          </pic:cNvPicPr>
                        </pic:nvPicPr>
                        <pic:blipFill>
                          <a:blip r:embed="rId18"/>
                          <a:stretch>
                            <a:fillRect/>
                          </a:stretch>
                        </pic:blipFill>
                        <pic:spPr>
                          <a:xfrm>
                            <a:off x="0" y="0"/>
                            <a:ext cx="1686560" cy="461645"/>
                          </a:xfrm>
                          <a:prstGeom prst="rect">
                            <a:avLst/>
                          </a:prstGeom>
                          <a:noFill/>
                          <a:ln>
                            <a:noFill/>
                          </a:ln>
                        </pic:spPr>
                      </pic:pic>
                    </a:graphicData>
                  </a:graphic>
                </wp:inline>
              </w:drawing>
            </w:r>
          </w:p>
          <w:p>
            <w:pPr>
              <w:tabs>
                <w:tab w:val="left" w:pos="2910"/>
              </w:tabs>
              <w:ind w:firstLine="480"/>
              <w:rPr>
                <w:color w:val="000000"/>
              </w:rPr>
            </w:pPr>
            <w:r>
              <w:rPr>
                <w:color w:val="000000"/>
              </w:rPr>
              <w:t>式中：</w:t>
            </w:r>
            <w:r>
              <w:rPr>
                <w:bCs/>
                <w:i/>
                <w:color w:val="000000"/>
              </w:rPr>
              <w:t>L</w:t>
            </w:r>
            <w:r>
              <w:rPr>
                <w:rFonts w:hint="eastAsia"/>
                <w:bCs/>
                <w:i/>
                <w:color w:val="000000"/>
                <w:vertAlign w:val="subscript"/>
              </w:rPr>
              <w:t>p1i</w:t>
            </w:r>
            <w:r>
              <w:rPr>
                <w:rFonts w:hint="eastAsia"/>
                <w:bCs/>
                <w:iCs/>
                <w:color w:val="000000"/>
              </w:rPr>
              <w:t>（</w:t>
            </w:r>
            <w:r>
              <w:rPr>
                <w:rFonts w:hint="eastAsia"/>
                <w:bCs/>
                <w:i/>
                <w:color w:val="000000"/>
              </w:rPr>
              <w:t>T</w:t>
            </w:r>
            <w:r>
              <w:rPr>
                <w:rFonts w:hint="eastAsia"/>
                <w:bCs/>
                <w:iCs/>
                <w:color w:val="000000"/>
              </w:rPr>
              <w:t>）</w:t>
            </w:r>
            <w:r>
              <w:rPr>
                <w:color w:val="000000"/>
              </w:rPr>
              <w:t>—</w:t>
            </w:r>
            <w:r>
              <w:rPr>
                <w:rFonts w:hint="eastAsia"/>
                <w:color w:val="000000"/>
              </w:rPr>
              <w:t>靠近围护结构处室内</w:t>
            </w:r>
            <w:r>
              <w:rPr>
                <w:rFonts w:hint="eastAsia"/>
                <w:i/>
                <w:iCs/>
                <w:color w:val="000000"/>
              </w:rPr>
              <w:t>N</w:t>
            </w:r>
            <w:r>
              <w:rPr>
                <w:rFonts w:hint="eastAsia"/>
                <w:color w:val="000000"/>
              </w:rPr>
              <w:t>个声源</w:t>
            </w:r>
            <w:r>
              <w:rPr>
                <w:rFonts w:hint="eastAsia"/>
                <w:i/>
                <w:iCs/>
                <w:color w:val="000000"/>
              </w:rPr>
              <w:t>i</w:t>
            </w:r>
            <w:r>
              <w:rPr>
                <w:rFonts w:hint="eastAsia"/>
                <w:color w:val="000000"/>
              </w:rPr>
              <w:t>倍频带的叠加声压级，dB</w:t>
            </w:r>
            <w:r>
              <w:rPr>
                <w:color w:val="000000"/>
              </w:rPr>
              <w:t>；</w:t>
            </w:r>
          </w:p>
          <w:p>
            <w:pPr>
              <w:autoSpaceDE w:val="0"/>
              <w:autoSpaceDN w:val="0"/>
              <w:ind w:firstLine="1108" w:firstLineChars="462"/>
              <w:rPr>
                <w:color w:val="000000"/>
              </w:rPr>
            </w:pPr>
            <w:r>
              <w:rPr>
                <w:bCs/>
                <w:i/>
                <w:iCs/>
                <w:color w:val="000000"/>
              </w:rPr>
              <w:t>L</w:t>
            </w:r>
            <w:r>
              <w:rPr>
                <w:rFonts w:hint="eastAsia"/>
                <w:bCs/>
                <w:i/>
                <w:color w:val="000000"/>
                <w:vertAlign w:val="subscript"/>
              </w:rPr>
              <w:t>p1ij</w:t>
            </w:r>
            <w:r>
              <w:rPr>
                <w:color w:val="000000"/>
              </w:rPr>
              <w:t>—</w:t>
            </w:r>
            <w:r>
              <w:rPr>
                <w:rFonts w:hint="eastAsia"/>
                <w:color w:val="000000"/>
              </w:rPr>
              <w:t>室内</w:t>
            </w:r>
            <w:r>
              <w:rPr>
                <w:rFonts w:hint="eastAsia"/>
                <w:i/>
                <w:iCs/>
                <w:color w:val="000000"/>
              </w:rPr>
              <w:t>j</w:t>
            </w:r>
            <w:r>
              <w:rPr>
                <w:rFonts w:hint="eastAsia"/>
                <w:color w:val="000000"/>
              </w:rPr>
              <w:t>声源</w:t>
            </w:r>
            <w:r>
              <w:rPr>
                <w:rFonts w:hint="eastAsia"/>
                <w:i/>
                <w:iCs/>
                <w:color w:val="000000"/>
              </w:rPr>
              <w:t>i</w:t>
            </w:r>
            <w:r>
              <w:rPr>
                <w:rFonts w:hint="eastAsia"/>
                <w:color w:val="000000"/>
              </w:rPr>
              <w:t>倍频带的声压级，dB</w:t>
            </w:r>
            <w:r>
              <w:rPr>
                <w:color w:val="000000"/>
              </w:rPr>
              <w:t>；</w:t>
            </w:r>
          </w:p>
          <w:p>
            <w:pPr>
              <w:autoSpaceDE w:val="0"/>
              <w:autoSpaceDN w:val="0"/>
              <w:ind w:firstLine="1108" w:firstLineChars="462"/>
              <w:rPr>
                <w:rFonts w:hint="eastAsia"/>
                <w:color w:val="000000"/>
              </w:rPr>
            </w:pPr>
            <w:r>
              <w:rPr>
                <w:rFonts w:hint="eastAsia"/>
                <w:bCs/>
                <w:i/>
                <w:iCs/>
                <w:color w:val="000000"/>
              </w:rPr>
              <w:t>N</w:t>
            </w:r>
            <w:r>
              <w:rPr>
                <w:color w:val="000000"/>
              </w:rPr>
              <w:t>—</w:t>
            </w:r>
            <w:r>
              <w:rPr>
                <w:rFonts w:hint="eastAsia"/>
                <w:color w:val="000000"/>
              </w:rPr>
              <w:t>室内声源总数。</w:t>
            </w:r>
          </w:p>
          <w:p>
            <w:pPr>
              <w:autoSpaceDE w:val="0"/>
              <w:autoSpaceDN w:val="0"/>
              <w:ind w:firstLine="1113" w:firstLineChars="462"/>
              <w:rPr>
                <w:color w:val="000000"/>
              </w:rPr>
            </w:pPr>
            <w:r>
              <w:rPr>
                <w:b/>
                <w:i/>
                <w:iCs/>
                <w:color w:val="000000"/>
              </w:rPr>
              <w:t>t</w:t>
            </w:r>
            <w:r>
              <w:rPr>
                <w:b/>
                <w:i/>
                <w:iCs/>
                <w:color w:val="000000"/>
                <w:vertAlign w:val="subscript"/>
              </w:rPr>
              <w:t>i</w:t>
            </w:r>
            <w:r>
              <w:rPr>
                <w:color w:val="000000"/>
              </w:rPr>
              <w:t>—</w:t>
            </w:r>
            <w:r>
              <w:rPr>
                <w:i/>
                <w:iCs/>
                <w:color w:val="000000"/>
              </w:rPr>
              <w:t>i</w:t>
            </w:r>
            <w:r>
              <w:rPr>
                <w:color w:val="000000"/>
              </w:rPr>
              <w:t>声源在T时段内的运行时间，s。</w:t>
            </w:r>
          </w:p>
          <w:p>
            <w:pPr>
              <w:autoSpaceDE w:val="0"/>
              <w:autoSpaceDN w:val="0"/>
              <w:ind w:firstLine="480"/>
              <w:rPr>
                <w:color w:val="000000"/>
              </w:rPr>
            </w:pPr>
            <w:r>
              <w:rPr>
                <w:rFonts w:hint="eastAsia"/>
                <w:color w:val="000000"/>
              </w:rPr>
              <w:t>③靠近室外围护结构处的声压级</w:t>
            </w:r>
            <w:r>
              <w:rPr>
                <w:color w:val="000000"/>
              </w:rPr>
              <w:t>：</w:t>
            </w:r>
          </w:p>
          <w:p>
            <w:pPr>
              <w:autoSpaceDE w:val="0"/>
              <w:autoSpaceDN w:val="0"/>
              <w:ind w:firstLine="480"/>
              <w:jc w:val="center"/>
              <w:rPr>
                <w:color w:val="000000"/>
                <w:szCs w:val="28"/>
              </w:rPr>
            </w:pPr>
            <w:r>
              <w:rPr>
                <w:rFonts w:hint="eastAsia"/>
                <w:i/>
                <w:iCs/>
                <w:color w:val="000000"/>
                <w:szCs w:val="28"/>
              </w:rPr>
              <w:t>L</w:t>
            </w:r>
            <w:r>
              <w:rPr>
                <w:rFonts w:hint="eastAsia"/>
                <w:i/>
                <w:iCs/>
                <w:color w:val="000000"/>
                <w:szCs w:val="28"/>
                <w:vertAlign w:val="subscript"/>
              </w:rPr>
              <w:t>p2i</w:t>
            </w:r>
            <w:r>
              <w:rPr>
                <w:rFonts w:hint="eastAsia"/>
                <w:color w:val="000000"/>
                <w:szCs w:val="28"/>
              </w:rPr>
              <w:t>（</w:t>
            </w:r>
            <w:r>
              <w:rPr>
                <w:rFonts w:hint="eastAsia"/>
                <w:i/>
                <w:iCs/>
                <w:color w:val="000000"/>
                <w:szCs w:val="28"/>
              </w:rPr>
              <w:t>T</w:t>
            </w:r>
            <w:r>
              <w:rPr>
                <w:rFonts w:hint="eastAsia"/>
                <w:color w:val="000000"/>
                <w:szCs w:val="28"/>
              </w:rPr>
              <w:t>）=</w:t>
            </w:r>
            <w:r>
              <w:rPr>
                <w:rFonts w:hint="eastAsia"/>
                <w:i/>
                <w:iCs/>
                <w:color w:val="000000"/>
                <w:szCs w:val="28"/>
              </w:rPr>
              <w:t>L</w:t>
            </w:r>
            <w:r>
              <w:rPr>
                <w:rFonts w:hint="eastAsia"/>
                <w:i/>
                <w:iCs/>
                <w:color w:val="000000"/>
                <w:szCs w:val="28"/>
                <w:vertAlign w:val="subscript"/>
              </w:rPr>
              <w:t>p1i</w:t>
            </w:r>
            <w:r>
              <w:rPr>
                <w:rFonts w:hint="eastAsia"/>
                <w:color w:val="000000"/>
                <w:szCs w:val="28"/>
              </w:rPr>
              <w:t>（</w:t>
            </w:r>
            <w:r>
              <w:rPr>
                <w:rFonts w:hint="eastAsia"/>
                <w:i/>
                <w:iCs/>
                <w:color w:val="000000"/>
                <w:szCs w:val="28"/>
              </w:rPr>
              <w:t>T</w:t>
            </w:r>
            <w:r>
              <w:rPr>
                <w:rFonts w:hint="eastAsia"/>
                <w:color w:val="000000"/>
                <w:szCs w:val="28"/>
              </w:rPr>
              <w:t>）-（</w:t>
            </w:r>
            <w:r>
              <w:rPr>
                <w:rFonts w:hint="eastAsia"/>
                <w:i/>
                <w:iCs/>
                <w:color w:val="000000"/>
                <w:szCs w:val="28"/>
              </w:rPr>
              <w:t>TL</w:t>
            </w:r>
            <w:r>
              <w:rPr>
                <w:rFonts w:hint="eastAsia"/>
                <w:i/>
                <w:iCs/>
                <w:color w:val="000000"/>
                <w:szCs w:val="28"/>
                <w:vertAlign w:val="subscript"/>
              </w:rPr>
              <w:t>i</w:t>
            </w:r>
            <w:r>
              <w:rPr>
                <w:rFonts w:hint="eastAsia"/>
                <w:color w:val="000000"/>
                <w:szCs w:val="28"/>
              </w:rPr>
              <w:t>+6）</w:t>
            </w:r>
          </w:p>
          <w:p>
            <w:pPr>
              <w:autoSpaceDE w:val="0"/>
              <w:autoSpaceDN w:val="0"/>
              <w:ind w:firstLine="513" w:firstLineChars="214"/>
              <w:rPr>
                <w:color w:val="000000"/>
              </w:rPr>
            </w:pPr>
            <w:r>
              <w:rPr>
                <w:color w:val="000000"/>
              </w:rPr>
              <w:t>式中：</w:t>
            </w:r>
            <w:r>
              <w:rPr>
                <w:rFonts w:hint="eastAsia"/>
                <w:i/>
                <w:iCs/>
                <w:color w:val="000000"/>
                <w:szCs w:val="28"/>
              </w:rPr>
              <w:t>L</w:t>
            </w:r>
            <w:r>
              <w:rPr>
                <w:rFonts w:hint="eastAsia"/>
                <w:i/>
                <w:iCs/>
                <w:color w:val="000000"/>
                <w:szCs w:val="28"/>
                <w:vertAlign w:val="subscript"/>
              </w:rPr>
              <w:t>p2i</w:t>
            </w:r>
            <w:r>
              <w:rPr>
                <w:rFonts w:hint="eastAsia"/>
                <w:color w:val="000000"/>
                <w:szCs w:val="28"/>
              </w:rPr>
              <w:t>（</w:t>
            </w:r>
            <w:r>
              <w:rPr>
                <w:rFonts w:hint="eastAsia"/>
                <w:i/>
                <w:iCs/>
                <w:color w:val="000000"/>
                <w:szCs w:val="28"/>
              </w:rPr>
              <w:t>T</w:t>
            </w:r>
            <w:r>
              <w:rPr>
                <w:rFonts w:hint="eastAsia"/>
                <w:color w:val="000000"/>
                <w:szCs w:val="28"/>
              </w:rPr>
              <w:t>）</w:t>
            </w:r>
            <w:r>
              <w:rPr>
                <w:rFonts w:hint="eastAsia"/>
                <w:color w:val="000000"/>
              </w:rPr>
              <w:t>—靠近围护结构处室外N个声源i倍频带的叠加声压级，dB；</w:t>
            </w:r>
          </w:p>
          <w:p>
            <w:pPr>
              <w:autoSpaceDE w:val="0"/>
              <w:autoSpaceDN w:val="0"/>
              <w:ind w:firstLine="1231" w:firstLineChars="513"/>
              <w:rPr>
                <w:color w:val="000000"/>
              </w:rPr>
            </w:pPr>
            <w:r>
              <w:rPr>
                <w:rFonts w:hint="eastAsia"/>
                <w:i/>
                <w:iCs/>
                <w:color w:val="000000"/>
                <w:szCs w:val="28"/>
              </w:rPr>
              <w:t>L</w:t>
            </w:r>
            <w:r>
              <w:rPr>
                <w:rFonts w:hint="eastAsia"/>
                <w:i/>
                <w:iCs/>
                <w:color w:val="000000"/>
                <w:szCs w:val="28"/>
                <w:vertAlign w:val="subscript"/>
              </w:rPr>
              <w:t>p1i</w:t>
            </w:r>
            <w:r>
              <w:rPr>
                <w:rFonts w:hint="eastAsia"/>
                <w:color w:val="000000"/>
                <w:szCs w:val="28"/>
              </w:rPr>
              <w:t>（</w:t>
            </w:r>
            <w:r>
              <w:rPr>
                <w:rFonts w:hint="eastAsia"/>
                <w:i/>
                <w:iCs/>
                <w:color w:val="000000"/>
                <w:szCs w:val="28"/>
              </w:rPr>
              <w:t>T</w:t>
            </w:r>
            <w:r>
              <w:rPr>
                <w:rFonts w:hint="eastAsia"/>
                <w:color w:val="000000"/>
                <w:szCs w:val="28"/>
              </w:rPr>
              <w:t>）</w:t>
            </w:r>
            <w:r>
              <w:rPr>
                <w:color w:val="000000"/>
              </w:rPr>
              <w:t>—</w:t>
            </w:r>
            <w:r>
              <w:rPr>
                <w:rFonts w:hint="eastAsia"/>
                <w:color w:val="000000"/>
              </w:rPr>
              <w:t>靠近围护结构处室内N个声源i倍频带的叠加声压级，dB</w:t>
            </w:r>
            <w:r>
              <w:rPr>
                <w:color w:val="000000"/>
              </w:rPr>
              <w:t>；</w:t>
            </w:r>
          </w:p>
          <w:p>
            <w:pPr>
              <w:ind w:firstLine="1200" w:firstLineChars="500"/>
              <w:rPr>
                <w:color w:val="000000"/>
              </w:rPr>
            </w:pPr>
            <w:r>
              <w:rPr>
                <w:rFonts w:hint="eastAsia"/>
                <w:i/>
                <w:iCs/>
                <w:color w:val="000000"/>
                <w:szCs w:val="28"/>
              </w:rPr>
              <w:t>TL</w:t>
            </w:r>
            <w:r>
              <w:rPr>
                <w:rFonts w:hint="eastAsia"/>
                <w:i/>
                <w:iCs/>
                <w:color w:val="000000"/>
                <w:szCs w:val="28"/>
                <w:vertAlign w:val="subscript"/>
              </w:rPr>
              <w:t>i</w:t>
            </w:r>
            <w:r>
              <w:rPr>
                <w:color w:val="000000"/>
              </w:rPr>
              <w:t>—</w:t>
            </w:r>
            <w:r>
              <w:rPr>
                <w:rFonts w:hint="eastAsia"/>
                <w:color w:val="000000"/>
              </w:rPr>
              <w:t>围护结构</w:t>
            </w:r>
            <w:r>
              <w:rPr>
                <w:rFonts w:hint="eastAsia"/>
                <w:i/>
                <w:iCs/>
                <w:color w:val="000000"/>
              </w:rPr>
              <w:t>i</w:t>
            </w:r>
            <w:r>
              <w:rPr>
                <w:rFonts w:hint="eastAsia"/>
                <w:color w:val="000000"/>
              </w:rPr>
              <w:t>倍频带的隔声量，dB</w:t>
            </w:r>
            <w:r>
              <w:rPr>
                <w:color w:val="000000"/>
              </w:rPr>
              <w:t>。</w:t>
            </w:r>
          </w:p>
          <w:p>
            <w:pPr>
              <w:bidi w:val="0"/>
              <w:rPr>
                <w:rFonts w:hint="eastAsia" w:eastAsia="宋体"/>
                <w:lang w:eastAsia="zh-CN"/>
              </w:rPr>
            </w:pPr>
            <w:r>
              <w:rPr>
                <w:rFonts w:hint="eastAsia"/>
                <w:lang w:eastAsia="zh-CN"/>
              </w:rPr>
              <w:t>④噪声贡献值计算公式为：</w:t>
            </w:r>
          </w:p>
          <w:p>
            <w:pPr>
              <w:adjustRightInd w:val="0"/>
              <w:ind w:left="0" w:leftChars="0" w:right="0" w:rightChars="0" w:firstLine="0" w:firstLineChars="0"/>
              <w:jc w:val="center"/>
              <w:rPr>
                <w:rFonts w:hint="eastAsia" w:eastAsia="宋体"/>
                <w:bCs/>
                <w:spacing w:val="-10"/>
                <w:szCs w:val="21"/>
                <w:lang w:eastAsia="zh-CN"/>
              </w:rPr>
            </w:pPr>
            <w:r>
              <w:rPr>
                <w:rFonts w:hint="eastAsia" w:eastAsia="宋体"/>
                <w:bCs/>
                <w:spacing w:val="-10"/>
                <w:szCs w:val="21"/>
                <w:lang w:eastAsia="zh-CN"/>
              </w:rPr>
              <w:drawing>
                <wp:inline distT="0" distB="0" distL="114300" distR="114300">
                  <wp:extent cx="1899920" cy="584200"/>
                  <wp:effectExtent l="0" t="0" r="5080" b="6350"/>
                  <wp:docPr id="51" name="图片 5" descr="微信截图_2023082116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 descr="微信截图_20230821163752"/>
                          <pic:cNvPicPr>
                            <a:picLocks noChangeAspect="1"/>
                          </pic:cNvPicPr>
                        </pic:nvPicPr>
                        <pic:blipFill>
                          <a:blip r:embed="rId19"/>
                          <a:stretch>
                            <a:fillRect/>
                          </a:stretch>
                        </pic:blipFill>
                        <pic:spPr>
                          <a:xfrm>
                            <a:off x="0" y="0"/>
                            <a:ext cx="1899920" cy="584200"/>
                          </a:xfrm>
                          <a:prstGeom prst="rect">
                            <a:avLst/>
                          </a:prstGeom>
                          <a:noFill/>
                          <a:ln>
                            <a:noFill/>
                          </a:ln>
                        </pic:spPr>
                      </pic:pic>
                    </a:graphicData>
                  </a:graphic>
                </wp:inline>
              </w:drawing>
            </w:r>
          </w:p>
          <w:p>
            <w:pPr>
              <w:bidi w:val="0"/>
              <w:rPr>
                <w:rFonts w:hint="eastAsia"/>
              </w:rPr>
            </w:pPr>
            <w:r>
              <w:rPr>
                <w:rFonts w:hint="eastAsia"/>
              </w:rPr>
              <w:t>式中：</w:t>
            </w:r>
            <w:r>
              <w:rPr>
                <w:rFonts w:hint="eastAsia"/>
                <w:i/>
                <w:iCs/>
              </w:rPr>
              <w:t>L</w:t>
            </w:r>
            <w:r>
              <w:rPr>
                <w:rFonts w:hint="eastAsia"/>
                <w:i/>
                <w:iCs/>
                <w:vertAlign w:val="subscript"/>
              </w:rPr>
              <w:t>eqg</w:t>
            </w:r>
            <w:r>
              <w:rPr>
                <w:rFonts w:hint="eastAsia"/>
              </w:rPr>
              <w:t>—噪声贡献值，dB；</w:t>
            </w:r>
          </w:p>
          <w:p>
            <w:pPr>
              <w:bidi w:val="0"/>
              <w:ind w:firstLine="1200" w:firstLineChars="500"/>
              <w:rPr>
                <w:rFonts w:hint="eastAsia"/>
              </w:rPr>
            </w:pPr>
            <w:r>
              <w:rPr>
                <w:rFonts w:hint="eastAsia"/>
                <w:i/>
                <w:iCs/>
              </w:rPr>
              <w:t>T</w:t>
            </w:r>
            <w:r>
              <w:rPr>
                <w:rFonts w:hint="eastAsia"/>
              </w:rPr>
              <w:t>—预测计算的时间段，s；</w:t>
            </w:r>
          </w:p>
          <w:p>
            <w:pPr>
              <w:bidi w:val="0"/>
              <w:ind w:firstLine="1200" w:firstLineChars="500"/>
              <w:rPr>
                <w:rFonts w:hint="eastAsia"/>
              </w:rPr>
            </w:pPr>
            <w:r>
              <w:rPr>
                <w:rFonts w:hint="eastAsia"/>
                <w:i/>
                <w:iCs/>
              </w:rPr>
              <w:t>ti</w:t>
            </w:r>
            <w:r>
              <w:rPr>
                <w:rFonts w:hint="eastAsia"/>
              </w:rPr>
              <w:t>—</w:t>
            </w:r>
            <w:r>
              <w:rPr>
                <w:rFonts w:hint="eastAsia"/>
                <w:i/>
                <w:iCs/>
              </w:rPr>
              <w:t>i</w:t>
            </w:r>
            <w:r>
              <w:rPr>
                <w:rFonts w:hint="eastAsia"/>
              </w:rPr>
              <w:t>声源在T时段内的运行时间，s；</w:t>
            </w:r>
          </w:p>
          <w:p>
            <w:pPr>
              <w:bidi w:val="0"/>
              <w:ind w:firstLine="1200" w:firstLineChars="500"/>
            </w:pPr>
            <w:r>
              <w:rPr>
                <w:rFonts w:hint="eastAsia"/>
                <w:i/>
                <w:iCs/>
              </w:rPr>
              <w:t>L</w:t>
            </w:r>
            <w:r>
              <w:rPr>
                <w:rFonts w:hint="eastAsia"/>
                <w:i/>
                <w:iCs/>
                <w:vertAlign w:val="subscript"/>
              </w:rPr>
              <w:t>Ai</w:t>
            </w:r>
            <w:r>
              <w:rPr>
                <w:rFonts w:hint="eastAsia"/>
              </w:rPr>
              <w:t>—</w:t>
            </w:r>
            <w:r>
              <w:rPr>
                <w:rFonts w:hint="eastAsia"/>
                <w:i/>
                <w:iCs/>
              </w:rPr>
              <w:t>i</w:t>
            </w:r>
            <w:r>
              <w:rPr>
                <w:rFonts w:hint="eastAsia"/>
              </w:rPr>
              <w:t>声源在预测点产生的等效连续A声级，dB。</w:t>
            </w:r>
          </w:p>
          <w:p>
            <w:pPr>
              <w:adjustRightInd w:val="0"/>
              <w:ind w:firstLine="0" w:firstLineChars="0"/>
              <w:rPr>
                <w:bCs/>
                <w:spacing w:val="-10"/>
                <w:szCs w:val="21"/>
              </w:rPr>
            </w:pPr>
          </w:p>
          <w:p>
            <w:pPr>
              <w:adjustRightInd w:val="0"/>
              <w:ind w:firstLine="0" w:firstLineChars="0"/>
              <w:rPr>
                <w:bCs/>
                <w:spacing w:val="-10"/>
                <w:szCs w:val="21"/>
              </w:rPr>
            </w:pPr>
          </w:p>
          <w:p>
            <w:pPr>
              <w:adjustRightInd w:val="0"/>
              <w:snapToGrid w:val="0"/>
              <w:ind w:left="0" w:leftChars="0" w:firstLine="0" w:firstLineChars="0"/>
              <w:rPr>
                <w:rFonts w:hint="default" w:ascii="Times New Roman" w:hAnsi="Times New Roman" w:cs="Times New Roman"/>
                <w:bCs/>
                <w:spacing w:val="-10"/>
                <w:sz w:val="24"/>
                <w:szCs w:val="24"/>
              </w:rPr>
            </w:pPr>
          </w:p>
        </w:tc>
      </w:tr>
    </w:tbl>
    <w:p>
      <w:pPr>
        <w:pStyle w:val="18"/>
        <w:jc w:val="center"/>
        <w:outlineLvl w:val="0"/>
        <w:rPr>
          <w:rFonts w:hint="eastAsia" w:ascii="黑体" w:hAnsi="黑体" w:eastAsia="黑体"/>
          <w:snapToGrid w:val="0"/>
          <w:sz w:val="30"/>
          <w:szCs w:val="30"/>
        </w:rPr>
        <w:sectPr>
          <w:pgSz w:w="11905" w:h="16838"/>
          <w:pgMar w:top="1440" w:right="1417" w:bottom="1440" w:left="1417" w:header="851" w:footer="850" w:gutter="0"/>
          <w:pgNumType w:fmt="decimal"/>
          <w:cols w:space="0" w:num="1"/>
          <w:rtlGutter w:val="0"/>
          <w:docGrid w:type="lines" w:linePitch="312" w:charSpace="0"/>
        </w:sectPr>
      </w:pPr>
    </w:p>
    <w:tbl>
      <w:tblPr>
        <w:tblStyle w:val="21"/>
        <w:tblW w:w="14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2" w:type="dxa"/>
          </w:tcPr>
          <w:p>
            <w:pPr>
              <w:ind w:firstLine="480"/>
              <w:rPr>
                <w:snapToGrid/>
                <w:kern w:val="2"/>
                <w:highlight w:val="none"/>
              </w:rPr>
            </w:pPr>
            <w:r>
              <w:rPr>
                <w:highlight w:val="none"/>
              </w:rPr>
              <w:t>拟建项目噪声主要为</w:t>
            </w:r>
            <w:r>
              <w:rPr>
                <w:rFonts w:hint="eastAsia"/>
                <w:highlight w:val="none"/>
                <w:lang w:eastAsia="zh-CN"/>
              </w:rPr>
              <w:t>喷涂机、砂光机</w:t>
            </w:r>
            <w:r>
              <w:rPr>
                <w:highlight w:val="none"/>
              </w:rPr>
              <w:t>等运行时产生的噪声。其声级值为</w:t>
            </w:r>
            <w:r>
              <w:rPr>
                <w:rFonts w:hint="eastAsia"/>
                <w:highlight w:val="none"/>
                <w:lang w:val="en-US" w:eastAsia="zh-CN"/>
              </w:rPr>
              <w:t>75-85</w:t>
            </w:r>
            <w:r>
              <w:rPr>
                <w:highlight w:val="none"/>
              </w:rPr>
              <w:t>dB（A）。</w:t>
            </w:r>
          </w:p>
          <w:p>
            <w:pPr>
              <w:pStyle w:val="24"/>
              <w:bidi w:val="0"/>
              <w:rPr>
                <w:highlight w:val="none"/>
              </w:rPr>
            </w:pPr>
            <w:r>
              <w:rPr>
                <w:highlight w:val="none"/>
              </w:rPr>
              <w:t>表4.</w:t>
            </w:r>
            <w:r>
              <w:rPr>
                <w:rFonts w:hint="eastAsia"/>
                <w:highlight w:val="none"/>
                <w:lang w:val="en-US" w:eastAsia="zh-CN"/>
              </w:rPr>
              <w:t>7</w:t>
            </w:r>
            <w:r>
              <w:rPr>
                <w:highlight w:val="none"/>
              </w:rPr>
              <w:t xml:space="preserve">   工业企业噪声源强调查清单（室内声源）</w:t>
            </w:r>
          </w:p>
          <w:tbl>
            <w:tblPr>
              <w:tblStyle w:val="20"/>
              <w:tblW w:w="14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
              <w:gridCol w:w="525"/>
              <w:gridCol w:w="690"/>
              <w:gridCol w:w="480"/>
              <w:gridCol w:w="705"/>
              <w:gridCol w:w="825"/>
              <w:gridCol w:w="480"/>
              <w:gridCol w:w="480"/>
              <w:gridCol w:w="435"/>
              <w:gridCol w:w="450"/>
              <w:gridCol w:w="415"/>
              <w:gridCol w:w="435"/>
              <w:gridCol w:w="470"/>
              <w:gridCol w:w="615"/>
              <w:gridCol w:w="630"/>
              <w:gridCol w:w="630"/>
              <w:gridCol w:w="615"/>
              <w:gridCol w:w="645"/>
              <w:gridCol w:w="885"/>
              <w:gridCol w:w="525"/>
              <w:gridCol w:w="480"/>
              <w:gridCol w:w="495"/>
              <w:gridCol w:w="494"/>
              <w:gridCol w:w="531"/>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27" w:type="dxa"/>
                  <w:vMerge w:val="restart"/>
                  <w:noWrap w:val="0"/>
                  <w:vAlign w:val="center"/>
                </w:tcPr>
                <w:p>
                  <w:pPr>
                    <w:pStyle w:val="25"/>
                    <w:bidi w:val="0"/>
                    <w:rPr>
                      <w:highlight w:val="none"/>
                    </w:rPr>
                  </w:pPr>
                  <w:r>
                    <w:rPr>
                      <w:rFonts w:hint="eastAsia"/>
                      <w:highlight w:val="none"/>
                    </w:rPr>
                    <w:t>序号</w:t>
                  </w:r>
                </w:p>
              </w:tc>
              <w:tc>
                <w:tcPr>
                  <w:tcW w:w="525" w:type="dxa"/>
                  <w:vMerge w:val="restart"/>
                  <w:noWrap w:val="0"/>
                  <w:vAlign w:val="center"/>
                </w:tcPr>
                <w:p>
                  <w:pPr>
                    <w:pStyle w:val="25"/>
                    <w:bidi w:val="0"/>
                    <w:rPr>
                      <w:highlight w:val="none"/>
                    </w:rPr>
                  </w:pPr>
                  <w:r>
                    <w:rPr>
                      <w:rFonts w:hint="eastAsia"/>
                      <w:highlight w:val="none"/>
                    </w:rPr>
                    <w:t>建筑物名称</w:t>
                  </w:r>
                </w:p>
              </w:tc>
              <w:tc>
                <w:tcPr>
                  <w:tcW w:w="690" w:type="dxa"/>
                  <w:vMerge w:val="restart"/>
                  <w:noWrap w:val="0"/>
                  <w:vAlign w:val="center"/>
                </w:tcPr>
                <w:p>
                  <w:pPr>
                    <w:pStyle w:val="25"/>
                    <w:bidi w:val="0"/>
                    <w:rPr>
                      <w:highlight w:val="none"/>
                    </w:rPr>
                  </w:pPr>
                  <w:r>
                    <w:rPr>
                      <w:rFonts w:hint="eastAsia"/>
                      <w:highlight w:val="none"/>
                    </w:rPr>
                    <w:t>声源名称</w:t>
                  </w:r>
                </w:p>
              </w:tc>
              <w:tc>
                <w:tcPr>
                  <w:tcW w:w="480" w:type="dxa"/>
                  <w:vMerge w:val="restart"/>
                  <w:noWrap w:val="0"/>
                  <w:vAlign w:val="center"/>
                </w:tcPr>
                <w:p>
                  <w:pPr>
                    <w:pStyle w:val="25"/>
                    <w:bidi w:val="0"/>
                    <w:rPr>
                      <w:highlight w:val="none"/>
                    </w:rPr>
                  </w:pPr>
                  <w:r>
                    <w:rPr>
                      <w:rFonts w:hint="eastAsia"/>
                      <w:highlight w:val="none"/>
                    </w:rPr>
                    <w:t>数量</w:t>
                  </w:r>
                </w:p>
              </w:tc>
              <w:tc>
                <w:tcPr>
                  <w:tcW w:w="705" w:type="dxa"/>
                  <w:vMerge w:val="restart"/>
                  <w:noWrap w:val="0"/>
                  <w:vAlign w:val="center"/>
                </w:tcPr>
                <w:p>
                  <w:pPr>
                    <w:pStyle w:val="25"/>
                    <w:bidi w:val="0"/>
                    <w:rPr>
                      <w:highlight w:val="none"/>
                    </w:rPr>
                  </w:pPr>
                  <w:r>
                    <w:rPr>
                      <w:rFonts w:hint="eastAsia"/>
                      <w:highlight w:val="none"/>
                      <w:lang w:eastAsia="zh-CN"/>
                    </w:rPr>
                    <w:t>声功率级</w:t>
                  </w:r>
                  <w:r>
                    <w:rPr>
                      <w:rFonts w:hint="eastAsia"/>
                      <w:highlight w:val="none"/>
                    </w:rPr>
                    <w:t>/dB（A）</w:t>
                  </w:r>
                </w:p>
              </w:tc>
              <w:tc>
                <w:tcPr>
                  <w:tcW w:w="825" w:type="dxa"/>
                  <w:vMerge w:val="restart"/>
                  <w:noWrap w:val="0"/>
                  <w:vAlign w:val="center"/>
                </w:tcPr>
                <w:p>
                  <w:pPr>
                    <w:pStyle w:val="25"/>
                    <w:bidi w:val="0"/>
                    <w:rPr>
                      <w:highlight w:val="none"/>
                    </w:rPr>
                  </w:pPr>
                  <w:r>
                    <w:rPr>
                      <w:rFonts w:hint="eastAsia"/>
                      <w:highlight w:val="none"/>
                    </w:rPr>
                    <w:t>声源控制措施</w:t>
                  </w:r>
                </w:p>
              </w:tc>
              <w:tc>
                <w:tcPr>
                  <w:tcW w:w="1395" w:type="dxa"/>
                  <w:gridSpan w:val="3"/>
                  <w:noWrap w:val="0"/>
                  <w:vAlign w:val="center"/>
                </w:tcPr>
                <w:p>
                  <w:pPr>
                    <w:pStyle w:val="25"/>
                    <w:bidi w:val="0"/>
                    <w:rPr>
                      <w:highlight w:val="none"/>
                    </w:rPr>
                  </w:pPr>
                  <w:r>
                    <w:rPr>
                      <w:rFonts w:hint="eastAsia"/>
                      <w:highlight w:val="none"/>
                    </w:rPr>
                    <w:t>空间相对位置/m</w:t>
                  </w:r>
                </w:p>
              </w:tc>
              <w:tc>
                <w:tcPr>
                  <w:tcW w:w="1770" w:type="dxa"/>
                  <w:gridSpan w:val="4"/>
                  <w:noWrap w:val="0"/>
                  <w:vAlign w:val="center"/>
                </w:tcPr>
                <w:p>
                  <w:pPr>
                    <w:pStyle w:val="25"/>
                    <w:bidi w:val="0"/>
                    <w:rPr>
                      <w:highlight w:val="none"/>
                    </w:rPr>
                  </w:pPr>
                  <w:r>
                    <w:rPr>
                      <w:rFonts w:hint="eastAsia"/>
                      <w:highlight w:val="none"/>
                    </w:rPr>
                    <w:t>距室内边界距离/m</w:t>
                  </w:r>
                </w:p>
              </w:tc>
              <w:tc>
                <w:tcPr>
                  <w:tcW w:w="2490" w:type="dxa"/>
                  <w:gridSpan w:val="4"/>
                  <w:noWrap w:val="0"/>
                  <w:vAlign w:val="center"/>
                </w:tcPr>
                <w:p>
                  <w:pPr>
                    <w:pStyle w:val="25"/>
                    <w:bidi w:val="0"/>
                    <w:rPr>
                      <w:highlight w:val="none"/>
                    </w:rPr>
                  </w:pPr>
                  <w:r>
                    <w:rPr>
                      <w:rFonts w:hint="eastAsia"/>
                      <w:highlight w:val="none"/>
                    </w:rPr>
                    <w:t>室内边界声级/dB（A）</w:t>
                  </w:r>
                </w:p>
              </w:tc>
              <w:tc>
                <w:tcPr>
                  <w:tcW w:w="645" w:type="dxa"/>
                  <w:vMerge w:val="restart"/>
                  <w:noWrap w:val="0"/>
                  <w:vAlign w:val="center"/>
                </w:tcPr>
                <w:p>
                  <w:pPr>
                    <w:pStyle w:val="25"/>
                    <w:bidi w:val="0"/>
                    <w:rPr>
                      <w:highlight w:val="none"/>
                    </w:rPr>
                  </w:pPr>
                  <w:r>
                    <w:rPr>
                      <w:rFonts w:hint="eastAsia"/>
                      <w:highlight w:val="none"/>
                    </w:rPr>
                    <w:t>运行时段</w:t>
                  </w:r>
                </w:p>
              </w:tc>
              <w:tc>
                <w:tcPr>
                  <w:tcW w:w="885" w:type="dxa"/>
                  <w:vMerge w:val="restart"/>
                  <w:noWrap w:val="0"/>
                  <w:vAlign w:val="center"/>
                </w:tcPr>
                <w:p>
                  <w:pPr>
                    <w:pStyle w:val="25"/>
                    <w:bidi w:val="0"/>
                    <w:rPr>
                      <w:highlight w:val="none"/>
                    </w:rPr>
                  </w:pPr>
                  <w:r>
                    <w:rPr>
                      <w:rFonts w:hint="eastAsia"/>
                      <w:highlight w:val="none"/>
                    </w:rPr>
                    <w:t>建筑物插入损失/dB（A）</w:t>
                  </w:r>
                </w:p>
              </w:tc>
              <w:tc>
                <w:tcPr>
                  <w:tcW w:w="3803" w:type="dxa"/>
                  <w:gridSpan w:val="8"/>
                  <w:noWrap w:val="0"/>
                  <w:vAlign w:val="center"/>
                </w:tcPr>
                <w:p>
                  <w:pPr>
                    <w:pStyle w:val="25"/>
                    <w:bidi w:val="0"/>
                    <w:rPr>
                      <w:highlight w:val="none"/>
                    </w:rPr>
                  </w:pPr>
                  <w:r>
                    <w:rPr>
                      <w:rFonts w:hint="eastAsia"/>
                      <w:highlight w:val="none"/>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27" w:type="dxa"/>
                  <w:vMerge w:val="continue"/>
                  <w:noWrap w:val="0"/>
                  <w:vAlign w:val="center"/>
                </w:tcPr>
                <w:p>
                  <w:pPr>
                    <w:pStyle w:val="25"/>
                    <w:bidi w:val="0"/>
                  </w:pPr>
                </w:p>
              </w:tc>
              <w:tc>
                <w:tcPr>
                  <w:tcW w:w="525" w:type="dxa"/>
                  <w:vMerge w:val="continue"/>
                  <w:noWrap w:val="0"/>
                  <w:vAlign w:val="center"/>
                </w:tcPr>
                <w:p>
                  <w:pPr>
                    <w:pStyle w:val="25"/>
                    <w:bidi w:val="0"/>
                  </w:pPr>
                </w:p>
              </w:tc>
              <w:tc>
                <w:tcPr>
                  <w:tcW w:w="690" w:type="dxa"/>
                  <w:vMerge w:val="continue"/>
                  <w:noWrap w:val="0"/>
                  <w:vAlign w:val="center"/>
                </w:tcPr>
                <w:p>
                  <w:pPr>
                    <w:pStyle w:val="25"/>
                    <w:bidi w:val="0"/>
                  </w:pPr>
                </w:p>
              </w:tc>
              <w:tc>
                <w:tcPr>
                  <w:tcW w:w="480" w:type="dxa"/>
                  <w:vMerge w:val="continue"/>
                  <w:noWrap w:val="0"/>
                  <w:vAlign w:val="center"/>
                </w:tcPr>
                <w:p>
                  <w:pPr>
                    <w:pStyle w:val="25"/>
                    <w:bidi w:val="0"/>
                  </w:pPr>
                </w:p>
              </w:tc>
              <w:tc>
                <w:tcPr>
                  <w:tcW w:w="705" w:type="dxa"/>
                  <w:vMerge w:val="continue"/>
                  <w:noWrap w:val="0"/>
                  <w:vAlign w:val="center"/>
                </w:tcPr>
                <w:p>
                  <w:pPr>
                    <w:pStyle w:val="25"/>
                    <w:bidi w:val="0"/>
                  </w:pPr>
                </w:p>
              </w:tc>
              <w:tc>
                <w:tcPr>
                  <w:tcW w:w="825" w:type="dxa"/>
                  <w:vMerge w:val="continue"/>
                  <w:noWrap w:val="0"/>
                  <w:vAlign w:val="center"/>
                </w:tcPr>
                <w:p>
                  <w:pPr>
                    <w:pStyle w:val="25"/>
                    <w:bidi w:val="0"/>
                  </w:pPr>
                </w:p>
              </w:tc>
              <w:tc>
                <w:tcPr>
                  <w:tcW w:w="480" w:type="dxa"/>
                  <w:vMerge w:val="restart"/>
                  <w:noWrap w:val="0"/>
                  <w:vAlign w:val="center"/>
                </w:tcPr>
                <w:p>
                  <w:pPr>
                    <w:pStyle w:val="25"/>
                    <w:bidi w:val="0"/>
                  </w:pPr>
                  <w:r>
                    <w:rPr>
                      <w:rFonts w:hint="eastAsia"/>
                    </w:rPr>
                    <w:t>X</w:t>
                  </w:r>
                </w:p>
              </w:tc>
              <w:tc>
                <w:tcPr>
                  <w:tcW w:w="480" w:type="dxa"/>
                  <w:vMerge w:val="restart"/>
                  <w:noWrap w:val="0"/>
                  <w:vAlign w:val="center"/>
                </w:tcPr>
                <w:p>
                  <w:pPr>
                    <w:pStyle w:val="25"/>
                    <w:bidi w:val="0"/>
                  </w:pPr>
                  <w:r>
                    <w:rPr>
                      <w:rFonts w:hint="eastAsia"/>
                    </w:rPr>
                    <w:t>Y</w:t>
                  </w:r>
                </w:p>
              </w:tc>
              <w:tc>
                <w:tcPr>
                  <w:tcW w:w="435" w:type="dxa"/>
                  <w:vMerge w:val="restart"/>
                  <w:noWrap w:val="0"/>
                  <w:vAlign w:val="center"/>
                </w:tcPr>
                <w:p>
                  <w:pPr>
                    <w:pStyle w:val="25"/>
                    <w:bidi w:val="0"/>
                  </w:pPr>
                  <w:r>
                    <w:rPr>
                      <w:rFonts w:hint="eastAsia"/>
                    </w:rPr>
                    <w:t>Z</w:t>
                  </w:r>
                </w:p>
              </w:tc>
              <w:tc>
                <w:tcPr>
                  <w:tcW w:w="450" w:type="dxa"/>
                  <w:vMerge w:val="restart"/>
                  <w:noWrap w:val="0"/>
                  <w:vAlign w:val="center"/>
                </w:tcPr>
                <w:p>
                  <w:pPr>
                    <w:pStyle w:val="25"/>
                    <w:bidi w:val="0"/>
                  </w:pPr>
                  <w:r>
                    <w:rPr>
                      <w:rFonts w:hint="eastAsia"/>
                    </w:rPr>
                    <w:t>东</w:t>
                  </w:r>
                </w:p>
              </w:tc>
              <w:tc>
                <w:tcPr>
                  <w:tcW w:w="415" w:type="dxa"/>
                  <w:vMerge w:val="restart"/>
                  <w:noWrap w:val="0"/>
                  <w:vAlign w:val="center"/>
                </w:tcPr>
                <w:p>
                  <w:pPr>
                    <w:pStyle w:val="25"/>
                    <w:bidi w:val="0"/>
                  </w:pPr>
                  <w:r>
                    <w:rPr>
                      <w:rFonts w:hint="eastAsia"/>
                    </w:rPr>
                    <w:t>西</w:t>
                  </w:r>
                </w:p>
              </w:tc>
              <w:tc>
                <w:tcPr>
                  <w:tcW w:w="435" w:type="dxa"/>
                  <w:vMerge w:val="restart"/>
                  <w:noWrap w:val="0"/>
                  <w:vAlign w:val="center"/>
                </w:tcPr>
                <w:p>
                  <w:pPr>
                    <w:pStyle w:val="25"/>
                    <w:bidi w:val="0"/>
                  </w:pPr>
                  <w:r>
                    <w:rPr>
                      <w:rFonts w:hint="eastAsia"/>
                    </w:rPr>
                    <w:t>南</w:t>
                  </w:r>
                </w:p>
              </w:tc>
              <w:tc>
                <w:tcPr>
                  <w:tcW w:w="470" w:type="dxa"/>
                  <w:vMerge w:val="restart"/>
                  <w:noWrap w:val="0"/>
                  <w:vAlign w:val="center"/>
                </w:tcPr>
                <w:p>
                  <w:pPr>
                    <w:pStyle w:val="25"/>
                    <w:bidi w:val="0"/>
                  </w:pPr>
                  <w:r>
                    <w:rPr>
                      <w:rFonts w:hint="eastAsia"/>
                    </w:rPr>
                    <w:t>北</w:t>
                  </w:r>
                </w:p>
              </w:tc>
              <w:tc>
                <w:tcPr>
                  <w:tcW w:w="615" w:type="dxa"/>
                  <w:vMerge w:val="restart"/>
                  <w:noWrap w:val="0"/>
                  <w:vAlign w:val="center"/>
                </w:tcPr>
                <w:p>
                  <w:pPr>
                    <w:pStyle w:val="25"/>
                    <w:bidi w:val="0"/>
                  </w:pPr>
                  <w:r>
                    <w:rPr>
                      <w:rFonts w:hint="eastAsia"/>
                    </w:rPr>
                    <w:t>东</w:t>
                  </w:r>
                </w:p>
              </w:tc>
              <w:tc>
                <w:tcPr>
                  <w:tcW w:w="630" w:type="dxa"/>
                  <w:vMerge w:val="restart"/>
                  <w:noWrap w:val="0"/>
                  <w:vAlign w:val="center"/>
                </w:tcPr>
                <w:p>
                  <w:pPr>
                    <w:pStyle w:val="25"/>
                    <w:bidi w:val="0"/>
                  </w:pPr>
                  <w:r>
                    <w:rPr>
                      <w:rFonts w:hint="eastAsia"/>
                    </w:rPr>
                    <w:t>西</w:t>
                  </w:r>
                </w:p>
              </w:tc>
              <w:tc>
                <w:tcPr>
                  <w:tcW w:w="630" w:type="dxa"/>
                  <w:vMerge w:val="restart"/>
                  <w:noWrap w:val="0"/>
                  <w:vAlign w:val="center"/>
                </w:tcPr>
                <w:p>
                  <w:pPr>
                    <w:pStyle w:val="25"/>
                    <w:bidi w:val="0"/>
                  </w:pPr>
                  <w:r>
                    <w:rPr>
                      <w:rFonts w:hint="eastAsia"/>
                    </w:rPr>
                    <w:t>南</w:t>
                  </w:r>
                </w:p>
              </w:tc>
              <w:tc>
                <w:tcPr>
                  <w:tcW w:w="615" w:type="dxa"/>
                  <w:vMerge w:val="restart"/>
                  <w:noWrap w:val="0"/>
                  <w:vAlign w:val="center"/>
                </w:tcPr>
                <w:p>
                  <w:pPr>
                    <w:pStyle w:val="25"/>
                    <w:bidi w:val="0"/>
                  </w:pPr>
                  <w:r>
                    <w:rPr>
                      <w:rFonts w:hint="eastAsia"/>
                    </w:rPr>
                    <w:t>北</w:t>
                  </w:r>
                </w:p>
              </w:tc>
              <w:tc>
                <w:tcPr>
                  <w:tcW w:w="645" w:type="dxa"/>
                  <w:vMerge w:val="continue"/>
                  <w:noWrap w:val="0"/>
                  <w:vAlign w:val="center"/>
                </w:tcPr>
                <w:p>
                  <w:pPr>
                    <w:pStyle w:val="25"/>
                    <w:bidi w:val="0"/>
                  </w:pPr>
                </w:p>
              </w:tc>
              <w:tc>
                <w:tcPr>
                  <w:tcW w:w="885" w:type="dxa"/>
                  <w:vMerge w:val="continue"/>
                  <w:noWrap w:val="0"/>
                  <w:vAlign w:val="center"/>
                </w:tcPr>
                <w:p>
                  <w:pPr>
                    <w:pStyle w:val="25"/>
                    <w:bidi w:val="0"/>
                  </w:pPr>
                </w:p>
              </w:tc>
              <w:tc>
                <w:tcPr>
                  <w:tcW w:w="1994" w:type="dxa"/>
                  <w:gridSpan w:val="4"/>
                  <w:noWrap w:val="0"/>
                  <w:vAlign w:val="center"/>
                </w:tcPr>
                <w:p>
                  <w:pPr>
                    <w:pStyle w:val="25"/>
                    <w:bidi w:val="0"/>
                  </w:pPr>
                  <w:r>
                    <w:rPr>
                      <w:rFonts w:hint="eastAsia"/>
                    </w:rPr>
                    <w:t>声压级/dB（A）</w:t>
                  </w:r>
                </w:p>
              </w:tc>
              <w:tc>
                <w:tcPr>
                  <w:tcW w:w="1809" w:type="dxa"/>
                  <w:gridSpan w:val="4"/>
                  <w:noWrap w:val="0"/>
                  <w:vAlign w:val="center"/>
                </w:tcPr>
                <w:p>
                  <w:pPr>
                    <w:pStyle w:val="25"/>
                    <w:bidi w:val="0"/>
                  </w:pPr>
                  <w:r>
                    <w:rPr>
                      <w:rFonts w:hint="eastAsia"/>
                    </w:rPr>
                    <w:t>建筑物外距离/m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7" w:type="dxa"/>
                  <w:vMerge w:val="continue"/>
                  <w:noWrap w:val="0"/>
                  <w:vAlign w:val="center"/>
                </w:tcPr>
                <w:p>
                  <w:pPr>
                    <w:pStyle w:val="25"/>
                    <w:bidi w:val="0"/>
                  </w:pPr>
                </w:p>
              </w:tc>
              <w:tc>
                <w:tcPr>
                  <w:tcW w:w="525" w:type="dxa"/>
                  <w:vMerge w:val="continue"/>
                  <w:noWrap w:val="0"/>
                  <w:vAlign w:val="center"/>
                </w:tcPr>
                <w:p>
                  <w:pPr>
                    <w:pStyle w:val="25"/>
                    <w:bidi w:val="0"/>
                  </w:pPr>
                </w:p>
              </w:tc>
              <w:tc>
                <w:tcPr>
                  <w:tcW w:w="690" w:type="dxa"/>
                  <w:vMerge w:val="continue"/>
                  <w:noWrap w:val="0"/>
                  <w:vAlign w:val="center"/>
                </w:tcPr>
                <w:p>
                  <w:pPr>
                    <w:pStyle w:val="25"/>
                    <w:bidi w:val="0"/>
                  </w:pPr>
                </w:p>
              </w:tc>
              <w:tc>
                <w:tcPr>
                  <w:tcW w:w="480" w:type="dxa"/>
                  <w:vMerge w:val="continue"/>
                  <w:noWrap w:val="0"/>
                  <w:vAlign w:val="center"/>
                </w:tcPr>
                <w:p>
                  <w:pPr>
                    <w:pStyle w:val="25"/>
                    <w:bidi w:val="0"/>
                  </w:pPr>
                </w:p>
              </w:tc>
              <w:tc>
                <w:tcPr>
                  <w:tcW w:w="705" w:type="dxa"/>
                  <w:vMerge w:val="continue"/>
                  <w:noWrap w:val="0"/>
                  <w:vAlign w:val="center"/>
                </w:tcPr>
                <w:p>
                  <w:pPr>
                    <w:pStyle w:val="25"/>
                    <w:bidi w:val="0"/>
                  </w:pPr>
                </w:p>
              </w:tc>
              <w:tc>
                <w:tcPr>
                  <w:tcW w:w="825" w:type="dxa"/>
                  <w:vMerge w:val="continue"/>
                  <w:noWrap w:val="0"/>
                  <w:vAlign w:val="center"/>
                </w:tcPr>
                <w:p>
                  <w:pPr>
                    <w:pStyle w:val="25"/>
                    <w:bidi w:val="0"/>
                  </w:pPr>
                </w:p>
              </w:tc>
              <w:tc>
                <w:tcPr>
                  <w:tcW w:w="480" w:type="dxa"/>
                  <w:vMerge w:val="continue"/>
                  <w:noWrap w:val="0"/>
                  <w:vAlign w:val="center"/>
                </w:tcPr>
                <w:p>
                  <w:pPr>
                    <w:pStyle w:val="25"/>
                    <w:bidi w:val="0"/>
                  </w:pPr>
                </w:p>
              </w:tc>
              <w:tc>
                <w:tcPr>
                  <w:tcW w:w="480" w:type="dxa"/>
                  <w:vMerge w:val="continue"/>
                  <w:noWrap w:val="0"/>
                  <w:vAlign w:val="center"/>
                </w:tcPr>
                <w:p>
                  <w:pPr>
                    <w:pStyle w:val="25"/>
                    <w:bidi w:val="0"/>
                  </w:pPr>
                </w:p>
              </w:tc>
              <w:tc>
                <w:tcPr>
                  <w:tcW w:w="435" w:type="dxa"/>
                  <w:vMerge w:val="continue"/>
                  <w:noWrap w:val="0"/>
                  <w:vAlign w:val="center"/>
                </w:tcPr>
                <w:p>
                  <w:pPr>
                    <w:pStyle w:val="25"/>
                    <w:bidi w:val="0"/>
                  </w:pPr>
                </w:p>
              </w:tc>
              <w:tc>
                <w:tcPr>
                  <w:tcW w:w="450" w:type="dxa"/>
                  <w:vMerge w:val="continue"/>
                  <w:noWrap w:val="0"/>
                  <w:vAlign w:val="center"/>
                </w:tcPr>
                <w:p>
                  <w:pPr>
                    <w:pStyle w:val="25"/>
                    <w:bidi w:val="0"/>
                  </w:pPr>
                </w:p>
              </w:tc>
              <w:tc>
                <w:tcPr>
                  <w:tcW w:w="415" w:type="dxa"/>
                  <w:vMerge w:val="continue"/>
                  <w:noWrap w:val="0"/>
                  <w:vAlign w:val="center"/>
                </w:tcPr>
                <w:p>
                  <w:pPr>
                    <w:pStyle w:val="25"/>
                    <w:bidi w:val="0"/>
                  </w:pPr>
                </w:p>
              </w:tc>
              <w:tc>
                <w:tcPr>
                  <w:tcW w:w="435" w:type="dxa"/>
                  <w:vMerge w:val="continue"/>
                  <w:noWrap w:val="0"/>
                  <w:vAlign w:val="center"/>
                </w:tcPr>
                <w:p>
                  <w:pPr>
                    <w:pStyle w:val="25"/>
                    <w:bidi w:val="0"/>
                  </w:pPr>
                </w:p>
              </w:tc>
              <w:tc>
                <w:tcPr>
                  <w:tcW w:w="470" w:type="dxa"/>
                  <w:vMerge w:val="continue"/>
                  <w:noWrap w:val="0"/>
                  <w:vAlign w:val="center"/>
                </w:tcPr>
                <w:p>
                  <w:pPr>
                    <w:pStyle w:val="25"/>
                    <w:bidi w:val="0"/>
                  </w:pPr>
                </w:p>
              </w:tc>
              <w:tc>
                <w:tcPr>
                  <w:tcW w:w="615" w:type="dxa"/>
                  <w:vMerge w:val="continue"/>
                  <w:noWrap w:val="0"/>
                  <w:vAlign w:val="center"/>
                </w:tcPr>
                <w:p>
                  <w:pPr>
                    <w:pStyle w:val="25"/>
                    <w:bidi w:val="0"/>
                  </w:pPr>
                </w:p>
              </w:tc>
              <w:tc>
                <w:tcPr>
                  <w:tcW w:w="630" w:type="dxa"/>
                  <w:vMerge w:val="continue"/>
                  <w:noWrap w:val="0"/>
                  <w:vAlign w:val="center"/>
                </w:tcPr>
                <w:p>
                  <w:pPr>
                    <w:pStyle w:val="25"/>
                    <w:bidi w:val="0"/>
                  </w:pPr>
                </w:p>
              </w:tc>
              <w:tc>
                <w:tcPr>
                  <w:tcW w:w="630" w:type="dxa"/>
                  <w:vMerge w:val="continue"/>
                  <w:noWrap w:val="0"/>
                  <w:vAlign w:val="center"/>
                </w:tcPr>
                <w:p>
                  <w:pPr>
                    <w:pStyle w:val="25"/>
                    <w:bidi w:val="0"/>
                  </w:pPr>
                </w:p>
              </w:tc>
              <w:tc>
                <w:tcPr>
                  <w:tcW w:w="615" w:type="dxa"/>
                  <w:vMerge w:val="continue"/>
                  <w:noWrap w:val="0"/>
                  <w:vAlign w:val="center"/>
                </w:tcPr>
                <w:p>
                  <w:pPr>
                    <w:pStyle w:val="25"/>
                    <w:bidi w:val="0"/>
                  </w:pPr>
                </w:p>
              </w:tc>
              <w:tc>
                <w:tcPr>
                  <w:tcW w:w="645" w:type="dxa"/>
                  <w:vMerge w:val="continue"/>
                  <w:noWrap w:val="0"/>
                  <w:vAlign w:val="center"/>
                </w:tcPr>
                <w:p>
                  <w:pPr>
                    <w:pStyle w:val="25"/>
                    <w:bidi w:val="0"/>
                  </w:pPr>
                </w:p>
              </w:tc>
              <w:tc>
                <w:tcPr>
                  <w:tcW w:w="885" w:type="dxa"/>
                  <w:vMerge w:val="continue"/>
                  <w:noWrap w:val="0"/>
                  <w:vAlign w:val="center"/>
                </w:tcPr>
                <w:p>
                  <w:pPr>
                    <w:pStyle w:val="25"/>
                    <w:bidi w:val="0"/>
                  </w:pPr>
                </w:p>
              </w:tc>
              <w:tc>
                <w:tcPr>
                  <w:tcW w:w="525" w:type="dxa"/>
                  <w:noWrap w:val="0"/>
                  <w:vAlign w:val="center"/>
                </w:tcPr>
                <w:p>
                  <w:pPr>
                    <w:pStyle w:val="25"/>
                    <w:bidi w:val="0"/>
                  </w:pPr>
                  <w:r>
                    <w:rPr>
                      <w:rFonts w:hint="eastAsia"/>
                    </w:rPr>
                    <w:t>东</w:t>
                  </w:r>
                </w:p>
              </w:tc>
              <w:tc>
                <w:tcPr>
                  <w:tcW w:w="480" w:type="dxa"/>
                  <w:noWrap w:val="0"/>
                  <w:vAlign w:val="center"/>
                </w:tcPr>
                <w:p>
                  <w:pPr>
                    <w:pStyle w:val="25"/>
                    <w:bidi w:val="0"/>
                  </w:pPr>
                  <w:r>
                    <w:rPr>
                      <w:rFonts w:hint="eastAsia"/>
                    </w:rPr>
                    <w:t>西</w:t>
                  </w:r>
                </w:p>
              </w:tc>
              <w:tc>
                <w:tcPr>
                  <w:tcW w:w="495" w:type="dxa"/>
                  <w:noWrap w:val="0"/>
                  <w:vAlign w:val="center"/>
                </w:tcPr>
                <w:p>
                  <w:pPr>
                    <w:pStyle w:val="25"/>
                    <w:bidi w:val="0"/>
                  </w:pPr>
                  <w:r>
                    <w:rPr>
                      <w:rFonts w:hint="eastAsia"/>
                    </w:rPr>
                    <w:t>南</w:t>
                  </w:r>
                </w:p>
              </w:tc>
              <w:tc>
                <w:tcPr>
                  <w:tcW w:w="494" w:type="dxa"/>
                  <w:noWrap w:val="0"/>
                  <w:vAlign w:val="center"/>
                </w:tcPr>
                <w:p>
                  <w:pPr>
                    <w:pStyle w:val="25"/>
                    <w:bidi w:val="0"/>
                  </w:pPr>
                  <w:r>
                    <w:rPr>
                      <w:rFonts w:hint="eastAsia"/>
                    </w:rPr>
                    <w:t>北</w:t>
                  </w:r>
                </w:p>
              </w:tc>
              <w:tc>
                <w:tcPr>
                  <w:tcW w:w="531" w:type="dxa"/>
                  <w:noWrap w:val="0"/>
                  <w:vAlign w:val="center"/>
                </w:tcPr>
                <w:p>
                  <w:pPr>
                    <w:pStyle w:val="25"/>
                    <w:bidi w:val="0"/>
                  </w:pPr>
                  <w:r>
                    <w:rPr>
                      <w:rFonts w:hint="eastAsia"/>
                    </w:rPr>
                    <w:t>东</w:t>
                  </w:r>
                </w:p>
              </w:tc>
              <w:tc>
                <w:tcPr>
                  <w:tcW w:w="426" w:type="dxa"/>
                  <w:noWrap w:val="0"/>
                  <w:vAlign w:val="center"/>
                </w:tcPr>
                <w:p>
                  <w:pPr>
                    <w:pStyle w:val="25"/>
                    <w:bidi w:val="0"/>
                  </w:pPr>
                  <w:r>
                    <w:rPr>
                      <w:rFonts w:hint="eastAsia"/>
                    </w:rPr>
                    <w:t>西</w:t>
                  </w:r>
                </w:p>
              </w:tc>
              <w:tc>
                <w:tcPr>
                  <w:tcW w:w="426" w:type="dxa"/>
                  <w:noWrap w:val="0"/>
                  <w:vAlign w:val="center"/>
                </w:tcPr>
                <w:p>
                  <w:pPr>
                    <w:pStyle w:val="25"/>
                    <w:bidi w:val="0"/>
                  </w:pPr>
                  <w:r>
                    <w:rPr>
                      <w:rFonts w:hint="eastAsia"/>
                    </w:rPr>
                    <w:t>南</w:t>
                  </w:r>
                </w:p>
              </w:tc>
              <w:tc>
                <w:tcPr>
                  <w:tcW w:w="426" w:type="dxa"/>
                  <w:noWrap w:val="0"/>
                  <w:vAlign w:val="center"/>
                </w:tcPr>
                <w:p>
                  <w:pPr>
                    <w:pStyle w:val="25"/>
                    <w:bidi w:val="0"/>
                  </w:pPr>
                  <w:r>
                    <w:rPr>
                      <w:rFonts w:hint="eastAsia"/>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27" w:type="dxa"/>
                  <w:noWrap w:val="0"/>
                  <w:vAlign w:val="center"/>
                </w:tcPr>
                <w:p>
                  <w:pPr>
                    <w:pStyle w:val="25"/>
                    <w:bidi w:val="0"/>
                  </w:pPr>
                  <w:r>
                    <w:rPr>
                      <w:rFonts w:hint="eastAsia"/>
                    </w:rPr>
                    <w:t>1</w:t>
                  </w:r>
                </w:p>
              </w:tc>
              <w:tc>
                <w:tcPr>
                  <w:tcW w:w="525" w:type="dxa"/>
                  <w:vMerge w:val="restart"/>
                  <w:noWrap w:val="0"/>
                  <w:vAlign w:val="center"/>
                </w:tcPr>
                <w:p>
                  <w:pPr>
                    <w:pStyle w:val="25"/>
                    <w:bidi w:val="0"/>
                    <w:rPr>
                      <w:rFonts w:hint="eastAsia"/>
                      <w:lang w:eastAsia="zh-CN"/>
                    </w:rPr>
                  </w:pPr>
                  <w:r>
                    <w:rPr>
                      <w:rFonts w:hint="eastAsia"/>
                      <w:lang w:eastAsia="zh-CN"/>
                    </w:rPr>
                    <w:t>喷漆间</w:t>
                  </w:r>
                </w:p>
              </w:tc>
              <w:tc>
                <w:tcPr>
                  <w:tcW w:w="690" w:type="dxa"/>
                  <w:noWrap w:val="0"/>
                  <w:vAlign w:val="center"/>
                </w:tcPr>
                <w:p>
                  <w:pPr>
                    <w:pStyle w:val="25"/>
                    <w:bidi w:val="0"/>
                    <w:rPr>
                      <w:rFonts w:hint="eastAsia"/>
                      <w:lang w:val="en-US" w:eastAsia="zh-CN"/>
                    </w:rPr>
                  </w:pPr>
                  <w:r>
                    <w:rPr>
                      <w:rFonts w:hint="eastAsia"/>
                    </w:rPr>
                    <w:t>喷涂机</w:t>
                  </w:r>
                </w:p>
              </w:tc>
              <w:tc>
                <w:tcPr>
                  <w:tcW w:w="480" w:type="dxa"/>
                  <w:noWrap w:val="0"/>
                  <w:vAlign w:val="center"/>
                </w:tcPr>
                <w:p>
                  <w:pPr>
                    <w:pStyle w:val="25"/>
                    <w:bidi w:val="0"/>
                    <w:rPr>
                      <w:rFonts w:hint="eastAsia"/>
                      <w:lang w:val="en-US" w:eastAsia="zh-CN"/>
                    </w:rPr>
                  </w:pPr>
                  <w:r>
                    <w:rPr>
                      <w:rFonts w:hint="eastAsia"/>
                      <w:lang w:val="en-US" w:eastAsia="zh-CN"/>
                    </w:rPr>
                    <w:t>1</w:t>
                  </w:r>
                </w:p>
              </w:tc>
              <w:tc>
                <w:tcPr>
                  <w:tcW w:w="705" w:type="dxa"/>
                  <w:noWrap w:val="0"/>
                  <w:vAlign w:val="center"/>
                </w:tcPr>
                <w:p>
                  <w:pPr>
                    <w:pStyle w:val="25"/>
                    <w:bidi w:val="0"/>
                    <w:rPr>
                      <w:rFonts w:hint="default" w:eastAsia="宋体"/>
                      <w:lang w:val="en-US" w:eastAsia="zh-CN"/>
                    </w:rPr>
                  </w:pPr>
                  <w:r>
                    <w:rPr>
                      <w:rFonts w:hint="eastAsia"/>
                      <w:lang w:val="en-US" w:eastAsia="zh-CN"/>
                    </w:rPr>
                    <w:t>80</w:t>
                  </w:r>
                </w:p>
              </w:tc>
              <w:tc>
                <w:tcPr>
                  <w:tcW w:w="825" w:type="dxa"/>
                  <w:vMerge w:val="restart"/>
                  <w:noWrap w:val="0"/>
                  <w:vAlign w:val="center"/>
                </w:tcPr>
                <w:p>
                  <w:pPr>
                    <w:pStyle w:val="25"/>
                    <w:bidi w:val="0"/>
                  </w:pPr>
                  <w:r>
                    <w:t>设备</w:t>
                  </w:r>
                  <w:r>
                    <w:rPr>
                      <w:rFonts w:hint="eastAsia"/>
                    </w:rPr>
                    <w:t>减振、</w:t>
                  </w:r>
                  <w:r>
                    <w:t>墙体隔声</w:t>
                  </w:r>
                  <w:r>
                    <w:rPr>
                      <w:rFonts w:hint="eastAsia"/>
                    </w:rPr>
                    <w:t>、距离衰减</w:t>
                  </w:r>
                </w:p>
              </w:tc>
              <w:tc>
                <w:tcPr>
                  <w:tcW w:w="480" w:type="dxa"/>
                  <w:noWrap w:val="0"/>
                  <w:vAlign w:val="center"/>
                </w:tcPr>
                <w:p>
                  <w:pPr>
                    <w:pStyle w:val="25"/>
                    <w:bidi w:val="0"/>
                    <w:rPr>
                      <w:rFonts w:hint="default"/>
                      <w:lang w:val="en-US" w:eastAsia="zh-CN"/>
                    </w:rPr>
                  </w:pPr>
                  <w:r>
                    <w:rPr>
                      <w:rFonts w:hint="eastAsia"/>
                      <w:lang w:val="en-US" w:eastAsia="zh-CN"/>
                    </w:rPr>
                    <w:t>37</w:t>
                  </w:r>
                </w:p>
              </w:tc>
              <w:tc>
                <w:tcPr>
                  <w:tcW w:w="480" w:type="dxa"/>
                  <w:noWrap w:val="0"/>
                  <w:vAlign w:val="center"/>
                </w:tcPr>
                <w:p>
                  <w:pPr>
                    <w:pStyle w:val="25"/>
                    <w:bidi w:val="0"/>
                    <w:rPr>
                      <w:rFonts w:hint="default"/>
                      <w:lang w:val="en-US" w:eastAsia="zh-CN"/>
                    </w:rPr>
                  </w:pPr>
                  <w:r>
                    <w:rPr>
                      <w:rFonts w:hint="eastAsia"/>
                      <w:lang w:val="en-US" w:eastAsia="zh-CN"/>
                    </w:rPr>
                    <w:t>8</w:t>
                  </w:r>
                </w:p>
              </w:tc>
              <w:tc>
                <w:tcPr>
                  <w:tcW w:w="435" w:type="dxa"/>
                  <w:noWrap w:val="0"/>
                  <w:vAlign w:val="center"/>
                </w:tcPr>
                <w:p>
                  <w:pPr>
                    <w:pStyle w:val="25"/>
                    <w:bidi w:val="0"/>
                    <w:rPr>
                      <w:rFonts w:hint="default"/>
                      <w:lang w:val="en-US" w:eastAsia="zh-CN"/>
                    </w:rPr>
                  </w:pPr>
                  <w:r>
                    <w:rPr>
                      <w:rFonts w:hint="eastAsia"/>
                      <w:lang w:val="en-US" w:eastAsia="zh-CN"/>
                    </w:rPr>
                    <w:t>1</w:t>
                  </w:r>
                </w:p>
              </w:tc>
              <w:tc>
                <w:tcPr>
                  <w:tcW w:w="450" w:type="dxa"/>
                  <w:noWrap w:val="0"/>
                  <w:vAlign w:val="center"/>
                </w:tcPr>
                <w:p>
                  <w:pPr>
                    <w:pStyle w:val="25"/>
                    <w:bidi w:val="0"/>
                    <w:rPr>
                      <w:rFonts w:hint="default"/>
                      <w:lang w:val="en-US" w:eastAsia="zh-CN"/>
                    </w:rPr>
                  </w:pPr>
                  <w:r>
                    <w:rPr>
                      <w:rFonts w:hint="eastAsia"/>
                      <w:lang w:val="en-US" w:eastAsia="zh-CN"/>
                    </w:rPr>
                    <w:t>33</w:t>
                  </w:r>
                </w:p>
              </w:tc>
              <w:tc>
                <w:tcPr>
                  <w:tcW w:w="415" w:type="dxa"/>
                  <w:noWrap w:val="0"/>
                  <w:vAlign w:val="center"/>
                </w:tcPr>
                <w:p>
                  <w:pPr>
                    <w:pStyle w:val="25"/>
                    <w:bidi w:val="0"/>
                    <w:rPr>
                      <w:rFonts w:hint="default"/>
                      <w:lang w:val="en-US" w:eastAsia="zh-CN"/>
                    </w:rPr>
                  </w:pPr>
                  <w:r>
                    <w:rPr>
                      <w:rFonts w:hint="eastAsia"/>
                      <w:lang w:val="en-US" w:eastAsia="zh-CN"/>
                    </w:rPr>
                    <w:t>8</w:t>
                  </w:r>
                </w:p>
              </w:tc>
              <w:tc>
                <w:tcPr>
                  <w:tcW w:w="435" w:type="dxa"/>
                  <w:noWrap w:val="0"/>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lang w:val="en-US" w:eastAsia="zh-CN"/>
                    </w:rPr>
                    <w:t>7</w:t>
                  </w:r>
                </w:p>
              </w:tc>
              <w:tc>
                <w:tcPr>
                  <w:tcW w:w="470"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5</w:t>
                  </w:r>
                </w:p>
              </w:tc>
              <w:tc>
                <w:tcPr>
                  <w:tcW w:w="615" w:type="dxa"/>
                  <w:noWrap w:val="0"/>
                  <w:vAlign w:val="center"/>
                </w:tcPr>
                <w:p>
                  <w:pPr>
                    <w:pStyle w:val="25"/>
                    <w:bidi w:val="0"/>
                  </w:pPr>
                  <w:r>
                    <w:rPr>
                      <w:rFonts w:hint="eastAsia"/>
                      <w:lang w:val="en-US" w:eastAsia="zh-CN"/>
                    </w:rPr>
                    <w:t>65.8</w:t>
                  </w:r>
                </w:p>
              </w:tc>
              <w:tc>
                <w:tcPr>
                  <w:tcW w:w="630" w:type="dxa"/>
                  <w:noWrap w:val="0"/>
                  <w:vAlign w:val="center"/>
                </w:tcPr>
                <w:p>
                  <w:pPr>
                    <w:pStyle w:val="25"/>
                    <w:bidi w:val="0"/>
                  </w:pPr>
                  <w:r>
                    <w:rPr>
                      <w:rFonts w:hint="eastAsia"/>
                      <w:lang w:val="en-US" w:eastAsia="zh-CN"/>
                    </w:rPr>
                    <w:t>66.0</w:t>
                  </w:r>
                </w:p>
              </w:tc>
              <w:tc>
                <w:tcPr>
                  <w:tcW w:w="630" w:type="dxa"/>
                  <w:noWrap w:val="0"/>
                  <w:vAlign w:val="center"/>
                </w:tcPr>
                <w:p>
                  <w:pPr>
                    <w:pStyle w:val="25"/>
                    <w:bidi w:val="0"/>
                  </w:pPr>
                  <w:r>
                    <w:rPr>
                      <w:rFonts w:hint="eastAsia"/>
                      <w:lang w:val="en-US" w:eastAsia="zh-CN"/>
                    </w:rPr>
                    <w:t>66.1</w:t>
                  </w:r>
                </w:p>
              </w:tc>
              <w:tc>
                <w:tcPr>
                  <w:tcW w:w="615" w:type="dxa"/>
                  <w:noWrap w:val="0"/>
                  <w:vAlign w:val="center"/>
                </w:tcPr>
                <w:p>
                  <w:pPr>
                    <w:pStyle w:val="25"/>
                    <w:bidi w:val="0"/>
                  </w:pPr>
                  <w:r>
                    <w:rPr>
                      <w:rFonts w:hint="eastAsia"/>
                      <w:lang w:val="en-US" w:eastAsia="zh-CN"/>
                    </w:rPr>
                    <w:t>66.4</w:t>
                  </w:r>
                </w:p>
              </w:tc>
              <w:tc>
                <w:tcPr>
                  <w:tcW w:w="645" w:type="dxa"/>
                  <w:vMerge w:val="restart"/>
                  <w:noWrap w:val="0"/>
                  <w:vAlign w:val="center"/>
                </w:tcPr>
                <w:p>
                  <w:pPr>
                    <w:pStyle w:val="25"/>
                    <w:bidi w:val="0"/>
                  </w:pPr>
                  <w:r>
                    <w:rPr>
                      <w:rFonts w:hint="eastAsia"/>
                      <w:lang w:val="en-US" w:eastAsia="zh-CN"/>
                    </w:rPr>
                    <w:t>240</w:t>
                  </w:r>
                  <w:r>
                    <w:rPr>
                      <w:rFonts w:hint="eastAsia"/>
                    </w:rPr>
                    <w:t>0h</w:t>
                  </w:r>
                </w:p>
              </w:tc>
              <w:tc>
                <w:tcPr>
                  <w:tcW w:w="885" w:type="dxa"/>
                  <w:vMerge w:val="restart"/>
                  <w:noWrap w:val="0"/>
                  <w:vAlign w:val="center"/>
                </w:tcPr>
                <w:p>
                  <w:pPr>
                    <w:pStyle w:val="25"/>
                    <w:bidi w:val="0"/>
                  </w:pPr>
                  <w:r>
                    <w:rPr>
                      <w:rFonts w:hint="eastAsia"/>
                    </w:rPr>
                    <w:t>15</w:t>
                  </w:r>
                </w:p>
              </w:tc>
              <w:tc>
                <w:tcPr>
                  <w:tcW w:w="525" w:type="dxa"/>
                  <w:vMerge w:val="restart"/>
                  <w:noWrap w:val="0"/>
                  <w:vAlign w:val="center"/>
                </w:tcPr>
                <w:p>
                  <w:pPr>
                    <w:pStyle w:val="25"/>
                    <w:bidi w:val="0"/>
                    <w:rPr>
                      <w:rFonts w:hint="default"/>
                      <w:lang w:val="en-US" w:eastAsia="zh-CN"/>
                    </w:rPr>
                  </w:pPr>
                  <w:r>
                    <w:rPr>
                      <w:rFonts w:hint="eastAsia"/>
                      <w:lang w:val="en-US" w:eastAsia="zh-CN"/>
                    </w:rPr>
                    <w:t>48.6</w:t>
                  </w:r>
                </w:p>
              </w:tc>
              <w:tc>
                <w:tcPr>
                  <w:tcW w:w="480" w:type="dxa"/>
                  <w:vMerge w:val="restart"/>
                  <w:noWrap w:val="0"/>
                  <w:vAlign w:val="center"/>
                </w:tcPr>
                <w:p>
                  <w:pPr>
                    <w:pStyle w:val="25"/>
                    <w:bidi w:val="0"/>
                    <w:rPr>
                      <w:rFonts w:hint="default"/>
                      <w:lang w:val="en-US" w:eastAsia="zh-CN"/>
                    </w:rPr>
                  </w:pPr>
                  <w:r>
                    <w:rPr>
                      <w:rFonts w:hint="eastAsia"/>
                      <w:lang w:val="en-US" w:eastAsia="zh-CN"/>
                    </w:rPr>
                    <w:t>48.5</w:t>
                  </w:r>
                </w:p>
              </w:tc>
              <w:tc>
                <w:tcPr>
                  <w:tcW w:w="495" w:type="dxa"/>
                  <w:vMerge w:val="restart"/>
                  <w:noWrap w:val="0"/>
                  <w:vAlign w:val="center"/>
                </w:tcPr>
                <w:p>
                  <w:pPr>
                    <w:pStyle w:val="25"/>
                    <w:bidi w:val="0"/>
                    <w:rPr>
                      <w:rFonts w:hint="default"/>
                      <w:lang w:val="en-US" w:eastAsia="zh-CN"/>
                    </w:rPr>
                  </w:pPr>
                  <w:r>
                    <w:rPr>
                      <w:rFonts w:hint="eastAsia"/>
                      <w:lang w:val="en-US" w:eastAsia="zh-CN"/>
                    </w:rPr>
                    <w:t>48.7</w:t>
                  </w:r>
                </w:p>
              </w:tc>
              <w:tc>
                <w:tcPr>
                  <w:tcW w:w="494" w:type="dxa"/>
                  <w:vMerge w:val="restart"/>
                  <w:noWrap w:val="0"/>
                  <w:vAlign w:val="center"/>
                </w:tcPr>
                <w:p>
                  <w:pPr>
                    <w:pStyle w:val="25"/>
                    <w:bidi w:val="0"/>
                    <w:rPr>
                      <w:rFonts w:hint="default"/>
                      <w:lang w:val="en-US" w:eastAsia="zh-CN"/>
                    </w:rPr>
                  </w:pPr>
                  <w:r>
                    <w:rPr>
                      <w:rFonts w:hint="eastAsia"/>
                      <w:lang w:val="en-US" w:eastAsia="zh-CN"/>
                    </w:rPr>
                    <w:t>49.1</w:t>
                  </w:r>
                </w:p>
              </w:tc>
              <w:tc>
                <w:tcPr>
                  <w:tcW w:w="531" w:type="dxa"/>
                  <w:vMerge w:val="restart"/>
                  <w:noWrap w:val="0"/>
                  <w:vAlign w:val="center"/>
                </w:tcPr>
                <w:p>
                  <w:pPr>
                    <w:pStyle w:val="25"/>
                    <w:bidi w:val="0"/>
                    <w:rPr>
                      <w:rFonts w:hint="default"/>
                      <w:lang w:val="en-US" w:eastAsia="zh-CN"/>
                    </w:rPr>
                  </w:pPr>
                  <w:r>
                    <w:rPr>
                      <w:rFonts w:hint="eastAsia"/>
                      <w:lang w:val="en-US" w:eastAsia="zh-CN"/>
                    </w:rPr>
                    <w:t>1</w:t>
                  </w:r>
                </w:p>
              </w:tc>
              <w:tc>
                <w:tcPr>
                  <w:tcW w:w="426" w:type="dxa"/>
                  <w:vMerge w:val="restart"/>
                  <w:noWrap w:val="0"/>
                  <w:vAlign w:val="center"/>
                </w:tcPr>
                <w:p>
                  <w:pPr>
                    <w:pStyle w:val="25"/>
                    <w:bidi w:val="0"/>
                    <w:rPr>
                      <w:rFonts w:hint="default"/>
                      <w:lang w:val="en-US" w:eastAsia="zh-CN"/>
                    </w:rPr>
                  </w:pPr>
                  <w:r>
                    <w:rPr>
                      <w:rFonts w:hint="eastAsia"/>
                      <w:lang w:val="en-US" w:eastAsia="zh-CN"/>
                    </w:rPr>
                    <w:t>1</w:t>
                  </w:r>
                </w:p>
              </w:tc>
              <w:tc>
                <w:tcPr>
                  <w:tcW w:w="426" w:type="dxa"/>
                  <w:vMerge w:val="restart"/>
                  <w:noWrap w:val="0"/>
                  <w:vAlign w:val="center"/>
                </w:tcPr>
                <w:p>
                  <w:pPr>
                    <w:pStyle w:val="25"/>
                    <w:bidi w:val="0"/>
                    <w:rPr>
                      <w:rFonts w:hint="default"/>
                      <w:lang w:val="en-US" w:eastAsia="zh-CN"/>
                    </w:rPr>
                  </w:pPr>
                  <w:r>
                    <w:rPr>
                      <w:rFonts w:hint="eastAsia"/>
                      <w:lang w:val="en-US" w:eastAsia="zh-CN"/>
                    </w:rPr>
                    <w:t>1</w:t>
                  </w:r>
                </w:p>
              </w:tc>
              <w:tc>
                <w:tcPr>
                  <w:tcW w:w="426" w:type="dxa"/>
                  <w:vMerge w:val="restart"/>
                  <w:noWrap w:val="0"/>
                  <w:vAlign w:val="center"/>
                </w:tcPr>
                <w:p>
                  <w:pPr>
                    <w:pStyle w:val="25"/>
                    <w:bidi w:val="0"/>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27"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t>2</w:t>
                  </w:r>
                </w:p>
              </w:tc>
              <w:tc>
                <w:tcPr>
                  <w:tcW w:w="525" w:type="dxa"/>
                  <w:vMerge w:val="continue"/>
                  <w:noWrap w:val="0"/>
                  <w:vAlign w:val="center"/>
                </w:tcPr>
                <w:p>
                  <w:pPr>
                    <w:pStyle w:val="25"/>
                    <w:bidi w:val="0"/>
                    <w:rPr>
                      <w:rFonts w:hint="eastAsia"/>
                      <w:lang w:eastAsia="zh-CN"/>
                    </w:rPr>
                  </w:pPr>
                </w:p>
              </w:tc>
              <w:tc>
                <w:tcPr>
                  <w:tcW w:w="690"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rPr>
                    <w:t>流平机</w:t>
                  </w:r>
                </w:p>
              </w:tc>
              <w:tc>
                <w:tcPr>
                  <w:tcW w:w="480"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1</w:t>
                  </w:r>
                </w:p>
              </w:tc>
              <w:tc>
                <w:tcPr>
                  <w:tcW w:w="705" w:type="dxa"/>
                  <w:noWrap w:val="0"/>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lang w:val="en-US" w:eastAsia="zh-CN"/>
                    </w:rPr>
                    <w:t>75</w:t>
                  </w:r>
                </w:p>
              </w:tc>
              <w:tc>
                <w:tcPr>
                  <w:tcW w:w="825" w:type="dxa"/>
                  <w:vMerge w:val="continue"/>
                  <w:noWrap w:val="0"/>
                  <w:vAlign w:val="center"/>
                </w:tcPr>
                <w:p>
                  <w:pPr>
                    <w:pStyle w:val="25"/>
                    <w:bidi w:val="0"/>
                    <w:ind w:firstLine="0" w:firstLineChars="0"/>
                    <w:rPr>
                      <w:rFonts w:ascii="Times New Roman" w:hAnsi="Times New Roman" w:eastAsia="宋体" w:cs="Times New Roman"/>
                      <w:kern w:val="2"/>
                      <w:sz w:val="21"/>
                      <w:szCs w:val="21"/>
                      <w:lang w:val="en-US" w:eastAsia="zh-CN" w:bidi="ar-SA"/>
                    </w:rPr>
                  </w:pPr>
                </w:p>
              </w:tc>
              <w:tc>
                <w:tcPr>
                  <w:tcW w:w="480" w:type="dxa"/>
                  <w:noWrap w:val="0"/>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21</w:t>
                  </w:r>
                </w:p>
              </w:tc>
              <w:tc>
                <w:tcPr>
                  <w:tcW w:w="480" w:type="dxa"/>
                  <w:noWrap w:val="0"/>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w:t>
                  </w:r>
                </w:p>
              </w:tc>
              <w:tc>
                <w:tcPr>
                  <w:tcW w:w="435" w:type="dxa"/>
                  <w:noWrap w:val="0"/>
                  <w:vAlign w:val="center"/>
                </w:tcPr>
                <w:p>
                  <w:pPr>
                    <w:pStyle w:val="25"/>
                    <w:bidi w:val="0"/>
                    <w:ind w:firstLine="0" w:firstLineChars="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450"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15</w:t>
                  </w:r>
                </w:p>
              </w:tc>
              <w:tc>
                <w:tcPr>
                  <w:tcW w:w="415"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15</w:t>
                  </w:r>
                </w:p>
              </w:tc>
              <w:tc>
                <w:tcPr>
                  <w:tcW w:w="435"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7</w:t>
                  </w:r>
                </w:p>
              </w:tc>
              <w:tc>
                <w:tcPr>
                  <w:tcW w:w="470"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5</w:t>
                  </w:r>
                </w:p>
              </w:tc>
              <w:tc>
                <w:tcPr>
                  <w:tcW w:w="615" w:type="dxa"/>
                  <w:noWrap w:val="0"/>
                  <w:vAlign w:val="center"/>
                </w:tcPr>
                <w:p>
                  <w:pPr>
                    <w:pStyle w:val="25"/>
                    <w:bidi w:val="0"/>
                    <w:rPr>
                      <w:rFonts w:hint="eastAsia"/>
                      <w:lang w:val="en-US" w:eastAsia="zh-CN"/>
                    </w:rPr>
                  </w:pPr>
                  <w:r>
                    <w:rPr>
                      <w:rFonts w:hint="eastAsia"/>
                      <w:lang w:val="en-US" w:eastAsia="zh-CN"/>
                    </w:rPr>
                    <w:t>60.8</w:t>
                  </w:r>
                </w:p>
              </w:tc>
              <w:tc>
                <w:tcPr>
                  <w:tcW w:w="630" w:type="dxa"/>
                  <w:noWrap w:val="0"/>
                  <w:vAlign w:val="center"/>
                </w:tcPr>
                <w:p>
                  <w:pPr>
                    <w:pStyle w:val="25"/>
                    <w:bidi w:val="0"/>
                    <w:rPr>
                      <w:rFonts w:hint="eastAsia"/>
                      <w:lang w:val="en-US" w:eastAsia="zh-CN"/>
                    </w:rPr>
                  </w:pPr>
                  <w:r>
                    <w:rPr>
                      <w:rFonts w:hint="eastAsia"/>
                      <w:lang w:val="en-US" w:eastAsia="zh-CN"/>
                    </w:rPr>
                    <w:t>60.8</w:t>
                  </w:r>
                </w:p>
              </w:tc>
              <w:tc>
                <w:tcPr>
                  <w:tcW w:w="630" w:type="dxa"/>
                  <w:noWrap w:val="0"/>
                  <w:vAlign w:val="center"/>
                </w:tcPr>
                <w:p>
                  <w:pPr>
                    <w:pStyle w:val="25"/>
                    <w:bidi w:val="0"/>
                    <w:rPr>
                      <w:rFonts w:hint="eastAsia"/>
                      <w:lang w:val="en-US" w:eastAsia="zh-CN"/>
                    </w:rPr>
                  </w:pPr>
                  <w:r>
                    <w:rPr>
                      <w:rFonts w:hint="eastAsia"/>
                      <w:lang w:val="en-US" w:eastAsia="zh-CN"/>
                    </w:rPr>
                    <w:t>61.1</w:t>
                  </w:r>
                </w:p>
              </w:tc>
              <w:tc>
                <w:tcPr>
                  <w:tcW w:w="615" w:type="dxa"/>
                  <w:noWrap w:val="0"/>
                  <w:vAlign w:val="center"/>
                </w:tcPr>
                <w:p>
                  <w:pPr>
                    <w:pStyle w:val="25"/>
                    <w:bidi w:val="0"/>
                    <w:rPr>
                      <w:rFonts w:hint="eastAsia"/>
                      <w:lang w:val="en-US" w:eastAsia="zh-CN"/>
                    </w:rPr>
                  </w:pPr>
                  <w:r>
                    <w:rPr>
                      <w:rFonts w:hint="eastAsia"/>
                      <w:lang w:val="en-US" w:eastAsia="zh-CN"/>
                    </w:rPr>
                    <w:t>61.4</w:t>
                  </w:r>
                </w:p>
              </w:tc>
              <w:tc>
                <w:tcPr>
                  <w:tcW w:w="645" w:type="dxa"/>
                  <w:vMerge w:val="continue"/>
                  <w:noWrap w:val="0"/>
                  <w:vAlign w:val="center"/>
                </w:tcPr>
                <w:p>
                  <w:pPr>
                    <w:pStyle w:val="25"/>
                    <w:bidi w:val="0"/>
                    <w:rPr>
                      <w:rFonts w:hint="eastAsia"/>
                      <w:lang w:val="en-US" w:eastAsia="zh-CN"/>
                    </w:rPr>
                  </w:pPr>
                </w:p>
              </w:tc>
              <w:tc>
                <w:tcPr>
                  <w:tcW w:w="885" w:type="dxa"/>
                  <w:vMerge w:val="continue"/>
                  <w:noWrap w:val="0"/>
                  <w:vAlign w:val="center"/>
                </w:tcPr>
                <w:p>
                  <w:pPr>
                    <w:pStyle w:val="25"/>
                    <w:bidi w:val="0"/>
                    <w:rPr>
                      <w:rFonts w:hint="eastAsia"/>
                    </w:rPr>
                  </w:pPr>
                </w:p>
              </w:tc>
              <w:tc>
                <w:tcPr>
                  <w:tcW w:w="525" w:type="dxa"/>
                  <w:vMerge w:val="continue"/>
                  <w:noWrap w:val="0"/>
                  <w:vAlign w:val="center"/>
                </w:tcPr>
                <w:p>
                  <w:pPr>
                    <w:pStyle w:val="25"/>
                    <w:bidi w:val="0"/>
                    <w:rPr>
                      <w:rFonts w:hint="eastAsia"/>
                      <w:lang w:val="en-US" w:eastAsia="zh-CN"/>
                    </w:rPr>
                  </w:pPr>
                </w:p>
              </w:tc>
              <w:tc>
                <w:tcPr>
                  <w:tcW w:w="480" w:type="dxa"/>
                  <w:vMerge w:val="continue"/>
                  <w:noWrap w:val="0"/>
                  <w:vAlign w:val="center"/>
                </w:tcPr>
                <w:p>
                  <w:pPr>
                    <w:pStyle w:val="25"/>
                    <w:bidi w:val="0"/>
                    <w:rPr>
                      <w:rFonts w:hint="eastAsia"/>
                      <w:lang w:val="en-US" w:eastAsia="zh-CN"/>
                    </w:rPr>
                  </w:pPr>
                </w:p>
              </w:tc>
              <w:tc>
                <w:tcPr>
                  <w:tcW w:w="495" w:type="dxa"/>
                  <w:vMerge w:val="continue"/>
                  <w:noWrap w:val="0"/>
                  <w:vAlign w:val="center"/>
                </w:tcPr>
                <w:p>
                  <w:pPr>
                    <w:pStyle w:val="25"/>
                    <w:bidi w:val="0"/>
                    <w:rPr>
                      <w:rFonts w:hint="eastAsia"/>
                      <w:lang w:val="en-US" w:eastAsia="zh-CN"/>
                    </w:rPr>
                  </w:pPr>
                </w:p>
              </w:tc>
              <w:tc>
                <w:tcPr>
                  <w:tcW w:w="494" w:type="dxa"/>
                  <w:vMerge w:val="continue"/>
                  <w:noWrap w:val="0"/>
                  <w:vAlign w:val="center"/>
                </w:tcPr>
                <w:p>
                  <w:pPr>
                    <w:pStyle w:val="25"/>
                    <w:bidi w:val="0"/>
                    <w:rPr>
                      <w:rFonts w:hint="eastAsia"/>
                      <w:lang w:val="en-US" w:eastAsia="zh-CN"/>
                    </w:rPr>
                  </w:pPr>
                </w:p>
              </w:tc>
              <w:tc>
                <w:tcPr>
                  <w:tcW w:w="531" w:type="dxa"/>
                  <w:vMerge w:val="continue"/>
                  <w:noWrap w:val="0"/>
                  <w:vAlign w:val="center"/>
                </w:tcPr>
                <w:p>
                  <w:pPr>
                    <w:pStyle w:val="25"/>
                    <w:bidi w:val="0"/>
                    <w:rPr>
                      <w:rFonts w:hint="eastAsia"/>
                      <w:lang w:val="en-US" w:eastAsia="zh-CN"/>
                    </w:rPr>
                  </w:pPr>
                </w:p>
              </w:tc>
              <w:tc>
                <w:tcPr>
                  <w:tcW w:w="426" w:type="dxa"/>
                  <w:vMerge w:val="continue"/>
                  <w:noWrap w:val="0"/>
                  <w:vAlign w:val="center"/>
                </w:tcPr>
                <w:p>
                  <w:pPr>
                    <w:pStyle w:val="25"/>
                    <w:bidi w:val="0"/>
                    <w:rPr>
                      <w:rFonts w:hint="eastAsia"/>
                      <w:lang w:val="en-US" w:eastAsia="zh-CN"/>
                    </w:rPr>
                  </w:pPr>
                </w:p>
              </w:tc>
              <w:tc>
                <w:tcPr>
                  <w:tcW w:w="426" w:type="dxa"/>
                  <w:vMerge w:val="continue"/>
                  <w:noWrap w:val="0"/>
                  <w:vAlign w:val="center"/>
                </w:tcPr>
                <w:p>
                  <w:pPr>
                    <w:pStyle w:val="25"/>
                    <w:bidi w:val="0"/>
                    <w:rPr>
                      <w:rFonts w:hint="eastAsia"/>
                      <w:lang w:val="en-US" w:eastAsia="zh-CN"/>
                    </w:rPr>
                  </w:pPr>
                </w:p>
              </w:tc>
              <w:tc>
                <w:tcPr>
                  <w:tcW w:w="426" w:type="dxa"/>
                  <w:vMerge w:val="continue"/>
                  <w:noWrap w:val="0"/>
                  <w:vAlign w:val="center"/>
                </w:tcPr>
                <w:p>
                  <w:pPr>
                    <w:pStyle w:val="25"/>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t>3</w:t>
                  </w:r>
                </w:p>
              </w:tc>
              <w:tc>
                <w:tcPr>
                  <w:tcW w:w="525" w:type="dxa"/>
                  <w:vMerge w:val="continue"/>
                  <w:noWrap w:val="0"/>
                  <w:vAlign w:val="center"/>
                </w:tcPr>
                <w:p>
                  <w:pPr>
                    <w:pStyle w:val="25"/>
                    <w:bidi w:val="0"/>
                    <w:rPr>
                      <w:rFonts w:hint="eastAsia"/>
                    </w:rPr>
                  </w:pPr>
                </w:p>
              </w:tc>
              <w:tc>
                <w:tcPr>
                  <w:tcW w:w="690" w:type="dxa"/>
                  <w:noWrap w:val="0"/>
                  <w:vAlign w:val="center"/>
                </w:tcPr>
                <w:p>
                  <w:pPr>
                    <w:pStyle w:val="25"/>
                    <w:bidi w:val="0"/>
                    <w:rPr>
                      <w:rFonts w:hint="eastAsia"/>
                      <w:lang w:val="en-US" w:eastAsia="zh-CN"/>
                    </w:rPr>
                  </w:pPr>
                  <w:r>
                    <w:rPr>
                      <w:rFonts w:hint="eastAsia"/>
                      <w:lang w:val="en-US" w:eastAsia="zh-CN"/>
                    </w:rPr>
                    <w:t>固化机</w:t>
                  </w:r>
                </w:p>
              </w:tc>
              <w:tc>
                <w:tcPr>
                  <w:tcW w:w="480" w:type="dxa"/>
                  <w:noWrap w:val="0"/>
                  <w:vAlign w:val="center"/>
                </w:tcPr>
                <w:p>
                  <w:pPr>
                    <w:pStyle w:val="25"/>
                    <w:bidi w:val="0"/>
                    <w:rPr>
                      <w:rFonts w:hint="default"/>
                      <w:lang w:val="en-US" w:eastAsia="zh-CN"/>
                    </w:rPr>
                  </w:pPr>
                  <w:r>
                    <w:rPr>
                      <w:rFonts w:hint="eastAsia"/>
                      <w:lang w:val="en-US" w:eastAsia="zh-CN"/>
                    </w:rPr>
                    <w:t>1</w:t>
                  </w:r>
                </w:p>
              </w:tc>
              <w:tc>
                <w:tcPr>
                  <w:tcW w:w="705" w:type="dxa"/>
                  <w:noWrap w:val="0"/>
                  <w:vAlign w:val="center"/>
                </w:tcPr>
                <w:p>
                  <w:pPr>
                    <w:pStyle w:val="25"/>
                    <w:bidi w:val="0"/>
                    <w:rPr>
                      <w:rFonts w:hint="default"/>
                      <w:lang w:val="en-US" w:eastAsia="zh-CN"/>
                    </w:rPr>
                  </w:pPr>
                  <w:r>
                    <w:rPr>
                      <w:rFonts w:hint="eastAsia"/>
                      <w:lang w:val="en-US" w:eastAsia="zh-CN"/>
                    </w:rPr>
                    <w:t>80</w:t>
                  </w:r>
                </w:p>
              </w:tc>
              <w:tc>
                <w:tcPr>
                  <w:tcW w:w="825" w:type="dxa"/>
                  <w:vMerge w:val="continue"/>
                  <w:noWrap w:val="0"/>
                  <w:vAlign w:val="center"/>
                </w:tcPr>
                <w:p>
                  <w:pPr>
                    <w:pStyle w:val="25"/>
                    <w:bidi w:val="0"/>
                  </w:pPr>
                </w:p>
              </w:tc>
              <w:tc>
                <w:tcPr>
                  <w:tcW w:w="480" w:type="dxa"/>
                  <w:noWrap w:val="0"/>
                  <w:vAlign w:val="center"/>
                </w:tcPr>
                <w:p>
                  <w:pPr>
                    <w:pStyle w:val="25"/>
                    <w:bidi w:val="0"/>
                    <w:rPr>
                      <w:rFonts w:hint="default"/>
                      <w:lang w:val="en-US" w:eastAsia="zh-CN"/>
                    </w:rPr>
                  </w:pPr>
                  <w:r>
                    <w:rPr>
                      <w:rFonts w:hint="eastAsia"/>
                      <w:lang w:val="en-US" w:eastAsia="zh-CN"/>
                    </w:rPr>
                    <w:t>8</w:t>
                  </w:r>
                </w:p>
              </w:tc>
              <w:tc>
                <w:tcPr>
                  <w:tcW w:w="480" w:type="dxa"/>
                  <w:noWrap w:val="0"/>
                  <w:vAlign w:val="center"/>
                </w:tcPr>
                <w:p>
                  <w:pPr>
                    <w:pStyle w:val="25"/>
                    <w:bidi w:val="0"/>
                    <w:rPr>
                      <w:rFonts w:hint="default"/>
                      <w:lang w:val="en-US" w:eastAsia="zh-CN"/>
                    </w:rPr>
                  </w:pPr>
                  <w:r>
                    <w:rPr>
                      <w:rFonts w:hint="eastAsia"/>
                      <w:lang w:val="en-US" w:eastAsia="zh-CN"/>
                    </w:rPr>
                    <w:t>8</w:t>
                  </w:r>
                </w:p>
              </w:tc>
              <w:tc>
                <w:tcPr>
                  <w:tcW w:w="435" w:type="dxa"/>
                  <w:noWrap w:val="0"/>
                  <w:vAlign w:val="center"/>
                </w:tcPr>
                <w:p>
                  <w:pPr>
                    <w:pStyle w:val="25"/>
                    <w:bidi w:val="0"/>
                    <w:rPr>
                      <w:rFonts w:hint="default"/>
                      <w:lang w:val="en-US" w:eastAsia="zh-CN"/>
                    </w:rPr>
                  </w:pPr>
                  <w:r>
                    <w:rPr>
                      <w:rFonts w:hint="eastAsia"/>
                      <w:lang w:val="en-US" w:eastAsia="zh-CN"/>
                    </w:rPr>
                    <w:t>1</w:t>
                  </w:r>
                </w:p>
              </w:tc>
              <w:tc>
                <w:tcPr>
                  <w:tcW w:w="450" w:type="dxa"/>
                  <w:noWrap w:val="0"/>
                  <w:vAlign w:val="center"/>
                </w:tcPr>
                <w:p>
                  <w:pPr>
                    <w:pStyle w:val="25"/>
                    <w:bidi w:val="0"/>
                    <w:rPr>
                      <w:rFonts w:hint="default"/>
                      <w:lang w:val="en-US" w:eastAsia="zh-CN"/>
                    </w:rPr>
                  </w:pPr>
                  <w:r>
                    <w:rPr>
                      <w:rFonts w:hint="eastAsia"/>
                      <w:lang w:val="en-US" w:eastAsia="zh-CN"/>
                    </w:rPr>
                    <w:t>7</w:t>
                  </w:r>
                </w:p>
              </w:tc>
              <w:tc>
                <w:tcPr>
                  <w:tcW w:w="415" w:type="dxa"/>
                  <w:noWrap w:val="0"/>
                  <w:vAlign w:val="center"/>
                </w:tcPr>
                <w:p>
                  <w:pPr>
                    <w:pStyle w:val="25"/>
                    <w:bidi w:val="0"/>
                    <w:rPr>
                      <w:rFonts w:hint="default"/>
                      <w:lang w:val="en-US" w:eastAsia="zh-CN"/>
                    </w:rPr>
                  </w:pPr>
                  <w:r>
                    <w:rPr>
                      <w:rFonts w:hint="eastAsia"/>
                      <w:lang w:val="en-US" w:eastAsia="zh-CN"/>
                    </w:rPr>
                    <w:t>35</w:t>
                  </w:r>
                </w:p>
              </w:tc>
              <w:tc>
                <w:tcPr>
                  <w:tcW w:w="435"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7</w:t>
                  </w:r>
                </w:p>
              </w:tc>
              <w:tc>
                <w:tcPr>
                  <w:tcW w:w="470" w:type="dxa"/>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5</w:t>
                  </w:r>
                </w:p>
              </w:tc>
              <w:tc>
                <w:tcPr>
                  <w:tcW w:w="615" w:type="dxa"/>
                  <w:noWrap w:val="0"/>
                  <w:vAlign w:val="center"/>
                </w:tcPr>
                <w:p>
                  <w:pPr>
                    <w:pStyle w:val="25"/>
                    <w:bidi w:val="0"/>
                    <w:rPr>
                      <w:rFonts w:hint="eastAsia"/>
                    </w:rPr>
                  </w:pPr>
                  <w:r>
                    <w:rPr>
                      <w:rFonts w:hint="eastAsia"/>
                      <w:lang w:val="en-US" w:eastAsia="zh-CN"/>
                    </w:rPr>
                    <w:t>66.1</w:t>
                  </w:r>
                </w:p>
              </w:tc>
              <w:tc>
                <w:tcPr>
                  <w:tcW w:w="630" w:type="dxa"/>
                  <w:noWrap w:val="0"/>
                  <w:vAlign w:val="center"/>
                </w:tcPr>
                <w:p>
                  <w:pPr>
                    <w:pStyle w:val="25"/>
                    <w:bidi w:val="0"/>
                    <w:rPr>
                      <w:rFonts w:hint="eastAsia"/>
                    </w:rPr>
                  </w:pPr>
                  <w:r>
                    <w:rPr>
                      <w:rFonts w:hint="eastAsia"/>
                      <w:lang w:val="en-US" w:eastAsia="zh-CN"/>
                    </w:rPr>
                    <w:t>65.8</w:t>
                  </w:r>
                </w:p>
              </w:tc>
              <w:tc>
                <w:tcPr>
                  <w:tcW w:w="630" w:type="dxa"/>
                  <w:noWrap w:val="0"/>
                  <w:vAlign w:val="center"/>
                </w:tcPr>
                <w:p>
                  <w:pPr>
                    <w:pStyle w:val="25"/>
                    <w:bidi w:val="0"/>
                    <w:rPr>
                      <w:rFonts w:hint="eastAsia"/>
                    </w:rPr>
                  </w:pPr>
                  <w:r>
                    <w:rPr>
                      <w:rFonts w:hint="eastAsia"/>
                      <w:lang w:val="en-US" w:eastAsia="zh-CN"/>
                    </w:rPr>
                    <w:t>66.1</w:t>
                  </w:r>
                </w:p>
              </w:tc>
              <w:tc>
                <w:tcPr>
                  <w:tcW w:w="615" w:type="dxa"/>
                  <w:noWrap w:val="0"/>
                  <w:vAlign w:val="center"/>
                </w:tcPr>
                <w:p>
                  <w:pPr>
                    <w:pStyle w:val="25"/>
                    <w:bidi w:val="0"/>
                    <w:rPr>
                      <w:rFonts w:hint="eastAsia"/>
                    </w:rPr>
                  </w:pPr>
                  <w:r>
                    <w:rPr>
                      <w:rFonts w:hint="eastAsia"/>
                      <w:lang w:val="en-US" w:eastAsia="zh-CN"/>
                    </w:rPr>
                    <w:t>66.4</w:t>
                  </w:r>
                </w:p>
              </w:tc>
              <w:tc>
                <w:tcPr>
                  <w:tcW w:w="645" w:type="dxa"/>
                  <w:vMerge w:val="restart"/>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240</w:t>
                  </w:r>
                  <w:r>
                    <w:rPr>
                      <w:rFonts w:hint="eastAsia"/>
                    </w:rPr>
                    <w:t>0h</w:t>
                  </w:r>
                </w:p>
              </w:tc>
              <w:tc>
                <w:tcPr>
                  <w:tcW w:w="885" w:type="dxa"/>
                  <w:vMerge w:val="restart"/>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rPr>
                    <w:t>15</w:t>
                  </w:r>
                </w:p>
              </w:tc>
              <w:tc>
                <w:tcPr>
                  <w:tcW w:w="525" w:type="dxa"/>
                  <w:vMerge w:val="restart"/>
                  <w:noWrap w:val="0"/>
                  <w:vAlign w:val="center"/>
                </w:tcPr>
                <w:p>
                  <w:pPr>
                    <w:pStyle w:val="25"/>
                    <w:bidi w:val="0"/>
                    <w:rPr>
                      <w:rFonts w:hint="default" w:eastAsia="宋体"/>
                      <w:lang w:val="en-US" w:eastAsia="zh-CN"/>
                    </w:rPr>
                  </w:pPr>
                  <w:r>
                    <w:rPr>
                      <w:rFonts w:hint="eastAsia"/>
                      <w:lang w:val="en-US" w:eastAsia="zh-CN"/>
                    </w:rPr>
                    <w:t>52.8</w:t>
                  </w:r>
                </w:p>
              </w:tc>
              <w:tc>
                <w:tcPr>
                  <w:tcW w:w="480" w:type="dxa"/>
                  <w:vMerge w:val="restart"/>
                  <w:noWrap w:val="0"/>
                  <w:vAlign w:val="center"/>
                </w:tcPr>
                <w:p>
                  <w:pPr>
                    <w:pStyle w:val="25"/>
                    <w:bidi w:val="0"/>
                    <w:rPr>
                      <w:rFonts w:hint="default" w:eastAsia="宋体"/>
                      <w:lang w:val="en-US" w:eastAsia="zh-CN"/>
                    </w:rPr>
                  </w:pPr>
                  <w:r>
                    <w:rPr>
                      <w:rFonts w:hint="eastAsia"/>
                      <w:lang w:val="en-US" w:eastAsia="zh-CN"/>
                    </w:rPr>
                    <w:t>52.8</w:t>
                  </w:r>
                </w:p>
              </w:tc>
              <w:tc>
                <w:tcPr>
                  <w:tcW w:w="495" w:type="dxa"/>
                  <w:vMerge w:val="restart"/>
                  <w:noWrap w:val="0"/>
                  <w:vAlign w:val="center"/>
                </w:tcPr>
                <w:p>
                  <w:pPr>
                    <w:pStyle w:val="25"/>
                    <w:bidi w:val="0"/>
                    <w:rPr>
                      <w:rFonts w:hint="default" w:eastAsia="宋体"/>
                      <w:lang w:val="en-US" w:eastAsia="zh-CN"/>
                    </w:rPr>
                  </w:pPr>
                  <w:r>
                    <w:rPr>
                      <w:rFonts w:hint="eastAsia"/>
                      <w:lang w:val="en-US" w:eastAsia="zh-CN"/>
                    </w:rPr>
                    <w:t>55.0</w:t>
                  </w:r>
                </w:p>
              </w:tc>
              <w:tc>
                <w:tcPr>
                  <w:tcW w:w="494" w:type="dxa"/>
                  <w:vMerge w:val="restart"/>
                  <w:noWrap w:val="0"/>
                  <w:vAlign w:val="center"/>
                </w:tcPr>
                <w:p>
                  <w:pPr>
                    <w:pStyle w:val="25"/>
                    <w:bidi w:val="0"/>
                    <w:rPr>
                      <w:rFonts w:hint="default" w:eastAsia="宋体"/>
                      <w:lang w:val="en-US" w:eastAsia="zh-CN"/>
                    </w:rPr>
                  </w:pPr>
                  <w:r>
                    <w:rPr>
                      <w:rFonts w:hint="eastAsia"/>
                      <w:lang w:val="en-US" w:eastAsia="zh-CN"/>
                    </w:rPr>
                    <w:t>55.0</w:t>
                  </w:r>
                </w:p>
              </w:tc>
              <w:tc>
                <w:tcPr>
                  <w:tcW w:w="531" w:type="dxa"/>
                  <w:vMerge w:val="restart"/>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1</w:t>
                  </w:r>
                </w:p>
              </w:tc>
              <w:tc>
                <w:tcPr>
                  <w:tcW w:w="426" w:type="dxa"/>
                  <w:vMerge w:val="restart"/>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1</w:t>
                  </w:r>
                </w:p>
              </w:tc>
              <w:tc>
                <w:tcPr>
                  <w:tcW w:w="426" w:type="dxa"/>
                  <w:vMerge w:val="restart"/>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1</w:t>
                  </w:r>
                </w:p>
              </w:tc>
              <w:tc>
                <w:tcPr>
                  <w:tcW w:w="426" w:type="dxa"/>
                  <w:vMerge w:val="restart"/>
                  <w:noWrap w:val="0"/>
                  <w:vAlign w:val="center"/>
                </w:tcPr>
                <w:p>
                  <w:pPr>
                    <w:pStyle w:val="25"/>
                    <w:bidi w:val="0"/>
                    <w:ind w:firstLine="0" w:firstLineChars="0"/>
                    <w:rPr>
                      <w:rFonts w:hint="eastAsia" w:ascii="Times New Roman" w:hAnsi="Times New Roman" w:eastAsia="宋体" w:cs="Times New Roman"/>
                      <w:kern w:val="2"/>
                      <w:sz w:val="21"/>
                      <w:szCs w:val="21"/>
                      <w:lang w:val="en-US" w:eastAsia="zh-CN"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dxa"/>
                  <w:noWrap w:val="0"/>
                  <w:vAlign w:val="center"/>
                </w:tcPr>
                <w:p>
                  <w:pPr>
                    <w:pStyle w:val="25"/>
                    <w:bidi w:val="0"/>
                    <w:rPr>
                      <w:rFonts w:hint="eastAsia" w:eastAsia="宋体"/>
                      <w:lang w:val="en-US" w:eastAsia="zh-CN"/>
                    </w:rPr>
                  </w:pPr>
                  <w:r>
                    <w:rPr>
                      <w:rFonts w:hint="eastAsia"/>
                      <w:lang w:val="en-US" w:eastAsia="zh-CN"/>
                    </w:rPr>
                    <w:t>4</w:t>
                  </w:r>
                </w:p>
              </w:tc>
              <w:tc>
                <w:tcPr>
                  <w:tcW w:w="525" w:type="dxa"/>
                  <w:noWrap w:val="0"/>
                  <w:vAlign w:val="center"/>
                </w:tcPr>
                <w:p>
                  <w:pPr>
                    <w:pStyle w:val="25"/>
                    <w:bidi w:val="0"/>
                    <w:rPr>
                      <w:rFonts w:hint="eastAsia"/>
                      <w:lang w:eastAsia="zh-CN"/>
                    </w:rPr>
                  </w:pPr>
                  <w:r>
                    <w:rPr>
                      <w:rFonts w:hint="eastAsia"/>
                      <w:lang w:eastAsia="zh-CN"/>
                    </w:rPr>
                    <w:t>打磨间</w:t>
                  </w:r>
                </w:p>
              </w:tc>
              <w:tc>
                <w:tcPr>
                  <w:tcW w:w="690" w:type="dxa"/>
                  <w:noWrap w:val="0"/>
                  <w:vAlign w:val="center"/>
                </w:tcPr>
                <w:p>
                  <w:pPr>
                    <w:pStyle w:val="25"/>
                    <w:bidi w:val="0"/>
                    <w:rPr>
                      <w:rFonts w:hint="default"/>
                      <w:lang w:val="en-US" w:eastAsia="zh-CN"/>
                    </w:rPr>
                  </w:pPr>
                  <w:r>
                    <w:rPr>
                      <w:rFonts w:hint="eastAsia"/>
                    </w:rPr>
                    <w:t>异型砂光机</w:t>
                  </w:r>
                </w:p>
              </w:tc>
              <w:tc>
                <w:tcPr>
                  <w:tcW w:w="480" w:type="dxa"/>
                  <w:noWrap w:val="0"/>
                  <w:vAlign w:val="center"/>
                </w:tcPr>
                <w:p>
                  <w:pPr>
                    <w:pStyle w:val="25"/>
                    <w:bidi w:val="0"/>
                    <w:rPr>
                      <w:rFonts w:hint="eastAsia"/>
                      <w:lang w:val="en-US" w:eastAsia="zh-CN"/>
                    </w:rPr>
                  </w:pPr>
                  <w:r>
                    <w:rPr>
                      <w:rFonts w:hint="eastAsia"/>
                      <w:lang w:val="en-US" w:eastAsia="zh-CN"/>
                    </w:rPr>
                    <w:t>2</w:t>
                  </w:r>
                </w:p>
              </w:tc>
              <w:tc>
                <w:tcPr>
                  <w:tcW w:w="705" w:type="dxa"/>
                  <w:noWrap w:val="0"/>
                  <w:vAlign w:val="center"/>
                </w:tcPr>
                <w:p>
                  <w:pPr>
                    <w:pStyle w:val="25"/>
                    <w:bidi w:val="0"/>
                    <w:rPr>
                      <w:rFonts w:hint="default" w:eastAsia="宋体"/>
                      <w:lang w:val="en-US" w:eastAsia="zh-CN"/>
                    </w:rPr>
                  </w:pPr>
                  <w:r>
                    <w:rPr>
                      <w:rFonts w:hint="eastAsia"/>
                      <w:lang w:val="en-US" w:eastAsia="zh-CN"/>
                    </w:rPr>
                    <w:t>85</w:t>
                  </w:r>
                </w:p>
              </w:tc>
              <w:tc>
                <w:tcPr>
                  <w:tcW w:w="825" w:type="dxa"/>
                  <w:vMerge w:val="continue"/>
                  <w:noWrap w:val="0"/>
                  <w:vAlign w:val="center"/>
                </w:tcPr>
                <w:p>
                  <w:pPr>
                    <w:pStyle w:val="25"/>
                    <w:bidi w:val="0"/>
                  </w:pPr>
                </w:p>
              </w:tc>
              <w:tc>
                <w:tcPr>
                  <w:tcW w:w="480" w:type="dxa"/>
                  <w:noWrap w:val="0"/>
                  <w:vAlign w:val="center"/>
                </w:tcPr>
                <w:p>
                  <w:pPr>
                    <w:pStyle w:val="25"/>
                    <w:bidi w:val="0"/>
                    <w:rPr>
                      <w:rFonts w:hint="default"/>
                      <w:lang w:val="en-US" w:eastAsia="zh-CN"/>
                    </w:rPr>
                  </w:pPr>
                  <w:r>
                    <w:rPr>
                      <w:rFonts w:hint="eastAsia"/>
                      <w:lang w:val="en-US" w:eastAsia="zh-CN"/>
                    </w:rPr>
                    <w:t>22</w:t>
                  </w:r>
                </w:p>
              </w:tc>
              <w:tc>
                <w:tcPr>
                  <w:tcW w:w="480" w:type="dxa"/>
                  <w:noWrap w:val="0"/>
                  <w:vAlign w:val="center"/>
                </w:tcPr>
                <w:p>
                  <w:pPr>
                    <w:pStyle w:val="25"/>
                    <w:bidi w:val="0"/>
                    <w:rPr>
                      <w:rFonts w:hint="default"/>
                      <w:lang w:val="en-US" w:eastAsia="zh-CN"/>
                    </w:rPr>
                  </w:pPr>
                  <w:r>
                    <w:rPr>
                      <w:rFonts w:hint="eastAsia"/>
                      <w:lang w:val="en-US" w:eastAsia="zh-CN"/>
                    </w:rPr>
                    <w:t>18</w:t>
                  </w:r>
                </w:p>
              </w:tc>
              <w:tc>
                <w:tcPr>
                  <w:tcW w:w="435" w:type="dxa"/>
                  <w:noWrap w:val="0"/>
                  <w:vAlign w:val="center"/>
                </w:tcPr>
                <w:p>
                  <w:pPr>
                    <w:pStyle w:val="25"/>
                    <w:bidi w:val="0"/>
                    <w:rPr>
                      <w:rFonts w:hint="default"/>
                      <w:lang w:val="en-US" w:eastAsia="zh-CN"/>
                    </w:rPr>
                  </w:pPr>
                  <w:r>
                    <w:rPr>
                      <w:rFonts w:hint="eastAsia"/>
                      <w:lang w:val="en-US" w:eastAsia="zh-CN"/>
                    </w:rPr>
                    <w:t>1</w:t>
                  </w:r>
                </w:p>
              </w:tc>
              <w:tc>
                <w:tcPr>
                  <w:tcW w:w="450" w:type="dxa"/>
                  <w:noWrap w:val="0"/>
                  <w:vAlign w:val="center"/>
                </w:tcPr>
                <w:p>
                  <w:pPr>
                    <w:pStyle w:val="25"/>
                    <w:bidi w:val="0"/>
                    <w:rPr>
                      <w:rFonts w:hint="default"/>
                      <w:lang w:val="en-US" w:eastAsia="zh-CN"/>
                    </w:rPr>
                  </w:pPr>
                  <w:r>
                    <w:rPr>
                      <w:rFonts w:hint="eastAsia"/>
                      <w:lang w:val="en-US" w:eastAsia="zh-CN"/>
                    </w:rPr>
                    <w:t>22</w:t>
                  </w:r>
                </w:p>
              </w:tc>
              <w:tc>
                <w:tcPr>
                  <w:tcW w:w="415" w:type="dxa"/>
                  <w:noWrap w:val="0"/>
                  <w:vAlign w:val="center"/>
                </w:tcPr>
                <w:p>
                  <w:pPr>
                    <w:pStyle w:val="25"/>
                    <w:bidi w:val="0"/>
                    <w:rPr>
                      <w:rFonts w:hint="default"/>
                      <w:lang w:val="en-US" w:eastAsia="zh-CN"/>
                    </w:rPr>
                  </w:pPr>
                  <w:r>
                    <w:rPr>
                      <w:rFonts w:hint="eastAsia"/>
                      <w:lang w:val="en-US" w:eastAsia="zh-CN"/>
                    </w:rPr>
                    <w:t>22</w:t>
                  </w:r>
                </w:p>
              </w:tc>
              <w:tc>
                <w:tcPr>
                  <w:tcW w:w="435" w:type="dxa"/>
                  <w:noWrap w:val="0"/>
                  <w:vAlign w:val="center"/>
                </w:tcPr>
                <w:p>
                  <w:pPr>
                    <w:pStyle w:val="25"/>
                    <w:bidi w:val="0"/>
                    <w:rPr>
                      <w:rFonts w:hint="default"/>
                      <w:lang w:val="en-US" w:eastAsia="zh-CN"/>
                    </w:rPr>
                  </w:pPr>
                  <w:r>
                    <w:rPr>
                      <w:rFonts w:hint="eastAsia"/>
                      <w:lang w:val="en-US" w:eastAsia="zh-CN"/>
                    </w:rPr>
                    <w:t>2.5</w:t>
                  </w:r>
                </w:p>
              </w:tc>
              <w:tc>
                <w:tcPr>
                  <w:tcW w:w="470" w:type="dxa"/>
                  <w:noWrap w:val="0"/>
                  <w:vAlign w:val="center"/>
                </w:tcPr>
                <w:p>
                  <w:pPr>
                    <w:pStyle w:val="25"/>
                    <w:bidi w:val="0"/>
                    <w:rPr>
                      <w:rFonts w:hint="default"/>
                      <w:lang w:val="en-US" w:eastAsia="zh-CN"/>
                    </w:rPr>
                  </w:pPr>
                  <w:r>
                    <w:rPr>
                      <w:rFonts w:hint="eastAsia"/>
                      <w:lang w:val="en-US" w:eastAsia="zh-CN"/>
                    </w:rPr>
                    <w:t>2.5</w:t>
                  </w:r>
                </w:p>
              </w:tc>
              <w:tc>
                <w:tcPr>
                  <w:tcW w:w="615" w:type="dxa"/>
                  <w:noWrap w:val="0"/>
                  <w:vAlign w:val="center"/>
                </w:tcPr>
                <w:p>
                  <w:pPr>
                    <w:pStyle w:val="25"/>
                    <w:bidi w:val="0"/>
                    <w:rPr>
                      <w:rFonts w:hint="eastAsia"/>
                      <w:lang w:val="en-US" w:eastAsia="zh-CN"/>
                    </w:rPr>
                  </w:pPr>
                  <w:r>
                    <w:rPr>
                      <w:rFonts w:hint="eastAsia"/>
                      <w:lang w:val="en-US" w:eastAsia="zh-CN"/>
                    </w:rPr>
                    <w:t>73.8</w:t>
                  </w:r>
                </w:p>
              </w:tc>
              <w:tc>
                <w:tcPr>
                  <w:tcW w:w="630" w:type="dxa"/>
                  <w:noWrap w:val="0"/>
                  <w:vAlign w:val="center"/>
                </w:tcPr>
                <w:p>
                  <w:pPr>
                    <w:pStyle w:val="25"/>
                    <w:bidi w:val="0"/>
                    <w:rPr>
                      <w:rFonts w:hint="eastAsia"/>
                      <w:lang w:val="en-US" w:eastAsia="zh-CN"/>
                    </w:rPr>
                  </w:pPr>
                  <w:r>
                    <w:rPr>
                      <w:rFonts w:hint="eastAsia"/>
                      <w:lang w:val="en-US" w:eastAsia="zh-CN"/>
                    </w:rPr>
                    <w:t>73.8</w:t>
                  </w:r>
                </w:p>
              </w:tc>
              <w:tc>
                <w:tcPr>
                  <w:tcW w:w="630" w:type="dxa"/>
                  <w:noWrap w:val="0"/>
                  <w:vAlign w:val="center"/>
                </w:tcPr>
                <w:p>
                  <w:pPr>
                    <w:pStyle w:val="25"/>
                    <w:bidi w:val="0"/>
                    <w:rPr>
                      <w:rFonts w:hint="eastAsia"/>
                      <w:lang w:val="en-US" w:eastAsia="zh-CN"/>
                    </w:rPr>
                  </w:pPr>
                  <w:r>
                    <w:rPr>
                      <w:rFonts w:hint="eastAsia"/>
                      <w:lang w:val="en-US" w:eastAsia="zh-CN"/>
                    </w:rPr>
                    <w:t>76.0</w:t>
                  </w:r>
                </w:p>
              </w:tc>
              <w:tc>
                <w:tcPr>
                  <w:tcW w:w="615" w:type="dxa"/>
                  <w:noWrap w:val="0"/>
                  <w:vAlign w:val="center"/>
                </w:tcPr>
                <w:p>
                  <w:pPr>
                    <w:pStyle w:val="25"/>
                    <w:bidi w:val="0"/>
                    <w:rPr>
                      <w:rFonts w:hint="eastAsia"/>
                      <w:lang w:val="en-US" w:eastAsia="zh-CN"/>
                    </w:rPr>
                  </w:pPr>
                  <w:r>
                    <w:rPr>
                      <w:rFonts w:hint="eastAsia"/>
                      <w:lang w:val="en-US" w:eastAsia="zh-CN"/>
                    </w:rPr>
                    <w:t>76.0</w:t>
                  </w:r>
                </w:p>
              </w:tc>
              <w:tc>
                <w:tcPr>
                  <w:tcW w:w="645" w:type="dxa"/>
                  <w:vMerge w:val="continue"/>
                  <w:noWrap w:val="0"/>
                  <w:vAlign w:val="center"/>
                </w:tcPr>
                <w:p>
                  <w:pPr>
                    <w:pStyle w:val="25"/>
                    <w:bidi w:val="0"/>
                  </w:pPr>
                </w:p>
              </w:tc>
              <w:tc>
                <w:tcPr>
                  <w:tcW w:w="885" w:type="dxa"/>
                  <w:vMerge w:val="continue"/>
                  <w:noWrap w:val="0"/>
                  <w:vAlign w:val="center"/>
                </w:tcPr>
                <w:p>
                  <w:pPr>
                    <w:pStyle w:val="25"/>
                    <w:bidi w:val="0"/>
                  </w:pPr>
                </w:p>
              </w:tc>
              <w:tc>
                <w:tcPr>
                  <w:tcW w:w="525" w:type="dxa"/>
                  <w:vMerge w:val="continue"/>
                  <w:noWrap w:val="0"/>
                  <w:vAlign w:val="center"/>
                </w:tcPr>
                <w:p>
                  <w:pPr>
                    <w:pStyle w:val="25"/>
                    <w:bidi w:val="0"/>
                  </w:pPr>
                </w:p>
              </w:tc>
              <w:tc>
                <w:tcPr>
                  <w:tcW w:w="480" w:type="dxa"/>
                  <w:vMerge w:val="continue"/>
                  <w:noWrap w:val="0"/>
                  <w:vAlign w:val="center"/>
                </w:tcPr>
                <w:p>
                  <w:pPr>
                    <w:pStyle w:val="25"/>
                    <w:bidi w:val="0"/>
                  </w:pPr>
                </w:p>
              </w:tc>
              <w:tc>
                <w:tcPr>
                  <w:tcW w:w="495" w:type="dxa"/>
                  <w:vMerge w:val="continue"/>
                  <w:noWrap w:val="0"/>
                  <w:vAlign w:val="center"/>
                </w:tcPr>
                <w:p>
                  <w:pPr>
                    <w:pStyle w:val="25"/>
                    <w:bidi w:val="0"/>
                  </w:pPr>
                </w:p>
              </w:tc>
              <w:tc>
                <w:tcPr>
                  <w:tcW w:w="494" w:type="dxa"/>
                  <w:vMerge w:val="continue"/>
                  <w:noWrap w:val="0"/>
                  <w:vAlign w:val="center"/>
                </w:tcPr>
                <w:p>
                  <w:pPr>
                    <w:pStyle w:val="25"/>
                    <w:bidi w:val="0"/>
                  </w:pPr>
                </w:p>
              </w:tc>
              <w:tc>
                <w:tcPr>
                  <w:tcW w:w="531" w:type="dxa"/>
                  <w:vMerge w:val="continue"/>
                  <w:noWrap w:val="0"/>
                  <w:vAlign w:val="center"/>
                </w:tcPr>
                <w:p>
                  <w:pPr>
                    <w:pStyle w:val="25"/>
                    <w:bidi w:val="0"/>
                  </w:pPr>
                </w:p>
              </w:tc>
              <w:tc>
                <w:tcPr>
                  <w:tcW w:w="426" w:type="dxa"/>
                  <w:vMerge w:val="continue"/>
                  <w:noWrap w:val="0"/>
                  <w:vAlign w:val="center"/>
                </w:tcPr>
                <w:p>
                  <w:pPr>
                    <w:pStyle w:val="25"/>
                    <w:bidi w:val="0"/>
                  </w:pPr>
                </w:p>
              </w:tc>
              <w:tc>
                <w:tcPr>
                  <w:tcW w:w="426" w:type="dxa"/>
                  <w:vMerge w:val="continue"/>
                  <w:noWrap w:val="0"/>
                  <w:vAlign w:val="center"/>
                </w:tcPr>
                <w:p>
                  <w:pPr>
                    <w:pStyle w:val="25"/>
                    <w:bidi w:val="0"/>
                  </w:pPr>
                </w:p>
              </w:tc>
              <w:tc>
                <w:tcPr>
                  <w:tcW w:w="426" w:type="dxa"/>
                  <w:vMerge w:val="continue"/>
                  <w:noWrap w:val="0"/>
                  <w:vAlign w:val="center"/>
                </w:tcPr>
                <w:p>
                  <w:pPr>
                    <w:pStyle w:val="25"/>
                    <w:bidi w:val="0"/>
                  </w:pPr>
                </w:p>
              </w:tc>
            </w:tr>
          </w:tbl>
          <w:p>
            <w:pPr>
              <w:pStyle w:val="18"/>
              <w:spacing w:before="156" w:beforeAutospacing="0" w:after="156" w:afterAutospacing="0"/>
              <w:ind w:firstLine="361"/>
              <w:rPr>
                <w:rFonts w:ascii="Times New Roman" w:hAnsi="Times New Roman"/>
                <w:b/>
                <w:kern w:val="2"/>
                <w:sz w:val="30"/>
                <w:szCs w:val="30"/>
              </w:rPr>
            </w:pPr>
            <w:r>
              <w:rPr>
                <w:rFonts w:ascii="Times New Roman" w:hAnsi="Times New Roman"/>
                <w:b/>
                <w:bCs/>
                <w:kern w:val="2"/>
                <w:sz w:val="18"/>
                <w:szCs w:val="18"/>
              </w:rPr>
              <w:t>注：以</w:t>
            </w:r>
            <w:r>
              <w:rPr>
                <w:rFonts w:hint="eastAsia" w:ascii="Times New Roman" w:hAnsi="Times New Roman"/>
                <w:b/>
                <w:bCs/>
                <w:kern w:val="2"/>
                <w:sz w:val="18"/>
                <w:szCs w:val="18"/>
                <w:lang w:eastAsia="zh-CN"/>
              </w:rPr>
              <w:t>厂区</w:t>
            </w:r>
            <w:r>
              <w:rPr>
                <w:rFonts w:ascii="Times New Roman" w:hAnsi="Times New Roman"/>
                <w:b/>
                <w:bCs/>
                <w:kern w:val="2"/>
                <w:sz w:val="18"/>
                <w:szCs w:val="18"/>
              </w:rPr>
              <w:t>西南角为坐标原点，正东为X轴，正北为Y轴。</w:t>
            </w:r>
          </w:p>
          <w:p>
            <w:pPr>
              <w:rPr>
                <w:rFonts w:cs="Times New Roman"/>
              </w:rPr>
            </w:pPr>
          </w:p>
          <w:p>
            <w:pPr>
              <w:pStyle w:val="18"/>
              <w:jc w:val="center"/>
              <w:outlineLvl w:val="0"/>
              <w:rPr>
                <w:rFonts w:hint="eastAsia" w:ascii="黑体" w:hAnsi="黑体" w:eastAsia="黑体"/>
                <w:snapToGrid w:val="0"/>
                <w:sz w:val="30"/>
                <w:szCs w:val="30"/>
                <w:vertAlign w:val="baseline"/>
              </w:rPr>
            </w:pPr>
          </w:p>
        </w:tc>
      </w:tr>
    </w:tbl>
    <w:p>
      <w:pPr>
        <w:pStyle w:val="18"/>
        <w:jc w:val="center"/>
        <w:outlineLvl w:val="0"/>
        <w:rPr>
          <w:rFonts w:hint="eastAsia" w:ascii="黑体" w:hAnsi="黑体" w:eastAsia="黑体"/>
          <w:snapToGrid w:val="0"/>
          <w:sz w:val="30"/>
          <w:szCs w:val="30"/>
        </w:rPr>
        <w:sectPr>
          <w:pgSz w:w="16838" w:h="11905" w:orient="landscape"/>
          <w:pgMar w:top="720" w:right="720" w:bottom="720" w:left="720" w:header="851" w:footer="850" w:gutter="0"/>
          <w:pgNumType w:fmt="decimal"/>
          <w:cols w:space="0" w:num="1"/>
          <w:rtlGutter w:val="0"/>
          <w:docGrid w:type="lines" w:linePitch="312" w:charSpace="0"/>
        </w:sectPr>
      </w:pP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82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运营</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期环</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境影</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响和</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保护</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措施</w:t>
            </w:r>
          </w:p>
        </w:tc>
        <w:tc>
          <w:tcPr>
            <w:tcW w:w="8190" w:type="dxa"/>
            <w:noWrap w:val="0"/>
            <w:vAlign w:val="center"/>
          </w:tcPr>
          <w:p>
            <w:pPr>
              <w:widowControl/>
              <w:spacing w:line="480" w:lineRule="exact"/>
              <w:ind w:firstLine="480"/>
              <w:jc w:val="left"/>
              <w:rPr>
                <w:rFonts w:hint="default" w:ascii="Times New Roman" w:hAnsi="Times New Roman" w:cs="Times New Roman"/>
                <w:color w:val="000000" w:themeColor="text1"/>
                <w:kern w:val="0"/>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拟建项目运行时昼间预测噪声排放值结果如下。</w:t>
            </w:r>
          </w:p>
          <w:p>
            <w:pPr>
              <w:pStyle w:val="24"/>
              <w:bidi w:val="0"/>
            </w:pPr>
            <w:r>
              <w:t>表4-</w:t>
            </w:r>
            <w:r>
              <w:rPr>
                <w:rFonts w:hint="eastAsia"/>
                <w:lang w:val="en-US" w:eastAsia="zh-CN"/>
              </w:rPr>
              <w:t xml:space="preserve">8 </w:t>
            </w:r>
            <w:r>
              <w:t xml:space="preserve"> 噪声排放预测结果</w:t>
            </w:r>
            <w:r>
              <w:rPr>
                <w:rFonts w:hint="eastAsia"/>
              </w:rPr>
              <w:t xml:space="preserve"> </w:t>
            </w:r>
            <w:r>
              <w:t>dB（A）</w:t>
            </w:r>
          </w:p>
          <w:tbl>
            <w:tblPr>
              <w:tblStyle w:val="20"/>
              <w:tblW w:w="4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4"/>
              <w:gridCol w:w="1564"/>
              <w:gridCol w:w="1716"/>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743" w:type="pct"/>
                  <w:noWrap w:val="0"/>
                  <w:vAlign w:val="center"/>
                </w:tcPr>
                <w:p>
                  <w:pPr>
                    <w:pStyle w:val="25"/>
                    <w:bidi w:val="0"/>
                  </w:pPr>
                  <w:r>
                    <w:rPr>
                      <w:rFonts w:hint="eastAsia"/>
                    </w:rPr>
                    <w:t>预测</w:t>
                  </w:r>
                  <w:r>
                    <w:t>点</w:t>
                  </w:r>
                </w:p>
              </w:tc>
              <w:tc>
                <w:tcPr>
                  <w:tcW w:w="1074" w:type="pct"/>
                  <w:noWrap w:val="0"/>
                  <w:vAlign w:val="center"/>
                </w:tcPr>
                <w:p>
                  <w:pPr>
                    <w:pStyle w:val="25"/>
                    <w:bidi w:val="0"/>
                    <w:rPr>
                      <w:rFonts w:hint="eastAsia"/>
                    </w:rPr>
                  </w:pPr>
                  <w:r>
                    <w:t>贡献值</w:t>
                  </w:r>
                </w:p>
              </w:tc>
              <w:tc>
                <w:tcPr>
                  <w:tcW w:w="1181" w:type="pct"/>
                  <w:gridSpan w:val="2"/>
                  <w:noWrap w:val="0"/>
                  <w:vAlign w:val="center"/>
                </w:tcPr>
                <w:p>
                  <w:pPr>
                    <w:pStyle w:val="25"/>
                    <w:bidi w:val="0"/>
                  </w:pPr>
                  <w: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45" w:hRule="atLeast"/>
                <w:jc w:val="center"/>
              </w:trPr>
              <w:tc>
                <w:tcPr>
                  <w:tcW w:w="2743" w:type="pct"/>
                  <w:noWrap w:val="0"/>
                  <w:vAlign w:val="center"/>
                </w:tcPr>
                <w:p>
                  <w:pPr>
                    <w:pStyle w:val="25"/>
                    <w:bidi w:val="0"/>
                  </w:pPr>
                  <w:r>
                    <w:t>东厂界</w:t>
                  </w:r>
                </w:p>
              </w:tc>
              <w:tc>
                <w:tcPr>
                  <w:tcW w:w="1074" w:type="pct"/>
                  <w:noWrap w:val="0"/>
                  <w:vAlign w:val="center"/>
                </w:tcPr>
                <w:p>
                  <w:pPr>
                    <w:pStyle w:val="25"/>
                    <w:bidi w:val="0"/>
                    <w:rPr>
                      <w:rFonts w:hint="default"/>
                      <w:lang w:val="en-US" w:eastAsia="zh-CN"/>
                    </w:rPr>
                  </w:pPr>
                  <w:r>
                    <w:rPr>
                      <w:rFonts w:hint="eastAsia"/>
                      <w:lang w:val="en-US" w:eastAsia="zh-CN"/>
                    </w:rPr>
                    <w:t>54.2</w:t>
                  </w:r>
                </w:p>
              </w:tc>
              <w:tc>
                <w:tcPr>
                  <w:tcW w:w="1178" w:type="pct"/>
                  <w:noWrap w:val="0"/>
                  <w:vAlign w:val="center"/>
                </w:tcPr>
                <w:p>
                  <w:pPr>
                    <w:pStyle w:val="25"/>
                    <w:bidi w:val="0"/>
                    <w:rPr>
                      <w:rFonts w:hint="default"/>
                      <w:lang w:val="en-US" w:eastAsia="zh-CN"/>
                    </w:rPr>
                  </w:pPr>
                  <w:r>
                    <w:t>6</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45" w:hRule="atLeast"/>
                <w:jc w:val="center"/>
              </w:trPr>
              <w:tc>
                <w:tcPr>
                  <w:tcW w:w="2743" w:type="pct"/>
                  <w:noWrap w:val="0"/>
                  <w:vAlign w:val="center"/>
                </w:tcPr>
                <w:p>
                  <w:pPr>
                    <w:pStyle w:val="25"/>
                    <w:bidi w:val="0"/>
                  </w:pPr>
                  <w:r>
                    <w:t>南厂界</w:t>
                  </w:r>
                </w:p>
              </w:tc>
              <w:tc>
                <w:tcPr>
                  <w:tcW w:w="1074" w:type="pct"/>
                  <w:noWrap w:val="0"/>
                  <w:vAlign w:val="center"/>
                </w:tcPr>
                <w:p>
                  <w:pPr>
                    <w:pStyle w:val="25"/>
                    <w:bidi w:val="0"/>
                    <w:rPr>
                      <w:rFonts w:hint="default"/>
                      <w:lang w:val="en-US" w:eastAsia="zh-CN"/>
                    </w:rPr>
                  </w:pPr>
                  <w:r>
                    <w:rPr>
                      <w:rFonts w:hint="eastAsia"/>
                      <w:lang w:val="en-US" w:eastAsia="zh-CN"/>
                    </w:rPr>
                    <w:t>54.2</w:t>
                  </w:r>
                </w:p>
              </w:tc>
              <w:tc>
                <w:tcPr>
                  <w:tcW w:w="1178" w:type="pct"/>
                  <w:noWrap w:val="0"/>
                  <w:vAlign w:val="center"/>
                </w:tcPr>
                <w:p>
                  <w:pPr>
                    <w:pStyle w:val="25"/>
                    <w:bidi w:val="0"/>
                    <w:rPr>
                      <w:rFonts w:hint="eastAsia" w:eastAsia="宋体"/>
                      <w:lang w:val="en-US" w:eastAsia="zh-CN"/>
                    </w:rPr>
                  </w:pPr>
                  <w:r>
                    <w:t>6</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45" w:hRule="atLeast"/>
                <w:jc w:val="center"/>
              </w:trPr>
              <w:tc>
                <w:tcPr>
                  <w:tcW w:w="2743" w:type="pct"/>
                  <w:noWrap w:val="0"/>
                  <w:vAlign w:val="center"/>
                </w:tcPr>
                <w:p>
                  <w:pPr>
                    <w:pStyle w:val="25"/>
                    <w:bidi w:val="0"/>
                  </w:pPr>
                  <w:r>
                    <w:t>西厂界</w:t>
                  </w:r>
                </w:p>
              </w:tc>
              <w:tc>
                <w:tcPr>
                  <w:tcW w:w="1074" w:type="pct"/>
                  <w:noWrap w:val="0"/>
                  <w:vAlign w:val="center"/>
                </w:tcPr>
                <w:p>
                  <w:pPr>
                    <w:pStyle w:val="25"/>
                    <w:bidi w:val="0"/>
                    <w:rPr>
                      <w:rFonts w:hint="default"/>
                      <w:lang w:val="en-US" w:eastAsia="zh-CN"/>
                    </w:rPr>
                  </w:pPr>
                  <w:r>
                    <w:rPr>
                      <w:rFonts w:hint="eastAsia"/>
                      <w:lang w:val="en-US" w:eastAsia="zh-CN"/>
                    </w:rPr>
                    <w:t>55.9</w:t>
                  </w:r>
                </w:p>
              </w:tc>
              <w:tc>
                <w:tcPr>
                  <w:tcW w:w="1178" w:type="pct"/>
                  <w:noWrap w:val="0"/>
                  <w:vAlign w:val="center"/>
                </w:tcPr>
                <w:p>
                  <w:pPr>
                    <w:pStyle w:val="25"/>
                    <w:bidi w:val="0"/>
                    <w:rPr>
                      <w:rFonts w:hint="default"/>
                      <w:lang w:val="en-US" w:eastAsia="zh-CN"/>
                    </w:rPr>
                  </w:pPr>
                  <w:r>
                    <w:rPr>
                      <w:rFonts w:hint="eastAsia"/>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53" w:hRule="atLeast"/>
                <w:jc w:val="center"/>
              </w:trPr>
              <w:tc>
                <w:tcPr>
                  <w:tcW w:w="2743" w:type="pct"/>
                  <w:noWrap w:val="0"/>
                  <w:vAlign w:val="center"/>
                </w:tcPr>
                <w:p>
                  <w:pPr>
                    <w:pStyle w:val="25"/>
                    <w:bidi w:val="0"/>
                  </w:pPr>
                  <w:r>
                    <w:t>北厂界</w:t>
                  </w:r>
                </w:p>
              </w:tc>
              <w:tc>
                <w:tcPr>
                  <w:tcW w:w="1074" w:type="pct"/>
                  <w:noWrap w:val="0"/>
                  <w:vAlign w:val="center"/>
                </w:tcPr>
                <w:p>
                  <w:pPr>
                    <w:pStyle w:val="25"/>
                    <w:bidi w:val="0"/>
                    <w:rPr>
                      <w:rFonts w:hint="default"/>
                      <w:lang w:val="en-US" w:eastAsia="zh-CN"/>
                    </w:rPr>
                  </w:pPr>
                  <w:r>
                    <w:rPr>
                      <w:rFonts w:hint="eastAsia"/>
                      <w:lang w:val="en-US" w:eastAsia="zh-CN"/>
                    </w:rPr>
                    <w:t>56.0</w:t>
                  </w:r>
                </w:p>
              </w:tc>
              <w:tc>
                <w:tcPr>
                  <w:tcW w:w="1178" w:type="pct"/>
                  <w:noWrap w:val="0"/>
                  <w:vAlign w:val="center"/>
                </w:tcPr>
                <w:p>
                  <w:pPr>
                    <w:pStyle w:val="25"/>
                    <w:bidi w:val="0"/>
                    <w:rPr>
                      <w:rFonts w:hint="default"/>
                      <w:lang w:val="en-US" w:eastAsia="zh-CN"/>
                    </w:rPr>
                  </w:pPr>
                  <w:r>
                    <w:rPr>
                      <w:rFonts w:hint="eastAsia"/>
                      <w:lang w:val="en-US" w:eastAsia="zh-CN"/>
                    </w:rPr>
                    <w:t>65</w:t>
                  </w:r>
                </w:p>
              </w:tc>
            </w:tr>
          </w:tbl>
          <w:p>
            <w:pPr>
              <w:ind w:firstLine="480"/>
              <w:rPr>
                <w:rFonts w:hint="eastAsia"/>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根据噪声预测结果可知，项目建成后，四周厂界噪声预测值均可以达到《工业企业厂界环境噪声排放标准》（GB12348-2008）</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类区标准要求（昼间：≤6</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dB（A））。</w:t>
            </w:r>
          </w:p>
          <w:p>
            <w:pPr>
              <w:ind w:firstLine="482"/>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2、噪声</w:t>
            </w:r>
            <w:r>
              <w:rPr>
                <w:b/>
                <w:bCs/>
                <w:color w:val="000000" w:themeColor="text1"/>
                <w:highlight w:val="none"/>
                <w14:textFill>
                  <w14:solidFill>
                    <w14:schemeClr w14:val="tx1"/>
                  </w14:solidFill>
                </w14:textFill>
              </w:rPr>
              <w:t>污染防治措施</w:t>
            </w:r>
            <w:r>
              <w:rPr>
                <w:rFonts w:hint="eastAsia"/>
                <w:b/>
                <w:bCs/>
                <w:color w:val="000000" w:themeColor="text1"/>
                <w:highlight w:val="none"/>
                <w14:textFill>
                  <w14:solidFill>
                    <w14:schemeClr w14:val="tx1"/>
                  </w14:solidFill>
                </w14:textFill>
              </w:rPr>
              <w:t>可行性</w:t>
            </w:r>
            <w:r>
              <w:rPr>
                <w:b/>
                <w:bCs/>
                <w:color w:val="000000" w:themeColor="text1"/>
                <w:highlight w:val="none"/>
                <w14:textFill>
                  <w14:solidFill>
                    <w14:schemeClr w14:val="tx1"/>
                  </w14:solidFill>
                </w14:textFill>
              </w:rPr>
              <w:t>分析</w:t>
            </w:r>
          </w:p>
          <w:p>
            <w:pPr>
              <w:snapToGrid w:val="0"/>
              <w:ind w:firstLine="480"/>
              <w:rPr>
                <w:rFonts w:cs="宋体"/>
                <w:color w:val="000000" w:themeColor="text1"/>
                <w:szCs w:val="22"/>
                <w:highlight w:val="none"/>
                <w14:textFill>
                  <w14:solidFill>
                    <w14:schemeClr w14:val="tx1"/>
                  </w14:solidFill>
                </w14:textFill>
              </w:rPr>
            </w:pPr>
            <w:r>
              <w:rPr>
                <w:rFonts w:hint="eastAsia" w:cs="宋体"/>
                <w:color w:val="000000" w:themeColor="text1"/>
                <w:szCs w:val="22"/>
                <w:highlight w:val="none"/>
                <w14:textFill>
                  <w14:solidFill>
                    <w14:schemeClr w14:val="tx1"/>
                  </w14:solidFill>
                </w14:textFill>
              </w:rPr>
              <w:t>本项目噪声源主要为车间内的设备</w:t>
            </w:r>
            <w:r>
              <w:rPr>
                <w:rFonts w:cs="宋体"/>
                <w:color w:val="000000" w:themeColor="text1"/>
                <w:szCs w:val="22"/>
                <w:highlight w:val="none"/>
                <w14:textFill>
                  <w14:solidFill>
                    <w14:schemeClr w14:val="tx1"/>
                  </w14:solidFill>
                </w14:textFill>
              </w:rPr>
              <w:t>设施</w:t>
            </w:r>
            <w:r>
              <w:rPr>
                <w:rFonts w:hint="eastAsia" w:cs="宋体"/>
                <w:color w:val="000000" w:themeColor="text1"/>
                <w:szCs w:val="22"/>
                <w:highlight w:val="none"/>
                <w14:textFill>
                  <w14:solidFill>
                    <w14:schemeClr w14:val="tx1"/>
                  </w14:solidFill>
                </w14:textFill>
              </w:rPr>
              <w:t>运行时产生的噪声，其噪声值约为75～</w:t>
            </w:r>
            <w:r>
              <w:rPr>
                <w:rFonts w:hint="eastAsia" w:cs="宋体"/>
                <w:color w:val="000000" w:themeColor="text1"/>
                <w:szCs w:val="22"/>
                <w:highlight w:val="none"/>
                <w:lang w:val="en-US" w:eastAsia="zh-CN"/>
                <w14:textFill>
                  <w14:solidFill>
                    <w14:schemeClr w14:val="tx1"/>
                  </w14:solidFill>
                </w14:textFill>
              </w:rPr>
              <w:t>85</w:t>
            </w:r>
            <w:r>
              <w:rPr>
                <w:rFonts w:hint="eastAsia" w:cs="宋体"/>
                <w:color w:val="000000" w:themeColor="text1"/>
                <w:szCs w:val="22"/>
                <w:highlight w:val="none"/>
                <w14:textFill>
                  <w14:solidFill>
                    <w14:schemeClr w14:val="tx1"/>
                  </w14:solidFill>
                </w14:textFill>
              </w:rPr>
              <w:t>dB（A）。</w:t>
            </w:r>
          </w:p>
          <w:p>
            <w:pPr>
              <w:adjustRightInd w:val="0"/>
              <w:snapToGrid w:val="0"/>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为进一步减小项目噪声影响，针对项目特点，建设单位采取了不同的噪声防治措施，厂区应采取噪声防治措施如下：</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（1）源头</w:t>
            </w:r>
            <w:r>
              <w:rPr>
                <w:color w:val="000000" w:themeColor="text1"/>
                <w:highlight w:val="none"/>
                <w14:textFill>
                  <w14:solidFill>
                    <w14:schemeClr w14:val="tx1"/>
                  </w14:solidFill>
                </w14:textFill>
              </w:rPr>
              <w:t>控制：</w:t>
            </w:r>
            <w:r>
              <w:rPr>
                <w:rFonts w:hint="eastAsia"/>
                <w:color w:val="000000" w:themeColor="text1"/>
                <w:highlight w:val="none"/>
                <w14:textFill>
                  <w14:solidFill>
                    <w14:schemeClr w14:val="tx1"/>
                  </w14:solidFill>
                </w14:textFill>
              </w:rPr>
              <w:t>从声源上控制，根据</w:t>
            </w:r>
            <w:r>
              <w:rPr>
                <w:color w:val="000000" w:themeColor="text1"/>
                <w:highlight w:val="none"/>
                <w14:textFill>
                  <w14:solidFill>
                    <w14:schemeClr w14:val="tx1"/>
                  </w14:solidFill>
                </w14:textFill>
              </w:rPr>
              <w:t>项目噪声源特点，在设备采购阶段，</w:t>
            </w:r>
            <w:r>
              <w:rPr>
                <w:rFonts w:hint="eastAsia"/>
                <w:color w:val="000000" w:themeColor="text1"/>
                <w:highlight w:val="none"/>
                <w14:textFill>
                  <w14:solidFill>
                    <w14:schemeClr w14:val="tx1"/>
                  </w14:solidFill>
                </w14:textFill>
              </w:rPr>
              <w:t>选择先进</w:t>
            </w:r>
            <w:r>
              <w:rPr>
                <w:color w:val="000000" w:themeColor="text1"/>
                <w:highlight w:val="none"/>
                <w14:textFill>
                  <w14:solidFill>
                    <w14:schemeClr w14:val="tx1"/>
                  </w14:solidFill>
                </w14:textFill>
              </w:rPr>
              <w:t>的</w:t>
            </w:r>
            <w:r>
              <w:rPr>
                <w:rFonts w:hint="eastAsia"/>
                <w:color w:val="000000" w:themeColor="text1"/>
                <w:highlight w:val="none"/>
                <w14:textFill>
                  <w14:solidFill>
                    <w14:schemeClr w14:val="tx1"/>
                  </w14:solidFill>
                </w14:textFill>
              </w:rPr>
              <w:t>低噪声和符合国家噪声标准的设备，设备均采用性能好、噪声发生源强小和效率高的设备，以从声源上降低设备本身噪声，以减少对工人和周围环境的影响；</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（2）合理布局：采用“闹静分开”和合理布局的设施原则，将高噪声设备尽量布置在远离</w:t>
            </w:r>
            <w:r>
              <w:rPr>
                <w:color w:val="000000" w:themeColor="text1"/>
                <w:highlight w:val="none"/>
                <w14:textFill>
                  <w14:solidFill>
                    <w14:schemeClr w14:val="tx1"/>
                  </w14:solidFill>
                </w14:textFill>
              </w:rPr>
              <w:t>厂界，同时</w:t>
            </w:r>
            <w:r>
              <w:rPr>
                <w:rFonts w:hint="eastAsia"/>
                <w:color w:val="000000" w:themeColor="text1"/>
                <w:highlight w:val="none"/>
                <w14:textFill>
                  <w14:solidFill>
                    <w14:schemeClr w14:val="tx1"/>
                  </w14:solidFill>
                </w14:textFill>
              </w:rPr>
              <w:t>远离周边敏感目标，通过距离衰减减轻噪声对周围环境的影响；</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（3）设备控制</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在高噪声设备安装隔声和减振设施，如在设备的底部加减振垫，在设备的四周可开设一定宽度和深度的沟槽，里面填充松软物质，用来隔离振动的传递。设置独立机房封闭式围护结构；利用围护结构的吸声、减振作用，使噪声受到最大程度的阻绝和吸收；风管安装消声器等；室外</w:t>
            </w:r>
            <w:r>
              <w:rPr>
                <w:color w:val="000000" w:themeColor="text1"/>
                <w:highlight w:val="none"/>
                <w14:textFill>
                  <w14:solidFill>
                    <w14:schemeClr w14:val="tx1"/>
                  </w14:solidFill>
                </w14:textFill>
              </w:rPr>
              <w:t>风机类高噪声设备安装隔音罩等</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减振</w:t>
            </w:r>
            <w:r>
              <w:rPr>
                <w:rFonts w:hint="eastAsia"/>
                <w:color w:val="000000" w:themeColor="text1"/>
                <w:highlight w:val="none"/>
                <w14:textFill>
                  <w14:solidFill>
                    <w14:schemeClr w14:val="tx1"/>
                  </w14:solidFill>
                </w14:textFill>
              </w:rPr>
              <w:t>基础</w:t>
            </w:r>
            <w:r>
              <w:rPr>
                <w:color w:val="000000" w:themeColor="text1"/>
                <w:highlight w:val="none"/>
                <w14:textFill>
                  <w14:solidFill>
                    <w14:schemeClr w14:val="tx1"/>
                  </w14:solidFill>
                </w14:textFill>
              </w:rPr>
              <w:t>等降噪措施</w:t>
            </w:r>
            <w:r>
              <w:rPr>
                <w:rFonts w:hint="eastAsia"/>
                <w:color w:val="000000" w:themeColor="text1"/>
                <w:highlight w:val="none"/>
                <w14:textFill>
                  <w14:solidFill>
                    <w14:schemeClr w14:val="tx1"/>
                  </w14:solidFill>
                </w14:textFill>
              </w:rPr>
              <w:t>；</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区域隔声：在各设备机房的房间墙面采用吸音材料，顶板垂直挂吸音板，同时，房间的房门均采用隔声门；采取有效的隔震、隔声设施，尽量避免和减少零件之间的碰撞和响动；对于产生噪声特别大的零件和工艺流程，进行局部封闭；对于设备中容易产生噪声的部位采用消声手段；</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（5）重点</w:t>
            </w:r>
            <w:r>
              <w:rPr>
                <w:color w:val="000000" w:themeColor="text1"/>
                <w:highlight w:val="none"/>
                <w14:textFill>
                  <w14:solidFill>
                    <w14:schemeClr w14:val="tx1"/>
                  </w14:solidFill>
                </w14:textFill>
              </w:rPr>
              <w:t>控制：对于室外风机等高噪声设备，设置独立风机房，并加强基础</w:t>
            </w:r>
            <w:r>
              <w:rPr>
                <w:rFonts w:hint="eastAsia"/>
                <w:color w:val="000000" w:themeColor="text1"/>
                <w:highlight w:val="none"/>
                <w14:textFill>
                  <w14:solidFill>
                    <w14:schemeClr w14:val="tx1"/>
                  </w14:solidFill>
                </w14:textFill>
              </w:rPr>
              <w:t>减振；</w:t>
            </w:r>
          </w:p>
          <w:p>
            <w:pPr>
              <w:snapToGrid w:val="0"/>
              <w:ind w:firstLine="498"/>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）日常</w:t>
            </w:r>
            <w:r>
              <w:rPr>
                <w:color w:val="000000" w:themeColor="text1"/>
                <w:highlight w:val="none"/>
                <w14:textFill>
                  <w14:solidFill>
                    <w14:schemeClr w14:val="tx1"/>
                  </w14:solidFill>
                </w14:textFill>
              </w:rPr>
              <w:t>管理：</w:t>
            </w:r>
            <w:r>
              <w:rPr>
                <w:rFonts w:hint="eastAsia"/>
                <w:color w:val="000000" w:themeColor="text1"/>
                <w:highlight w:val="none"/>
                <w14:textFill>
                  <w14:solidFill>
                    <w14:schemeClr w14:val="tx1"/>
                  </w14:solidFill>
                </w14:textFill>
              </w:rPr>
              <w:t>加强管理：平时加强对各噪声设备的保养、检修，保证设备良好运转，减轻运行噪声强度。</w:t>
            </w:r>
          </w:p>
          <w:p>
            <w:pPr>
              <w:snapToGrid w:val="0"/>
              <w:ind w:firstLine="498"/>
              <w:rPr>
                <w:b/>
                <w:color w:val="000000" w:themeColor="text1"/>
                <w:spacing w:val="4"/>
                <w:highlight w:val="none"/>
                <w14:textFill>
                  <w14:solidFill>
                    <w14:schemeClr w14:val="tx1"/>
                  </w14:solidFill>
                </w14:textFill>
              </w:rPr>
            </w:pPr>
            <w:r>
              <w:rPr>
                <w:rFonts w:hint="eastAsia"/>
                <w:b/>
                <w:color w:val="000000" w:themeColor="text1"/>
                <w:spacing w:val="4"/>
                <w:highlight w:val="none"/>
                <w14:textFill>
                  <w14:solidFill>
                    <w14:schemeClr w14:val="tx1"/>
                  </w14:solidFill>
                </w14:textFill>
              </w:rPr>
              <w:t>3、</w:t>
            </w:r>
            <w:r>
              <w:rPr>
                <w:b/>
                <w:color w:val="000000" w:themeColor="text1"/>
                <w:spacing w:val="4"/>
                <w:highlight w:val="none"/>
                <w14:textFill>
                  <w14:solidFill>
                    <w14:schemeClr w14:val="tx1"/>
                  </w14:solidFill>
                </w14:textFill>
              </w:rPr>
              <w:t>噪声监测要求</w:t>
            </w:r>
          </w:p>
          <w:p>
            <w:pPr>
              <w:snapToGrid w:val="0"/>
              <w:ind w:firstLine="48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根据《排污单位自行监测技术指南 总则》（HJ819-2017），</w:t>
            </w:r>
            <w:r>
              <w:rPr>
                <w:rFonts w:cs="宋体"/>
                <w:color w:val="000000" w:themeColor="text1"/>
                <w:kern w:val="0"/>
                <w:highlight w:val="none"/>
                <w14:textFill>
                  <w14:solidFill>
                    <w14:schemeClr w14:val="tx1"/>
                  </w14:solidFill>
                </w14:textFill>
              </w:rPr>
              <w:t>结合本项</w:t>
            </w:r>
            <w:r>
              <w:rPr>
                <w:rFonts w:hint="eastAsia" w:cs="宋体"/>
                <w:color w:val="000000" w:themeColor="text1"/>
                <w:kern w:val="0"/>
                <w:highlight w:val="none"/>
                <w14:textFill>
                  <w14:solidFill>
                    <w14:schemeClr w14:val="tx1"/>
                  </w14:solidFill>
                </w14:textFill>
              </w:rPr>
              <w:t>噪声</w:t>
            </w:r>
            <w:r>
              <w:rPr>
                <w:rFonts w:cs="宋体"/>
                <w:color w:val="000000" w:themeColor="text1"/>
                <w:kern w:val="0"/>
                <w:highlight w:val="none"/>
                <w14:textFill>
                  <w14:solidFill>
                    <w14:schemeClr w14:val="tx1"/>
                  </w14:solidFill>
                </w14:textFill>
              </w:rPr>
              <w:t>产生及排放情况，本项目</w:t>
            </w:r>
            <w:r>
              <w:rPr>
                <w:rFonts w:hint="eastAsia" w:cs="宋体"/>
                <w:color w:val="000000" w:themeColor="text1"/>
                <w:kern w:val="0"/>
                <w:highlight w:val="none"/>
                <w14:textFill>
                  <w14:solidFill>
                    <w14:schemeClr w14:val="tx1"/>
                  </w14:solidFill>
                </w14:textFill>
              </w:rPr>
              <w:t>噪声</w:t>
            </w:r>
            <w:r>
              <w:rPr>
                <w:rFonts w:cs="宋体"/>
                <w:color w:val="000000" w:themeColor="text1"/>
                <w:kern w:val="0"/>
                <w:highlight w:val="none"/>
                <w14:textFill>
                  <w14:solidFill>
                    <w14:schemeClr w14:val="tx1"/>
                  </w14:solidFill>
                </w14:textFill>
              </w:rPr>
              <w:t>污染源监测方案如下表所示。</w:t>
            </w:r>
          </w:p>
          <w:p>
            <w:pPr>
              <w:pStyle w:val="24"/>
              <w:bidi w:val="0"/>
            </w:pPr>
            <w:r>
              <w:rPr>
                <w:rFonts w:hint="eastAsia"/>
              </w:rPr>
              <w:t>表</w:t>
            </w:r>
            <w:r>
              <w:t>4-</w:t>
            </w:r>
            <w:r>
              <w:rPr>
                <w:rFonts w:hint="eastAsia"/>
                <w:lang w:val="en-US" w:eastAsia="zh-CN"/>
              </w:rPr>
              <w:t xml:space="preserve">9 </w:t>
            </w:r>
            <w:r>
              <w:rPr>
                <w:rFonts w:hint="eastAsia"/>
              </w:rPr>
              <w:t xml:space="preserve"> 项目污染源监测计划一览表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467"/>
              <w:gridCol w:w="3214"/>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44" w:type="pct"/>
                  <w:vAlign w:val="center"/>
                </w:tcPr>
                <w:p>
                  <w:pPr>
                    <w:pStyle w:val="25"/>
                    <w:bidi w:val="0"/>
                  </w:pPr>
                  <w:r>
                    <w:rPr>
                      <w:rFonts w:hint="eastAsia"/>
                    </w:rPr>
                    <w:t>类别</w:t>
                  </w:r>
                </w:p>
              </w:tc>
              <w:tc>
                <w:tcPr>
                  <w:tcW w:w="921" w:type="pct"/>
                  <w:vAlign w:val="center"/>
                </w:tcPr>
                <w:p>
                  <w:pPr>
                    <w:pStyle w:val="25"/>
                    <w:bidi w:val="0"/>
                  </w:pPr>
                  <w:r>
                    <w:rPr>
                      <w:rFonts w:hint="eastAsia"/>
                    </w:rPr>
                    <w:t>监测点</w:t>
                  </w:r>
                </w:p>
              </w:tc>
              <w:tc>
                <w:tcPr>
                  <w:tcW w:w="2018" w:type="pct"/>
                  <w:vAlign w:val="center"/>
                </w:tcPr>
                <w:p>
                  <w:pPr>
                    <w:pStyle w:val="25"/>
                    <w:bidi w:val="0"/>
                  </w:pPr>
                  <w:r>
                    <w:rPr>
                      <w:rFonts w:hint="eastAsia"/>
                    </w:rPr>
                    <w:t>监测项目</w:t>
                  </w:r>
                </w:p>
              </w:tc>
              <w:tc>
                <w:tcPr>
                  <w:tcW w:w="1417" w:type="pct"/>
                  <w:vAlign w:val="center"/>
                </w:tcPr>
                <w:p>
                  <w:pPr>
                    <w:pStyle w:val="25"/>
                    <w:bidi w:val="0"/>
                  </w:pPr>
                  <w:r>
                    <w:rPr>
                      <w:rFonts w:hint="eastAsia"/>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44" w:type="pct"/>
                  <w:vAlign w:val="center"/>
                </w:tcPr>
                <w:p>
                  <w:pPr>
                    <w:pStyle w:val="25"/>
                    <w:bidi w:val="0"/>
                  </w:pPr>
                  <w:r>
                    <w:rPr>
                      <w:rFonts w:hint="eastAsia"/>
                    </w:rPr>
                    <w:t>噪声</w:t>
                  </w:r>
                </w:p>
              </w:tc>
              <w:tc>
                <w:tcPr>
                  <w:tcW w:w="921" w:type="pct"/>
                  <w:vAlign w:val="center"/>
                </w:tcPr>
                <w:p>
                  <w:pPr>
                    <w:pStyle w:val="25"/>
                    <w:bidi w:val="0"/>
                  </w:pPr>
                  <w:r>
                    <w:rPr>
                      <w:rFonts w:hint="eastAsia"/>
                    </w:rPr>
                    <w:t>厂界四周</w:t>
                  </w:r>
                </w:p>
              </w:tc>
              <w:tc>
                <w:tcPr>
                  <w:tcW w:w="2018" w:type="pct"/>
                  <w:vAlign w:val="center"/>
                </w:tcPr>
                <w:p>
                  <w:pPr>
                    <w:pStyle w:val="25"/>
                    <w:bidi w:val="0"/>
                    <w:rPr>
                      <w:rFonts w:hint="eastAsia" w:eastAsia="宋体"/>
                      <w:lang w:eastAsia="zh-CN"/>
                    </w:rPr>
                  </w:pPr>
                  <w:r>
                    <w:rPr>
                      <w:rFonts w:hint="eastAsia"/>
                    </w:rPr>
                    <w:t>连续等效声级Leq</w:t>
                  </w:r>
                  <w:r>
                    <w:rPr>
                      <w:rFonts w:hint="eastAsia"/>
                      <w:lang w:eastAsia="zh-CN"/>
                    </w:rPr>
                    <w:t>（</w:t>
                  </w:r>
                  <w:r>
                    <w:rPr>
                      <w:rFonts w:hint="eastAsia"/>
                    </w:rPr>
                    <w:t>A</w:t>
                  </w:r>
                  <w:r>
                    <w:rPr>
                      <w:rFonts w:hint="eastAsia"/>
                      <w:lang w:eastAsia="zh-CN"/>
                    </w:rPr>
                    <w:t>）</w:t>
                  </w:r>
                </w:p>
              </w:tc>
              <w:tc>
                <w:tcPr>
                  <w:tcW w:w="1417" w:type="pct"/>
                  <w:vAlign w:val="center"/>
                </w:tcPr>
                <w:p>
                  <w:pPr>
                    <w:pStyle w:val="25"/>
                    <w:bidi w:val="0"/>
                  </w:pPr>
                  <w:r>
                    <w:rPr>
                      <w:rFonts w:hint="eastAsia"/>
                    </w:rPr>
                    <w:t>每季度监测1次，每次昼夜各监测一次</w:t>
                  </w:r>
                </w:p>
              </w:tc>
            </w:tr>
          </w:tbl>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color w:val="000000" w:themeColor="text1"/>
                <w:sz w:val="10"/>
                <w:szCs w:val="10"/>
                <w:highlight w:val="none"/>
                <w14:textFill>
                  <w14:solidFill>
                    <w14:schemeClr w14:val="tx1"/>
                  </w14:solidFill>
                </w14:textFill>
              </w:rPr>
            </w:pPr>
          </w:p>
          <w:p>
            <w:pPr>
              <w:bidi w:val="0"/>
              <w:rPr>
                <w:b/>
                <w:bCs/>
              </w:rPr>
            </w:pPr>
            <w:r>
              <w:rPr>
                <w:rFonts w:hint="eastAsia"/>
                <w:b/>
                <w:bCs/>
                <w:lang w:eastAsia="zh-CN"/>
              </w:rPr>
              <w:t>四、</w:t>
            </w:r>
            <w:r>
              <w:rPr>
                <w:rFonts w:hint="eastAsia"/>
                <w:b/>
                <w:bCs/>
              </w:rPr>
              <w:t>固废</w:t>
            </w:r>
          </w:p>
          <w:p>
            <w:pPr>
              <w:ind w:firstLine="480"/>
            </w:pPr>
            <w:r>
              <w:t>项目营运期产生的固体废弃物主要为</w:t>
            </w:r>
            <w:r>
              <w:rPr>
                <w:rFonts w:hint="eastAsia"/>
              </w:rPr>
              <w:t>员工</w:t>
            </w:r>
            <w:r>
              <w:t>生活垃圾</w:t>
            </w:r>
            <w:r>
              <w:rPr>
                <w:rFonts w:hint="eastAsia"/>
              </w:rPr>
              <w:t>、</w:t>
            </w:r>
            <w:r>
              <w:t>喷漆工序产生的废漆桶</w:t>
            </w:r>
            <w:r>
              <w:rPr>
                <w:rFonts w:hint="eastAsia"/>
              </w:rPr>
              <w:t>、</w:t>
            </w:r>
            <w:r>
              <w:t>漆渣</w:t>
            </w:r>
            <w:r>
              <w:rPr>
                <w:rFonts w:hint="eastAsia"/>
              </w:rPr>
              <w:t>、含漆粉尘、废活性炭、废过滤棉，光固化机废灯管</w:t>
            </w:r>
            <w:r>
              <w:rPr>
                <w:rFonts w:hint="eastAsia"/>
                <w:lang w:eastAsia="zh-CN"/>
              </w:rPr>
              <w:t>、设备检修产生的废润滑油</w:t>
            </w:r>
            <w:r>
              <w:rPr>
                <w:rFonts w:hint="eastAsia"/>
              </w:rPr>
              <w:t>等</w:t>
            </w:r>
            <w:r>
              <w:t>。</w:t>
            </w:r>
          </w:p>
          <w:p>
            <w:pPr>
              <w:wordWrap w:val="0"/>
              <w:ind w:firstLine="480"/>
              <w:jc w:val="left"/>
            </w:pPr>
            <w:r>
              <w:t>①生活垃圾</w:t>
            </w:r>
          </w:p>
          <w:p>
            <w:pPr>
              <w:wordWrap w:val="0"/>
              <w:ind w:firstLine="480"/>
              <w:jc w:val="left"/>
            </w:pPr>
            <w:r>
              <w:t>员工生活垃圾产生量按0.5kg/人.</w:t>
            </w:r>
            <w:r>
              <w:rPr>
                <w:rFonts w:hint="eastAsia"/>
              </w:rPr>
              <w:t>d</w:t>
            </w:r>
            <w:r>
              <w:t>计，本项目职工</w:t>
            </w:r>
            <w:r>
              <w:rPr>
                <w:rFonts w:hint="eastAsia"/>
              </w:rPr>
              <w:t>10</w:t>
            </w:r>
            <w:r>
              <w:t>人，产生的生活垃圾</w:t>
            </w:r>
            <w:r>
              <w:rPr>
                <w:rFonts w:hint="eastAsia"/>
              </w:rPr>
              <w:t>5</w:t>
            </w:r>
            <w:r>
              <w:t>kg/d，年产生量</w:t>
            </w:r>
            <w:r>
              <w:rPr>
                <w:rFonts w:hint="eastAsia"/>
              </w:rPr>
              <w:t>1.5</w:t>
            </w:r>
            <w:r>
              <w:t>t/a，产生的生活垃圾均由环卫部门统一清运。</w:t>
            </w:r>
          </w:p>
          <w:p>
            <w:pPr>
              <w:wordWrap w:val="0"/>
              <w:ind w:firstLine="480"/>
              <w:jc w:val="left"/>
            </w:pPr>
            <w:r>
              <w:t>②</w:t>
            </w:r>
            <w:r>
              <w:rPr>
                <w:rFonts w:hint="eastAsia"/>
              </w:rPr>
              <w:t>废漆桶</w:t>
            </w:r>
          </w:p>
          <w:p>
            <w:pPr>
              <w:wordWrap w:val="0"/>
              <w:ind w:firstLine="480"/>
              <w:jc w:val="left"/>
            </w:pPr>
            <w:r>
              <w:t>废漆桶主要是装喷涂所用的</w:t>
            </w:r>
            <w:r>
              <w:rPr>
                <w:rFonts w:hint="eastAsia"/>
                <w:lang w:val="en-US" w:eastAsia="zh-CN"/>
              </w:rPr>
              <w:t>UV</w:t>
            </w:r>
            <w:r>
              <w:t>漆，根据业主提供的信息，均采用铁桶包装，规格为20kg/桶，根据油漆用量</w:t>
            </w:r>
            <w:r>
              <w:rPr>
                <w:rFonts w:hint="eastAsia"/>
              </w:rPr>
              <w:t>14.6</w:t>
            </w:r>
            <w:r>
              <w:t>t/a计算，年产生废漆桶约</w:t>
            </w:r>
            <w:r>
              <w:rPr>
                <w:rFonts w:hint="eastAsia"/>
              </w:rPr>
              <w:t>730</w:t>
            </w:r>
            <w:r>
              <w:t>个，单个桶重约0.5kg，总重约0.</w:t>
            </w:r>
            <w:r>
              <w:rPr>
                <w:rFonts w:hint="eastAsia"/>
              </w:rPr>
              <w:t>36</w:t>
            </w:r>
            <w:r>
              <w:t>t，暂存于车间内危险废物暂存间，</w:t>
            </w:r>
            <w:r>
              <w:rPr>
                <w:rFonts w:hint="eastAsia"/>
                <w:lang w:eastAsia="zh-CN"/>
              </w:rPr>
              <w:t>交有资质单位处置</w:t>
            </w:r>
            <w:r>
              <w:t>。</w:t>
            </w:r>
            <w:r>
              <w:rPr>
                <w:rFonts w:hint="eastAsia"/>
              </w:rPr>
              <w:t>存放废油漆桶的区域必须防雨、防风、防晒要求，地面作特殊防腐、防渗处理。</w:t>
            </w:r>
          </w:p>
          <w:p>
            <w:pPr>
              <w:wordWrap w:val="0"/>
              <w:ind w:firstLine="480"/>
              <w:jc w:val="left"/>
            </w:pPr>
            <w:r>
              <w:t>③</w:t>
            </w:r>
            <w:r>
              <w:rPr>
                <w:rFonts w:hint="eastAsia"/>
              </w:rPr>
              <w:t>含漆粉尘</w:t>
            </w:r>
          </w:p>
          <w:p>
            <w:pPr>
              <w:wordWrap w:val="0"/>
              <w:ind w:firstLine="480"/>
              <w:jc w:val="left"/>
            </w:pPr>
            <w:r>
              <w:t>打磨过程中布袋除尘器收集含漆粉尘量约为0.</w:t>
            </w:r>
            <w:r>
              <w:rPr>
                <w:rFonts w:hint="eastAsia"/>
              </w:rPr>
              <w:t>14</w:t>
            </w:r>
            <w:r>
              <w:rPr>
                <w:rFonts w:hint="eastAsia"/>
                <w:lang w:val="en-US" w:eastAsia="zh-CN"/>
              </w:rPr>
              <w:t>1</w:t>
            </w:r>
            <w:r>
              <w:t>t/a。据查《国家危险废物名录》（20</w:t>
            </w:r>
            <w:r>
              <w:rPr>
                <w:rFonts w:hint="eastAsia"/>
              </w:rPr>
              <w:t>21版</w:t>
            </w:r>
            <w:r>
              <w:t>）染料涂料废物中900-252-12（使用油漆（不包括水性漆）、有机溶剂进行喷漆、上漆过程中产生的废物），本项目产生的</w:t>
            </w:r>
            <w:r>
              <w:rPr>
                <w:rFonts w:hint="eastAsia"/>
                <w:lang w:eastAsia="zh-CN"/>
              </w:rPr>
              <w:t>含漆粉尘</w:t>
            </w:r>
            <w:r>
              <w:t>不属于危险废物，收集后暂存于危险废物暂存间，</w:t>
            </w:r>
            <w:r>
              <w:rPr>
                <w:rFonts w:hint="eastAsia"/>
                <w:lang w:eastAsia="zh-CN"/>
              </w:rPr>
              <w:t>交有资质单位处置</w:t>
            </w:r>
            <w:r>
              <w:t>。</w:t>
            </w:r>
          </w:p>
          <w:p>
            <w:pPr>
              <w:wordWrap w:val="0"/>
              <w:ind w:firstLine="480"/>
              <w:jc w:val="left"/>
            </w:pPr>
            <w:r>
              <w:t>④</w:t>
            </w:r>
            <w:r>
              <w:rPr>
                <w:rFonts w:hint="eastAsia"/>
              </w:rPr>
              <w:t>废过滤棉</w:t>
            </w:r>
          </w:p>
          <w:p>
            <w:pPr>
              <w:wordWrap w:val="0"/>
              <w:ind w:firstLine="480"/>
              <w:jc w:val="left"/>
            </w:pPr>
            <w:r>
              <w:rPr>
                <w:rFonts w:hint="eastAsia"/>
              </w:rPr>
              <w:t>根据建设单位提供资料，过滤棉约每半年更换一次，更换面积约</w:t>
            </w:r>
            <w:r>
              <w:t>10m</w:t>
            </w:r>
            <w:r>
              <w:rPr>
                <w:vertAlign w:val="superscript"/>
              </w:rPr>
              <w:t>2</w:t>
            </w:r>
            <w:r>
              <w:rPr>
                <w:rFonts w:hint="eastAsia"/>
              </w:rPr>
              <w:t>，每次约5</w:t>
            </w:r>
            <w:r>
              <w:t>0k</w:t>
            </w:r>
            <w:r>
              <w:rPr>
                <w:rFonts w:hint="eastAsia"/>
              </w:rPr>
              <w:t>g，项目喷漆车间废过滤棉的产生量为0.1</w:t>
            </w:r>
            <w:r>
              <w:t>t/a</w:t>
            </w:r>
            <w:r>
              <w:rPr>
                <w:rFonts w:hint="eastAsia"/>
              </w:rPr>
              <w:t>。经查阅</w:t>
            </w:r>
            <w:r>
              <w:t>《国家危险废物名录》（20</w:t>
            </w:r>
            <w:r>
              <w:rPr>
                <w:rFonts w:hint="eastAsia"/>
              </w:rPr>
              <w:t>21版</w:t>
            </w:r>
            <w:r>
              <w:t>）</w:t>
            </w:r>
            <w:r>
              <w:rPr>
                <w:rFonts w:hint="eastAsia"/>
              </w:rPr>
              <w:t>，喷漆废过滤棉属于危险废物，废物类别</w:t>
            </w:r>
            <w:r>
              <w:t>HW49</w:t>
            </w:r>
            <w:r>
              <w:rPr>
                <w:rFonts w:hint="eastAsia"/>
              </w:rPr>
              <w:t>，废物代码为</w:t>
            </w:r>
            <w:r>
              <w:t>900</w:t>
            </w:r>
            <w:r>
              <w:rPr>
                <w:rFonts w:hint="eastAsia"/>
              </w:rPr>
              <w:t>-</w:t>
            </w:r>
            <w:r>
              <w:t>041</w:t>
            </w:r>
            <w:r>
              <w:rPr>
                <w:rFonts w:hint="eastAsia"/>
              </w:rPr>
              <w:t>-</w:t>
            </w:r>
            <w:r>
              <w:t>49</w:t>
            </w:r>
            <w:r>
              <w:rPr>
                <w:rFonts w:hint="eastAsia"/>
              </w:rPr>
              <w:t>含有或沾染毒性、感染性危险废物的废弃包装物、容器、过滤吸附介质。置于危废暂存间，委托有资质的单位处理。</w:t>
            </w:r>
          </w:p>
          <w:p>
            <w:pPr>
              <w:wordWrap w:val="0"/>
              <w:ind w:firstLine="480"/>
              <w:jc w:val="left"/>
            </w:pPr>
            <w:r>
              <w:t>⑤</w:t>
            </w:r>
            <w:r>
              <w:rPr>
                <w:rFonts w:hint="eastAsia"/>
              </w:rPr>
              <w:t>废活性炭</w:t>
            </w:r>
          </w:p>
          <w:p>
            <w:pPr>
              <w:wordWrap w:val="0"/>
              <w:ind w:firstLine="480"/>
              <w:jc w:val="left"/>
            </w:pPr>
            <w:r>
              <w:rPr>
                <w:rFonts w:hint="eastAsia"/>
              </w:rPr>
              <w:t>项目非甲烷总烃采用</w:t>
            </w:r>
            <w:r>
              <w:rPr>
                <w:rFonts w:hint="eastAsia"/>
                <w:lang w:eastAsia="zh-CN"/>
              </w:rPr>
              <w:t>二级活性炭</w:t>
            </w:r>
            <w:r>
              <w:rPr>
                <w:rFonts w:hint="eastAsia"/>
              </w:rPr>
              <w:t>吸附处理，活性炭吸附饱和后需要更换。按1t活性炭吸附0.3tVOCs，根据工程分析，本项目活性炭吸附的VOCs约为1.</w:t>
            </w:r>
            <w:r>
              <w:rPr>
                <w:rFonts w:hint="eastAsia"/>
                <w:lang w:val="en-US" w:eastAsia="zh-CN"/>
              </w:rPr>
              <w:t>535</w:t>
            </w:r>
            <w:r>
              <w:rPr>
                <w:rFonts w:hint="eastAsia"/>
              </w:rPr>
              <w:t>t/a，则需要活性炭约为</w:t>
            </w:r>
            <w:r>
              <w:rPr>
                <w:rFonts w:hint="eastAsia"/>
                <w:lang w:val="en-US" w:eastAsia="zh-CN"/>
              </w:rPr>
              <w:t>5.117</w:t>
            </w:r>
            <w:r>
              <w:rPr>
                <w:rFonts w:hint="eastAsia"/>
              </w:rPr>
              <w:t>t/a，每半年更换一次，则本项目废活性炭产生量（使用活性炭量+吸附有机废气量）约为</w:t>
            </w:r>
            <w:r>
              <w:rPr>
                <w:rFonts w:hint="eastAsia"/>
                <w:lang w:val="en-US" w:eastAsia="zh-CN"/>
              </w:rPr>
              <w:t>6.652</w:t>
            </w:r>
            <w:r>
              <w:rPr>
                <w:rFonts w:hint="eastAsia"/>
              </w:rPr>
              <w:t>t/a。</w:t>
            </w:r>
          </w:p>
          <w:p>
            <w:pPr>
              <w:wordWrap w:val="0"/>
              <w:ind w:firstLine="480"/>
              <w:jc w:val="left"/>
            </w:pPr>
            <w:r>
              <w:rPr>
                <w:rFonts w:hint="eastAsia"/>
              </w:rPr>
              <w:t>经查阅《国家危险废物名录》（2021年版），废活性炭属于危险废物，废物类别</w:t>
            </w:r>
            <w:r>
              <w:t>HW49</w:t>
            </w:r>
            <w:r>
              <w:rPr>
                <w:rFonts w:hint="eastAsia"/>
              </w:rPr>
              <w:t>，废物代码为</w:t>
            </w:r>
            <w:r>
              <w:t>900</w:t>
            </w:r>
            <w:r>
              <w:rPr>
                <w:rFonts w:hint="eastAsia"/>
              </w:rPr>
              <w:t>-</w:t>
            </w:r>
            <w:r>
              <w:t>0</w:t>
            </w:r>
            <w:r>
              <w:rPr>
                <w:rFonts w:hint="eastAsia"/>
                <w:lang w:val="en-US" w:eastAsia="zh-CN"/>
              </w:rPr>
              <w:t>39-</w:t>
            </w:r>
            <w:r>
              <w:t>49</w:t>
            </w:r>
            <w:r>
              <w:rPr>
                <w:rFonts w:hint="eastAsia"/>
              </w:rPr>
              <w:t>。本项目产生的废活性炭收集后暂存于危废暂存间，委托有资质的单位处置。</w:t>
            </w:r>
          </w:p>
          <w:p>
            <w:pPr>
              <w:wordWrap w:val="0"/>
              <w:ind w:firstLine="480"/>
              <w:jc w:val="left"/>
            </w:pPr>
            <w:r>
              <w:t>⑥</w:t>
            </w:r>
            <w:r>
              <w:rPr>
                <w:rFonts w:hint="eastAsia"/>
              </w:rPr>
              <w:t>光固化机废灯管</w:t>
            </w:r>
          </w:p>
          <w:p>
            <w:pPr>
              <w:wordWrap w:val="0"/>
              <w:ind w:firstLine="480"/>
              <w:jc w:val="left"/>
            </w:pPr>
            <w:r>
              <w:rPr>
                <w:rFonts w:hint="eastAsia"/>
              </w:rPr>
              <w:t>经设备厂家介绍，项目光固化机装置含汞灯管每年需更换两次，每次产生量约200g，产生量为0.0004t/a。</w:t>
            </w:r>
            <w:r>
              <w:t>据查《国家危险废物名录》（</w:t>
            </w:r>
            <w:r>
              <w:rPr>
                <w:rFonts w:hint="eastAsia"/>
              </w:rPr>
              <w:t>2021版</w:t>
            </w:r>
            <w:r>
              <w:t>）</w:t>
            </w:r>
            <w:r>
              <w:rPr>
                <w:rFonts w:hint="eastAsia"/>
              </w:rPr>
              <w:t>本项目产生的含汞灯管属于危险废物，收集后委托有资质的单位处理。</w:t>
            </w:r>
          </w:p>
          <w:p>
            <w:pPr>
              <w:wordWrap w:val="0"/>
              <w:ind w:firstLine="480"/>
              <w:jc w:val="left"/>
            </w:pPr>
            <w:r>
              <w:rPr>
                <w:rFonts w:hint="eastAsia"/>
              </w:rPr>
              <w:t>⑧废</w:t>
            </w:r>
            <w:r>
              <w:rPr>
                <w:rFonts w:hint="eastAsia"/>
                <w:lang w:eastAsia="zh-CN"/>
              </w:rPr>
              <w:t>润滑</w:t>
            </w:r>
            <w:r>
              <w:rPr>
                <w:rFonts w:hint="eastAsia"/>
              </w:rPr>
              <w:t>油</w:t>
            </w:r>
          </w:p>
          <w:p>
            <w:pPr>
              <w:wordWrap w:val="0"/>
              <w:ind w:firstLine="480"/>
              <w:jc w:val="left"/>
            </w:pPr>
            <w:r>
              <w:rPr>
                <w:rFonts w:hint="eastAsia"/>
              </w:rPr>
              <w:t>项目</w:t>
            </w:r>
            <w:r>
              <w:rPr>
                <w:rFonts w:hint="eastAsia"/>
                <w:lang w:eastAsia="zh-CN"/>
              </w:rPr>
              <w:t>机械设备维护产生废润滑</w:t>
            </w:r>
            <w:r>
              <w:rPr>
                <w:rFonts w:hint="eastAsia"/>
              </w:rPr>
              <w:t>油，根据建设单位提供的资料，年产生量为</w:t>
            </w:r>
            <w:r>
              <w:t>0.0</w:t>
            </w:r>
            <w:r>
              <w:rPr>
                <w:rFonts w:hint="eastAsia"/>
              </w:rPr>
              <w:t>3</w:t>
            </w:r>
            <w:r>
              <w:t>t/a</w:t>
            </w:r>
            <w:r>
              <w:rPr>
                <w:rFonts w:hint="eastAsia"/>
              </w:rPr>
              <w:t>，属于《国家危险废物名录》（2021版）中</w:t>
            </w:r>
            <w:r>
              <w:t>HW08</w:t>
            </w:r>
            <w:r>
              <w:rPr>
                <w:rFonts w:hint="eastAsia"/>
              </w:rPr>
              <w:t>废矿物油（废物代码</w:t>
            </w:r>
            <w:r>
              <w:t>900-</w:t>
            </w:r>
            <w:r>
              <w:rPr>
                <w:rFonts w:hint="eastAsia"/>
              </w:rPr>
              <w:t>2</w:t>
            </w:r>
            <w:r>
              <w:rPr>
                <w:rFonts w:hint="eastAsia"/>
                <w:lang w:val="en-US" w:eastAsia="zh-CN"/>
              </w:rPr>
              <w:t>14</w:t>
            </w:r>
            <w:r>
              <w:t>-08</w:t>
            </w:r>
            <w:r>
              <w:rPr>
                <w:rFonts w:hint="eastAsia"/>
              </w:rPr>
              <w:t>），集中收集后暂存于危废暂存间，委托有资质单位处理。</w:t>
            </w:r>
          </w:p>
          <w:p>
            <w:pPr>
              <w:wordWrap w:val="0"/>
              <w:ind w:firstLine="480"/>
              <w:jc w:val="left"/>
            </w:pPr>
            <w:r>
              <w:t>⑨</w:t>
            </w:r>
            <w:r>
              <w:rPr>
                <w:rFonts w:hint="eastAsia"/>
              </w:rPr>
              <w:t>废漆渣</w:t>
            </w:r>
          </w:p>
          <w:p>
            <w:pPr>
              <w:wordWrap w:val="0"/>
              <w:ind w:firstLine="480"/>
              <w:jc w:val="left"/>
            </w:pPr>
            <w:r>
              <w:rPr>
                <w:rFonts w:hint="eastAsia"/>
              </w:rPr>
              <w:t>根据物料平衡可知，本项目漆渣量为</w:t>
            </w:r>
            <w:r>
              <w:rPr>
                <w:rFonts w:hint="eastAsia"/>
                <w:lang w:val="en-US" w:eastAsia="zh-CN"/>
              </w:rPr>
              <w:t>1.69</w:t>
            </w:r>
            <w:r>
              <w:rPr>
                <w:rFonts w:hint="eastAsia"/>
              </w:rPr>
              <w:t>t/a。据查《国家危险废物名录》（2021年），本项目产生的废漆渣不属于危险废物，收集后暂存于一般固废暂存间，定期外售。</w:t>
            </w:r>
          </w:p>
          <w:p>
            <w:pPr>
              <w:pStyle w:val="24"/>
            </w:pPr>
            <w:r>
              <w:t xml:space="preserve">表4-10  </w:t>
            </w:r>
            <w:r>
              <w:rPr>
                <w:rFonts w:hint="eastAsia"/>
              </w:rPr>
              <w:t>固体</w:t>
            </w:r>
            <w:r>
              <w:t>污染源源强核算结果及相关参数一览表</w:t>
            </w:r>
          </w:p>
          <w:tbl>
            <w:tblPr>
              <w:tblStyle w:val="26"/>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5"/>
              <w:gridCol w:w="691"/>
              <w:gridCol w:w="848"/>
              <w:gridCol w:w="663"/>
              <w:gridCol w:w="735"/>
              <w:gridCol w:w="819"/>
              <w:gridCol w:w="628"/>
              <w:gridCol w:w="709"/>
              <w:gridCol w:w="902"/>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pStyle w:val="25"/>
                  </w:pPr>
                  <w:r>
                    <w:rPr>
                      <w:rFonts w:hint="eastAsia"/>
                    </w:rPr>
                    <w:t>产生环节</w:t>
                  </w:r>
                </w:p>
              </w:tc>
              <w:tc>
                <w:tcPr>
                  <w:tcW w:w="735" w:type="dxa"/>
                  <w:vAlign w:val="center"/>
                </w:tcPr>
                <w:p>
                  <w:pPr>
                    <w:pStyle w:val="25"/>
                  </w:pPr>
                  <w:r>
                    <w:rPr>
                      <w:rFonts w:hint="eastAsia"/>
                    </w:rPr>
                    <w:t>名称</w:t>
                  </w:r>
                </w:p>
              </w:tc>
              <w:tc>
                <w:tcPr>
                  <w:tcW w:w="691" w:type="dxa"/>
                  <w:vAlign w:val="center"/>
                </w:tcPr>
                <w:p>
                  <w:pPr>
                    <w:pStyle w:val="25"/>
                  </w:pPr>
                  <w:r>
                    <w:rPr>
                      <w:rFonts w:hint="eastAsia"/>
                    </w:rPr>
                    <w:t>属性</w:t>
                  </w:r>
                </w:p>
              </w:tc>
              <w:tc>
                <w:tcPr>
                  <w:tcW w:w="848" w:type="dxa"/>
                  <w:vAlign w:val="center"/>
                </w:tcPr>
                <w:p>
                  <w:pPr>
                    <w:pStyle w:val="25"/>
                  </w:pPr>
                  <w:r>
                    <w:rPr>
                      <w:rFonts w:hint="eastAsia"/>
                    </w:rPr>
                    <w:t>主要有毒有害物质名称</w:t>
                  </w:r>
                </w:p>
              </w:tc>
              <w:tc>
                <w:tcPr>
                  <w:tcW w:w="663" w:type="dxa"/>
                  <w:vAlign w:val="center"/>
                </w:tcPr>
                <w:p>
                  <w:pPr>
                    <w:pStyle w:val="25"/>
                  </w:pPr>
                  <w:r>
                    <w:rPr>
                      <w:rFonts w:hint="eastAsia"/>
                    </w:rPr>
                    <w:t>物理性状</w:t>
                  </w:r>
                </w:p>
              </w:tc>
              <w:tc>
                <w:tcPr>
                  <w:tcW w:w="735" w:type="dxa"/>
                  <w:vAlign w:val="center"/>
                </w:tcPr>
                <w:p>
                  <w:pPr>
                    <w:pStyle w:val="25"/>
                  </w:pPr>
                  <w:r>
                    <w:rPr>
                      <w:rFonts w:hint="eastAsia"/>
                    </w:rPr>
                    <w:t>环境危险特征</w:t>
                  </w:r>
                </w:p>
              </w:tc>
              <w:tc>
                <w:tcPr>
                  <w:tcW w:w="819" w:type="dxa"/>
                  <w:vAlign w:val="center"/>
                </w:tcPr>
                <w:p>
                  <w:pPr>
                    <w:pStyle w:val="25"/>
                  </w:pPr>
                  <w:r>
                    <w:rPr>
                      <w:rFonts w:hint="eastAsia"/>
                    </w:rPr>
                    <w:t>危险废物代码</w:t>
                  </w:r>
                </w:p>
              </w:tc>
              <w:tc>
                <w:tcPr>
                  <w:tcW w:w="628" w:type="dxa"/>
                  <w:vAlign w:val="center"/>
                </w:tcPr>
                <w:p>
                  <w:pPr>
                    <w:pStyle w:val="25"/>
                  </w:pPr>
                  <w:r>
                    <w:rPr>
                      <w:rFonts w:hint="eastAsia"/>
                    </w:rPr>
                    <w:t>年度产生量</w:t>
                  </w:r>
                  <w:r>
                    <w:t>t/a</w:t>
                  </w:r>
                </w:p>
              </w:tc>
              <w:tc>
                <w:tcPr>
                  <w:tcW w:w="709" w:type="dxa"/>
                  <w:vAlign w:val="center"/>
                </w:tcPr>
                <w:p>
                  <w:pPr>
                    <w:pStyle w:val="25"/>
                  </w:pPr>
                  <w:r>
                    <w:rPr>
                      <w:rFonts w:hint="eastAsia"/>
                    </w:rPr>
                    <w:t>贮存方式</w:t>
                  </w:r>
                </w:p>
              </w:tc>
              <w:tc>
                <w:tcPr>
                  <w:tcW w:w="902" w:type="dxa"/>
                  <w:vAlign w:val="center"/>
                </w:tcPr>
                <w:p>
                  <w:pPr>
                    <w:pStyle w:val="25"/>
                  </w:pPr>
                  <w:r>
                    <w:rPr>
                      <w:rFonts w:hint="eastAsia"/>
                    </w:rPr>
                    <w:t>利用处置方式和去向</w:t>
                  </w:r>
                </w:p>
              </w:tc>
              <w:tc>
                <w:tcPr>
                  <w:tcW w:w="650" w:type="dxa"/>
                  <w:vAlign w:val="center"/>
                </w:tcPr>
                <w:p>
                  <w:pPr>
                    <w:pStyle w:val="25"/>
                  </w:pPr>
                  <w:r>
                    <w:rPr>
                      <w:rFonts w:hint="eastAsia"/>
                    </w:rPr>
                    <w:t>利用或者处置量</w:t>
                  </w:r>
                  <w: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pStyle w:val="25"/>
                  </w:pPr>
                  <w:r>
                    <w:rPr>
                      <w:rFonts w:hint="eastAsia"/>
                    </w:rPr>
                    <w:t>废气处理</w:t>
                  </w:r>
                </w:p>
              </w:tc>
              <w:tc>
                <w:tcPr>
                  <w:tcW w:w="735" w:type="dxa"/>
                  <w:vAlign w:val="center"/>
                </w:tcPr>
                <w:p>
                  <w:pPr>
                    <w:pStyle w:val="25"/>
                  </w:pPr>
                  <w:r>
                    <w:rPr>
                      <w:rFonts w:hint="eastAsia"/>
                    </w:rPr>
                    <w:t>漆渣</w:t>
                  </w:r>
                </w:p>
              </w:tc>
              <w:tc>
                <w:tcPr>
                  <w:tcW w:w="691" w:type="dxa"/>
                  <w:vMerge w:val="restart"/>
                  <w:vAlign w:val="center"/>
                </w:tcPr>
                <w:p>
                  <w:pPr>
                    <w:pStyle w:val="25"/>
                    <w:rPr>
                      <w:rFonts w:cs="宋体"/>
                    </w:rPr>
                  </w:pPr>
                  <w:r>
                    <w:rPr>
                      <w:rFonts w:hint="eastAsia" w:cs="宋体"/>
                    </w:rPr>
                    <w:t>危险废物</w:t>
                  </w:r>
                </w:p>
              </w:tc>
              <w:tc>
                <w:tcPr>
                  <w:tcW w:w="848" w:type="dxa"/>
                  <w:vAlign w:val="center"/>
                </w:tcPr>
                <w:p>
                  <w:pPr>
                    <w:pStyle w:val="25"/>
                  </w:pPr>
                  <w:r>
                    <w:rPr>
                      <w:rFonts w:hint="eastAsia"/>
                    </w:rPr>
                    <w:t>有机物</w:t>
                  </w:r>
                </w:p>
              </w:tc>
              <w:tc>
                <w:tcPr>
                  <w:tcW w:w="663" w:type="dxa"/>
                  <w:vAlign w:val="center"/>
                </w:tcPr>
                <w:p>
                  <w:pPr>
                    <w:pStyle w:val="25"/>
                  </w:pPr>
                  <w:r>
                    <w:rPr>
                      <w:rFonts w:hint="eastAsia"/>
                    </w:rPr>
                    <w:t>固体</w:t>
                  </w:r>
                </w:p>
              </w:tc>
              <w:tc>
                <w:tcPr>
                  <w:tcW w:w="735" w:type="dxa"/>
                  <w:vAlign w:val="center"/>
                </w:tcPr>
                <w:p>
                  <w:pPr>
                    <w:pStyle w:val="25"/>
                  </w:pPr>
                  <w:r>
                    <w:t>T,I</w:t>
                  </w:r>
                </w:p>
              </w:tc>
              <w:tc>
                <w:tcPr>
                  <w:tcW w:w="819" w:type="dxa"/>
                  <w:vAlign w:val="center"/>
                </w:tcPr>
                <w:p>
                  <w:pPr>
                    <w:pStyle w:val="25"/>
                  </w:pPr>
                  <w:r>
                    <w:t>HW</w:t>
                  </w:r>
                  <w:r>
                    <w:rPr>
                      <w:rFonts w:hint="eastAsia"/>
                      <w:lang w:val="en-US" w:eastAsia="zh-CN"/>
                    </w:rPr>
                    <w:t>12</w:t>
                  </w:r>
                  <w:r>
                    <w:t>（900-</w:t>
                  </w:r>
                  <w:r>
                    <w:rPr>
                      <w:rFonts w:hint="eastAsia"/>
                      <w:lang w:val="en-US" w:eastAsia="zh-CN"/>
                    </w:rPr>
                    <w:t>252</w:t>
                  </w:r>
                  <w:r>
                    <w:t>-</w:t>
                  </w:r>
                  <w:r>
                    <w:rPr>
                      <w:rFonts w:hint="eastAsia"/>
                      <w:lang w:val="en-US" w:eastAsia="zh-CN"/>
                    </w:rPr>
                    <w:t>12</w:t>
                  </w:r>
                  <w:r>
                    <w:t>）</w:t>
                  </w:r>
                </w:p>
              </w:tc>
              <w:tc>
                <w:tcPr>
                  <w:tcW w:w="628" w:type="dxa"/>
                  <w:vAlign w:val="center"/>
                </w:tcPr>
                <w:p>
                  <w:pPr>
                    <w:pStyle w:val="25"/>
                    <w:rPr>
                      <w:rFonts w:hint="default" w:eastAsia="宋体"/>
                      <w:lang w:val="en-US" w:eastAsia="zh-CN"/>
                    </w:rPr>
                  </w:pPr>
                  <w:r>
                    <w:rPr>
                      <w:rFonts w:hint="eastAsia"/>
                      <w:lang w:val="en-US" w:eastAsia="zh-CN"/>
                    </w:rPr>
                    <w:t>1.69</w:t>
                  </w:r>
                </w:p>
              </w:tc>
              <w:tc>
                <w:tcPr>
                  <w:tcW w:w="709" w:type="dxa"/>
                  <w:vMerge w:val="restart"/>
                  <w:vAlign w:val="center"/>
                </w:tcPr>
                <w:p>
                  <w:pPr>
                    <w:pStyle w:val="25"/>
                  </w:pPr>
                  <w:r>
                    <w:rPr>
                      <w:rFonts w:hint="eastAsia"/>
                    </w:rPr>
                    <w:t>危废暂存间</w:t>
                  </w:r>
                </w:p>
              </w:tc>
              <w:tc>
                <w:tcPr>
                  <w:tcW w:w="902" w:type="dxa"/>
                  <w:vMerge w:val="restart"/>
                  <w:vAlign w:val="center"/>
                </w:tcPr>
                <w:p>
                  <w:pPr>
                    <w:pStyle w:val="25"/>
                  </w:pPr>
                  <w:r>
                    <w:rPr>
                      <w:rFonts w:hint="eastAsia"/>
                    </w:rPr>
                    <w:t>委托有资质单位处置</w:t>
                  </w:r>
                </w:p>
              </w:tc>
              <w:tc>
                <w:tcPr>
                  <w:tcW w:w="650" w:type="dxa"/>
                  <w:vAlign w:val="center"/>
                </w:tcPr>
                <w:p>
                  <w:pPr>
                    <w:pStyle w:val="25"/>
                    <w:rPr>
                      <w:rFonts w:hint="default" w:eastAsia="宋体"/>
                      <w:lang w:val="en-US" w:eastAsia="zh-CN"/>
                    </w:rPr>
                  </w:pPr>
                  <w:r>
                    <w:rPr>
                      <w:rFonts w:hint="eastAsia"/>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t>喷漆工序</w:t>
                  </w:r>
                </w:p>
              </w:tc>
              <w:tc>
                <w:tcPr>
                  <w:tcW w:w="735"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rPr>
                      <w:rFonts w:hint="eastAsia"/>
                    </w:rPr>
                    <w:t>废漆桶</w:t>
                  </w:r>
                </w:p>
              </w:tc>
              <w:tc>
                <w:tcPr>
                  <w:tcW w:w="691" w:type="dxa"/>
                  <w:vMerge w:val="continue"/>
                  <w:vAlign w:val="center"/>
                </w:tcPr>
                <w:p>
                  <w:pPr>
                    <w:pStyle w:val="25"/>
                    <w:rPr>
                      <w:rFonts w:cs="宋体"/>
                    </w:rPr>
                  </w:pPr>
                </w:p>
              </w:tc>
              <w:tc>
                <w:tcPr>
                  <w:tcW w:w="848"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rPr>
                      <w:rFonts w:hint="eastAsia"/>
                    </w:rPr>
                    <w:t>有机物</w:t>
                  </w:r>
                </w:p>
              </w:tc>
              <w:tc>
                <w:tcPr>
                  <w:tcW w:w="663"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rPr>
                      <w:rFonts w:hint="eastAsia"/>
                    </w:rPr>
                    <w:t>固体</w:t>
                  </w:r>
                </w:p>
              </w:tc>
              <w:tc>
                <w:tcPr>
                  <w:tcW w:w="735" w:type="dxa"/>
                  <w:vAlign w:val="center"/>
                </w:tcPr>
                <w:p>
                  <w:pPr>
                    <w:pStyle w:val="25"/>
                    <w:ind w:firstLine="0" w:firstLineChars="0"/>
                    <w:rPr>
                      <w:rFonts w:ascii="Times New Roman" w:hAnsi="Times New Roman" w:eastAsia="宋体" w:cs="Times New Roman"/>
                      <w:kern w:val="2"/>
                      <w:sz w:val="21"/>
                      <w:szCs w:val="21"/>
                      <w:lang w:val="en-US" w:eastAsia="zh-CN" w:bidi="ar-SA"/>
                    </w:rPr>
                  </w:pPr>
                  <w:r>
                    <w:t>T,I</w:t>
                  </w:r>
                </w:p>
              </w:tc>
              <w:tc>
                <w:tcPr>
                  <w:tcW w:w="819" w:type="dxa"/>
                  <w:vAlign w:val="center"/>
                </w:tcPr>
                <w:p>
                  <w:pPr>
                    <w:pStyle w:val="25"/>
                    <w:ind w:firstLine="0" w:firstLineChars="0"/>
                    <w:rPr>
                      <w:rFonts w:ascii="Times New Roman" w:hAnsi="Times New Roman" w:eastAsia="宋体" w:cs="Times New Roman"/>
                      <w:kern w:val="2"/>
                      <w:sz w:val="21"/>
                      <w:szCs w:val="21"/>
                      <w:lang w:val="en-US" w:eastAsia="zh-CN" w:bidi="ar-SA"/>
                    </w:rPr>
                  </w:pPr>
                  <w:r>
                    <w:t>HW49（900-04</w:t>
                  </w:r>
                  <w:r>
                    <w:rPr>
                      <w:rFonts w:hint="eastAsia"/>
                    </w:rPr>
                    <w:t>1</w:t>
                  </w:r>
                  <w:r>
                    <w:t>-</w:t>
                  </w:r>
                  <w:r>
                    <w:rPr>
                      <w:rFonts w:hint="eastAsia"/>
                    </w:rPr>
                    <w:t>0</w:t>
                  </w:r>
                  <w:r>
                    <w:t>49）</w:t>
                  </w:r>
                </w:p>
              </w:tc>
              <w:tc>
                <w:tcPr>
                  <w:tcW w:w="628"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rPr>
                      <w:rFonts w:hint="eastAsia"/>
                    </w:rPr>
                    <w:t>0.36</w:t>
                  </w:r>
                </w:p>
              </w:tc>
              <w:tc>
                <w:tcPr>
                  <w:tcW w:w="709" w:type="dxa"/>
                  <w:vMerge w:val="continue"/>
                  <w:vAlign w:val="center"/>
                </w:tcPr>
                <w:p>
                  <w:pPr>
                    <w:pStyle w:val="25"/>
                  </w:pPr>
                </w:p>
              </w:tc>
              <w:tc>
                <w:tcPr>
                  <w:tcW w:w="902" w:type="dxa"/>
                  <w:vMerge w:val="continue"/>
                  <w:vAlign w:val="center"/>
                </w:tcPr>
                <w:p>
                  <w:pPr>
                    <w:pStyle w:val="25"/>
                  </w:pPr>
                </w:p>
              </w:tc>
              <w:tc>
                <w:tcPr>
                  <w:tcW w:w="650"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rPr>
                      <w:rFonts w:hint="eastAsia"/>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rPr>
                      <w:rFonts w:hint="eastAsia"/>
                    </w:rPr>
                    <w:t>打磨工序</w:t>
                  </w:r>
                </w:p>
              </w:tc>
              <w:tc>
                <w:tcPr>
                  <w:tcW w:w="735"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rPr>
                      <w:rFonts w:hint="eastAsia"/>
                    </w:rPr>
                    <w:t>含漆粉尘</w:t>
                  </w:r>
                </w:p>
              </w:tc>
              <w:tc>
                <w:tcPr>
                  <w:tcW w:w="691" w:type="dxa"/>
                  <w:vMerge w:val="continue"/>
                  <w:vAlign w:val="center"/>
                </w:tcPr>
                <w:p>
                  <w:pPr>
                    <w:pStyle w:val="25"/>
                    <w:rPr>
                      <w:rFonts w:hint="eastAsia" w:cs="宋体"/>
                    </w:rPr>
                  </w:pPr>
                </w:p>
              </w:tc>
              <w:tc>
                <w:tcPr>
                  <w:tcW w:w="848"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rPr>
                      <w:rFonts w:hint="eastAsia"/>
                    </w:rPr>
                    <w:t>有机物</w:t>
                  </w:r>
                </w:p>
              </w:tc>
              <w:tc>
                <w:tcPr>
                  <w:tcW w:w="663"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rPr>
                      <w:rFonts w:hint="eastAsia"/>
                    </w:rPr>
                    <w:t>固体</w:t>
                  </w:r>
                </w:p>
              </w:tc>
              <w:tc>
                <w:tcPr>
                  <w:tcW w:w="735" w:type="dxa"/>
                  <w:vAlign w:val="center"/>
                </w:tcPr>
                <w:p>
                  <w:pPr>
                    <w:pStyle w:val="25"/>
                    <w:ind w:firstLine="0" w:firstLineChars="0"/>
                    <w:rPr>
                      <w:rFonts w:ascii="Times New Roman" w:hAnsi="Times New Roman" w:eastAsia="宋体" w:cs="Times New Roman"/>
                      <w:kern w:val="2"/>
                      <w:sz w:val="21"/>
                      <w:szCs w:val="21"/>
                      <w:lang w:val="en-US" w:eastAsia="zh-CN" w:bidi="ar-SA"/>
                    </w:rPr>
                  </w:pPr>
                  <w:r>
                    <w:t>T,I</w:t>
                  </w:r>
                </w:p>
              </w:tc>
              <w:tc>
                <w:tcPr>
                  <w:tcW w:w="819" w:type="dxa"/>
                  <w:vAlign w:val="center"/>
                </w:tcPr>
                <w:p>
                  <w:pPr>
                    <w:pStyle w:val="25"/>
                    <w:ind w:firstLine="0" w:firstLineChars="0"/>
                    <w:rPr>
                      <w:rFonts w:ascii="Times New Roman" w:hAnsi="Times New Roman" w:eastAsia="宋体" w:cs="Times New Roman"/>
                      <w:kern w:val="2"/>
                      <w:sz w:val="21"/>
                      <w:szCs w:val="21"/>
                      <w:lang w:val="en-US" w:eastAsia="zh-CN" w:bidi="ar-SA"/>
                    </w:rPr>
                  </w:pPr>
                  <w:r>
                    <w:t>HW</w:t>
                  </w:r>
                  <w:r>
                    <w:rPr>
                      <w:rFonts w:hint="eastAsia"/>
                      <w:lang w:val="en-US" w:eastAsia="zh-CN"/>
                    </w:rPr>
                    <w:t>12</w:t>
                  </w:r>
                  <w:r>
                    <w:t>（900-</w:t>
                  </w:r>
                  <w:r>
                    <w:rPr>
                      <w:rFonts w:hint="eastAsia"/>
                      <w:lang w:val="en-US" w:eastAsia="zh-CN"/>
                    </w:rPr>
                    <w:t>252</w:t>
                  </w:r>
                  <w:r>
                    <w:t>-</w:t>
                  </w:r>
                  <w:r>
                    <w:rPr>
                      <w:rFonts w:hint="eastAsia"/>
                      <w:lang w:val="en-US" w:eastAsia="zh-CN"/>
                    </w:rPr>
                    <w:t>12</w:t>
                  </w:r>
                  <w:r>
                    <w:t>）</w:t>
                  </w:r>
                </w:p>
              </w:tc>
              <w:tc>
                <w:tcPr>
                  <w:tcW w:w="628"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rPr>
                      <w:rFonts w:hint="eastAsia"/>
                    </w:rPr>
                    <w:t>0.14</w:t>
                  </w:r>
                  <w:r>
                    <w:rPr>
                      <w:rFonts w:hint="eastAsia"/>
                      <w:lang w:val="en-US" w:eastAsia="zh-CN"/>
                    </w:rPr>
                    <w:t>1</w:t>
                  </w:r>
                </w:p>
              </w:tc>
              <w:tc>
                <w:tcPr>
                  <w:tcW w:w="709" w:type="dxa"/>
                  <w:vMerge w:val="continue"/>
                  <w:vAlign w:val="center"/>
                </w:tcPr>
                <w:p>
                  <w:pPr>
                    <w:pStyle w:val="25"/>
                    <w:rPr>
                      <w:rFonts w:hint="eastAsia"/>
                    </w:rPr>
                  </w:pPr>
                </w:p>
              </w:tc>
              <w:tc>
                <w:tcPr>
                  <w:tcW w:w="902" w:type="dxa"/>
                  <w:vMerge w:val="continue"/>
                  <w:vAlign w:val="center"/>
                </w:tcPr>
                <w:p>
                  <w:pPr>
                    <w:pStyle w:val="25"/>
                    <w:rPr>
                      <w:rFonts w:hint="eastAsia"/>
                    </w:rPr>
                  </w:pPr>
                </w:p>
              </w:tc>
              <w:tc>
                <w:tcPr>
                  <w:tcW w:w="650" w:type="dxa"/>
                  <w:vAlign w:val="center"/>
                </w:tcPr>
                <w:p>
                  <w:pPr>
                    <w:pStyle w:val="25"/>
                    <w:ind w:firstLine="0" w:firstLineChars="0"/>
                    <w:rPr>
                      <w:rFonts w:hint="eastAsia" w:ascii="Times New Roman" w:hAnsi="Times New Roman" w:eastAsia="宋体" w:cs="Times New Roman"/>
                      <w:kern w:val="2"/>
                      <w:sz w:val="21"/>
                      <w:szCs w:val="21"/>
                      <w:lang w:val="en-US" w:eastAsia="zh-CN" w:bidi="ar-SA"/>
                    </w:rPr>
                  </w:pPr>
                  <w:r>
                    <w:rPr>
                      <w:rFonts w:hint="eastAsia"/>
                    </w:rPr>
                    <w:t>0.14</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pStyle w:val="25"/>
                  </w:pPr>
                  <w:r>
                    <w:rPr>
                      <w:rFonts w:hint="eastAsia"/>
                    </w:rPr>
                    <w:t>废气处理</w:t>
                  </w:r>
                </w:p>
              </w:tc>
              <w:tc>
                <w:tcPr>
                  <w:tcW w:w="735" w:type="dxa"/>
                  <w:vAlign w:val="center"/>
                </w:tcPr>
                <w:p>
                  <w:pPr>
                    <w:pStyle w:val="25"/>
                  </w:pPr>
                  <w:r>
                    <w:rPr>
                      <w:rFonts w:hint="eastAsia"/>
                    </w:rPr>
                    <w:t>废活性炭</w:t>
                  </w:r>
                </w:p>
              </w:tc>
              <w:tc>
                <w:tcPr>
                  <w:tcW w:w="691" w:type="dxa"/>
                  <w:vMerge w:val="continue"/>
                  <w:vAlign w:val="center"/>
                </w:tcPr>
                <w:p>
                  <w:pPr>
                    <w:pStyle w:val="25"/>
                  </w:pPr>
                </w:p>
              </w:tc>
              <w:tc>
                <w:tcPr>
                  <w:tcW w:w="848" w:type="dxa"/>
                  <w:vAlign w:val="center"/>
                </w:tcPr>
                <w:p>
                  <w:pPr>
                    <w:pStyle w:val="25"/>
                  </w:pPr>
                  <w:r>
                    <w:rPr>
                      <w:rFonts w:hint="eastAsia"/>
                    </w:rPr>
                    <w:t>有机物</w:t>
                  </w:r>
                </w:p>
              </w:tc>
              <w:tc>
                <w:tcPr>
                  <w:tcW w:w="663" w:type="dxa"/>
                  <w:vAlign w:val="center"/>
                </w:tcPr>
                <w:p>
                  <w:pPr>
                    <w:pStyle w:val="25"/>
                  </w:pPr>
                  <w:r>
                    <w:rPr>
                      <w:rFonts w:hint="eastAsia"/>
                    </w:rPr>
                    <w:t>固体</w:t>
                  </w:r>
                </w:p>
              </w:tc>
              <w:tc>
                <w:tcPr>
                  <w:tcW w:w="735" w:type="dxa"/>
                  <w:vAlign w:val="center"/>
                </w:tcPr>
                <w:p>
                  <w:pPr>
                    <w:pStyle w:val="25"/>
                  </w:pPr>
                  <w:r>
                    <w:t>T</w:t>
                  </w:r>
                </w:p>
              </w:tc>
              <w:tc>
                <w:tcPr>
                  <w:tcW w:w="819" w:type="dxa"/>
                  <w:vAlign w:val="center"/>
                </w:tcPr>
                <w:p>
                  <w:pPr>
                    <w:pStyle w:val="25"/>
                  </w:pPr>
                  <w:r>
                    <w:t>HW49（900-0</w:t>
                  </w:r>
                  <w:r>
                    <w:rPr>
                      <w:rFonts w:hint="eastAsia"/>
                      <w:lang w:val="en-US" w:eastAsia="zh-CN"/>
                    </w:rPr>
                    <w:t>39</w:t>
                  </w:r>
                  <w:r>
                    <w:t>-</w:t>
                  </w:r>
                  <w:r>
                    <w:rPr>
                      <w:rFonts w:hint="eastAsia"/>
                    </w:rPr>
                    <w:t>0</w:t>
                  </w:r>
                  <w:r>
                    <w:t>49）</w:t>
                  </w:r>
                </w:p>
              </w:tc>
              <w:tc>
                <w:tcPr>
                  <w:tcW w:w="628" w:type="dxa"/>
                  <w:vAlign w:val="center"/>
                </w:tcPr>
                <w:p>
                  <w:pPr>
                    <w:pStyle w:val="25"/>
                    <w:rPr>
                      <w:rFonts w:hint="default" w:eastAsia="宋体"/>
                      <w:lang w:val="en-US" w:eastAsia="zh-CN"/>
                    </w:rPr>
                  </w:pPr>
                  <w:r>
                    <w:rPr>
                      <w:rFonts w:hint="eastAsia"/>
                      <w:lang w:val="en-US" w:eastAsia="zh-CN"/>
                    </w:rPr>
                    <w:t>6.652</w:t>
                  </w:r>
                </w:p>
              </w:tc>
              <w:tc>
                <w:tcPr>
                  <w:tcW w:w="709" w:type="dxa"/>
                  <w:vMerge w:val="continue"/>
                  <w:vAlign w:val="center"/>
                </w:tcPr>
                <w:p>
                  <w:pPr>
                    <w:pStyle w:val="25"/>
                    <w:rPr>
                      <w:rFonts w:cs="宋体"/>
                    </w:rPr>
                  </w:pPr>
                </w:p>
              </w:tc>
              <w:tc>
                <w:tcPr>
                  <w:tcW w:w="902" w:type="dxa"/>
                  <w:vMerge w:val="continue"/>
                  <w:vAlign w:val="center"/>
                </w:tcPr>
                <w:p>
                  <w:pPr>
                    <w:pStyle w:val="25"/>
                  </w:pPr>
                </w:p>
              </w:tc>
              <w:tc>
                <w:tcPr>
                  <w:tcW w:w="650" w:type="dxa"/>
                  <w:vAlign w:val="center"/>
                </w:tcPr>
                <w:p>
                  <w:pPr>
                    <w:pStyle w:val="25"/>
                    <w:rPr>
                      <w:rFonts w:hint="default" w:eastAsia="宋体"/>
                      <w:lang w:val="en-US" w:eastAsia="zh-CN"/>
                    </w:rPr>
                  </w:pPr>
                  <w:r>
                    <w:rPr>
                      <w:rFonts w:hint="eastAsia"/>
                      <w:lang w:val="en-US" w:eastAsia="zh-CN"/>
                    </w:rPr>
                    <w:t>6.652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pStyle w:val="25"/>
                  </w:pPr>
                  <w:r>
                    <w:rPr>
                      <w:rFonts w:hint="eastAsia"/>
                    </w:rPr>
                    <w:t>废气处理</w:t>
                  </w:r>
                </w:p>
              </w:tc>
              <w:tc>
                <w:tcPr>
                  <w:tcW w:w="735" w:type="dxa"/>
                  <w:vAlign w:val="center"/>
                </w:tcPr>
                <w:p>
                  <w:pPr>
                    <w:pStyle w:val="25"/>
                  </w:pPr>
                  <w:r>
                    <w:rPr>
                      <w:rFonts w:hint="eastAsia"/>
                    </w:rPr>
                    <w:t>废过滤棉</w:t>
                  </w:r>
                </w:p>
              </w:tc>
              <w:tc>
                <w:tcPr>
                  <w:tcW w:w="691" w:type="dxa"/>
                  <w:vMerge w:val="continue"/>
                  <w:vAlign w:val="center"/>
                </w:tcPr>
                <w:p>
                  <w:pPr>
                    <w:pStyle w:val="25"/>
                    <w:rPr>
                      <w:rFonts w:cs="宋体"/>
                    </w:rPr>
                  </w:pPr>
                </w:p>
              </w:tc>
              <w:tc>
                <w:tcPr>
                  <w:tcW w:w="848" w:type="dxa"/>
                  <w:vAlign w:val="center"/>
                </w:tcPr>
                <w:p>
                  <w:pPr>
                    <w:pStyle w:val="25"/>
                  </w:pPr>
                  <w:r>
                    <w:rPr>
                      <w:rFonts w:hint="eastAsia"/>
                    </w:rPr>
                    <w:t>有机物</w:t>
                  </w:r>
                </w:p>
              </w:tc>
              <w:tc>
                <w:tcPr>
                  <w:tcW w:w="663" w:type="dxa"/>
                  <w:vAlign w:val="center"/>
                </w:tcPr>
                <w:p>
                  <w:pPr>
                    <w:pStyle w:val="25"/>
                  </w:pPr>
                  <w:r>
                    <w:rPr>
                      <w:rFonts w:hint="eastAsia"/>
                    </w:rPr>
                    <w:t>固体</w:t>
                  </w:r>
                </w:p>
              </w:tc>
              <w:tc>
                <w:tcPr>
                  <w:tcW w:w="735" w:type="dxa"/>
                  <w:vAlign w:val="center"/>
                </w:tcPr>
                <w:p>
                  <w:pPr>
                    <w:pStyle w:val="25"/>
                    <w:rPr>
                      <w:rFonts w:hint="default" w:eastAsia="宋体"/>
                      <w:lang w:val="en-US" w:eastAsia="zh-CN"/>
                    </w:rPr>
                  </w:pPr>
                  <w:r>
                    <w:t>T</w:t>
                  </w:r>
                  <w:r>
                    <w:rPr>
                      <w:rFonts w:hint="eastAsia"/>
                      <w:lang w:val="en-US" w:eastAsia="zh-CN"/>
                    </w:rPr>
                    <w:t>/In</w:t>
                  </w:r>
                </w:p>
              </w:tc>
              <w:tc>
                <w:tcPr>
                  <w:tcW w:w="819" w:type="dxa"/>
                  <w:vAlign w:val="center"/>
                </w:tcPr>
                <w:p>
                  <w:pPr>
                    <w:pStyle w:val="25"/>
                  </w:pPr>
                  <w:r>
                    <w:t>HW49（900-04</w:t>
                  </w:r>
                  <w:r>
                    <w:rPr>
                      <w:rFonts w:hint="eastAsia"/>
                    </w:rPr>
                    <w:t>1</w:t>
                  </w:r>
                  <w:r>
                    <w:t>-</w:t>
                  </w:r>
                  <w:r>
                    <w:rPr>
                      <w:rFonts w:hint="eastAsia"/>
                    </w:rPr>
                    <w:t>0</w:t>
                  </w:r>
                  <w:r>
                    <w:t>49）</w:t>
                  </w:r>
                </w:p>
              </w:tc>
              <w:tc>
                <w:tcPr>
                  <w:tcW w:w="628" w:type="dxa"/>
                  <w:vAlign w:val="center"/>
                </w:tcPr>
                <w:p>
                  <w:pPr>
                    <w:pStyle w:val="25"/>
                  </w:pPr>
                  <w:r>
                    <w:rPr>
                      <w:rFonts w:hint="eastAsia"/>
                    </w:rPr>
                    <w:t>0.1</w:t>
                  </w:r>
                </w:p>
              </w:tc>
              <w:tc>
                <w:tcPr>
                  <w:tcW w:w="709" w:type="dxa"/>
                  <w:vMerge w:val="continue"/>
                  <w:vAlign w:val="center"/>
                </w:tcPr>
                <w:p>
                  <w:pPr>
                    <w:pStyle w:val="25"/>
                  </w:pPr>
                </w:p>
              </w:tc>
              <w:tc>
                <w:tcPr>
                  <w:tcW w:w="902" w:type="dxa"/>
                  <w:vMerge w:val="continue"/>
                  <w:vAlign w:val="center"/>
                </w:tcPr>
                <w:p>
                  <w:pPr>
                    <w:pStyle w:val="25"/>
                  </w:pPr>
                </w:p>
              </w:tc>
              <w:tc>
                <w:tcPr>
                  <w:tcW w:w="650" w:type="dxa"/>
                  <w:vAlign w:val="center"/>
                </w:tcPr>
                <w:p>
                  <w:pPr>
                    <w:pStyle w:val="25"/>
                  </w:pP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pStyle w:val="25"/>
                  </w:pPr>
                  <w:r>
                    <w:rPr>
                      <w:rFonts w:hint="eastAsia"/>
                    </w:rPr>
                    <w:t>设备维护</w:t>
                  </w:r>
                </w:p>
              </w:tc>
              <w:tc>
                <w:tcPr>
                  <w:tcW w:w="735" w:type="dxa"/>
                  <w:vAlign w:val="center"/>
                </w:tcPr>
                <w:p>
                  <w:pPr>
                    <w:pStyle w:val="25"/>
                  </w:pPr>
                  <w:r>
                    <w:rPr>
                      <w:rFonts w:hint="eastAsia"/>
                    </w:rPr>
                    <w:t>废</w:t>
                  </w:r>
                  <w:r>
                    <w:rPr>
                      <w:rFonts w:hint="eastAsia"/>
                      <w:lang w:eastAsia="zh-CN"/>
                    </w:rPr>
                    <w:t>润滑</w:t>
                  </w:r>
                  <w:r>
                    <w:rPr>
                      <w:rFonts w:hint="eastAsia"/>
                    </w:rPr>
                    <w:t>油</w:t>
                  </w:r>
                </w:p>
              </w:tc>
              <w:tc>
                <w:tcPr>
                  <w:tcW w:w="691" w:type="dxa"/>
                  <w:vMerge w:val="continue"/>
                  <w:vAlign w:val="center"/>
                </w:tcPr>
                <w:p>
                  <w:pPr>
                    <w:pStyle w:val="25"/>
                    <w:rPr>
                      <w:rFonts w:cs="宋体"/>
                    </w:rPr>
                  </w:pPr>
                </w:p>
              </w:tc>
              <w:tc>
                <w:tcPr>
                  <w:tcW w:w="848" w:type="dxa"/>
                  <w:vAlign w:val="center"/>
                </w:tcPr>
                <w:p>
                  <w:pPr>
                    <w:pStyle w:val="25"/>
                  </w:pPr>
                  <w:r>
                    <w:rPr>
                      <w:rFonts w:hint="eastAsia"/>
                    </w:rPr>
                    <w:t>油</w:t>
                  </w:r>
                </w:p>
              </w:tc>
              <w:tc>
                <w:tcPr>
                  <w:tcW w:w="663" w:type="dxa"/>
                  <w:vAlign w:val="center"/>
                </w:tcPr>
                <w:p>
                  <w:pPr>
                    <w:pStyle w:val="25"/>
                  </w:pPr>
                  <w:r>
                    <w:rPr>
                      <w:rFonts w:hint="eastAsia"/>
                    </w:rPr>
                    <w:t>液体</w:t>
                  </w:r>
                </w:p>
              </w:tc>
              <w:tc>
                <w:tcPr>
                  <w:tcW w:w="735" w:type="dxa"/>
                  <w:vAlign w:val="center"/>
                </w:tcPr>
                <w:p>
                  <w:pPr>
                    <w:pStyle w:val="25"/>
                  </w:pPr>
                  <w:r>
                    <w:t>T,I</w:t>
                  </w:r>
                </w:p>
              </w:tc>
              <w:tc>
                <w:tcPr>
                  <w:tcW w:w="819" w:type="dxa"/>
                  <w:vAlign w:val="center"/>
                </w:tcPr>
                <w:p>
                  <w:pPr>
                    <w:pStyle w:val="25"/>
                  </w:pPr>
                  <w:r>
                    <w:rPr>
                      <w:kern w:val="0"/>
                      <w:lang w:bidi="ar"/>
                    </w:rPr>
                    <w:t>HW08</w:t>
                  </w:r>
                  <w:r>
                    <w:rPr>
                      <w:rFonts w:hint="eastAsia" w:ascii="宋体" w:hAnsi="宋体" w:cs="宋体"/>
                      <w:kern w:val="0"/>
                      <w:lang w:bidi="ar"/>
                    </w:rPr>
                    <w:t>（</w:t>
                  </w:r>
                  <w:r>
                    <w:rPr>
                      <w:kern w:val="0"/>
                      <w:lang w:bidi="ar"/>
                    </w:rPr>
                    <w:t>900-</w:t>
                  </w:r>
                  <w:r>
                    <w:rPr>
                      <w:rFonts w:hint="eastAsia"/>
                      <w:kern w:val="0"/>
                      <w:lang w:val="en-US" w:eastAsia="zh-CN" w:bidi="ar"/>
                    </w:rPr>
                    <w:t>214</w:t>
                  </w:r>
                  <w:r>
                    <w:rPr>
                      <w:kern w:val="0"/>
                      <w:lang w:bidi="ar"/>
                    </w:rPr>
                    <w:t>-08</w:t>
                  </w:r>
                  <w:r>
                    <w:rPr>
                      <w:rFonts w:hint="eastAsia" w:ascii="宋体" w:hAnsi="宋体" w:cs="宋体"/>
                      <w:kern w:val="0"/>
                      <w:lang w:bidi="ar"/>
                    </w:rPr>
                    <w:t>）</w:t>
                  </w:r>
                </w:p>
              </w:tc>
              <w:tc>
                <w:tcPr>
                  <w:tcW w:w="628" w:type="dxa"/>
                  <w:vAlign w:val="center"/>
                </w:tcPr>
                <w:p>
                  <w:pPr>
                    <w:pStyle w:val="25"/>
                  </w:pPr>
                  <w:r>
                    <w:rPr>
                      <w:rFonts w:hint="eastAsia"/>
                    </w:rPr>
                    <w:t>0.03</w:t>
                  </w:r>
                </w:p>
              </w:tc>
              <w:tc>
                <w:tcPr>
                  <w:tcW w:w="709" w:type="dxa"/>
                  <w:vMerge w:val="continue"/>
                  <w:vAlign w:val="center"/>
                </w:tcPr>
                <w:p>
                  <w:pPr>
                    <w:pStyle w:val="25"/>
                  </w:pPr>
                </w:p>
              </w:tc>
              <w:tc>
                <w:tcPr>
                  <w:tcW w:w="902" w:type="dxa"/>
                  <w:vMerge w:val="continue"/>
                  <w:vAlign w:val="center"/>
                </w:tcPr>
                <w:p>
                  <w:pPr>
                    <w:pStyle w:val="25"/>
                  </w:pPr>
                </w:p>
              </w:tc>
              <w:tc>
                <w:tcPr>
                  <w:tcW w:w="650" w:type="dxa"/>
                  <w:vAlign w:val="center"/>
                </w:tcPr>
                <w:p>
                  <w:pPr>
                    <w:pStyle w:val="25"/>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pStyle w:val="25"/>
                  </w:pPr>
                  <w:r>
                    <w:rPr>
                      <w:rFonts w:hint="eastAsia"/>
                    </w:rPr>
                    <w:t>喷漆设备</w:t>
                  </w:r>
                </w:p>
              </w:tc>
              <w:tc>
                <w:tcPr>
                  <w:tcW w:w="735" w:type="dxa"/>
                  <w:vAlign w:val="center"/>
                </w:tcPr>
                <w:p>
                  <w:pPr>
                    <w:pStyle w:val="25"/>
                  </w:pPr>
                  <w:r>
                    <w:rPr>
                      <w:rFonts w:hint="eastAsia"/>
                    </w:rPr>
                    <w:t>光固化机废灯管</w:t>
                  </w:r>
                </w:p>
              </w:tc>
              <w:tc>
                <w:tcPr>
                  <w:tcW w:w="691" w:type="dxa"/>
                  <w:vMerge w:val="continue"/>
                  <w:vAlign w:val="center"/>
                </w:tcPr>
                <w:p>
                  <w:pPr>
                    <w:pStyle w:val="25"/>
                    <w:rPr>
                      <w:rFonts w:cs="宋体"/>
                    </w:rPr>
                  </w:pPr>
                </w:p>
              </w:tc>
              <w:tc>
                <w:tcPr>
                  <w:tcW w:w="848" w:type="dxa"/>
                  <w:vAlign w:val="center"/>
                </w:tcPr>
                <w:p>
                  <w:pPr>
                    <w:pStyle w:val="25"/>
                  </w:pPr>
                  <w:r>
                    <w:rPr>
                      <w:rFonts w:hint="eastAsia"/>
                    </w:rPr>
                    <w:t>汞</w:t>
                  </w:r>
                </w:p>
              </w:tc>
              <w:tc>
                <w:tcPr>
                  <w:tcW w:w="663" w:type="dxa"/>
                  <w:vAlign w:val="center"/>
                </w:tcPr>
                <w:p>
                  <w:pPr>
                    <w:pStyle w:val="25"/>
                  </w:pPr>
                  <w:r>
                    <w:rPr>
                      <w:rFonts w:hint="eastAsia"/>
                    </w:rPr>
                    <w:t>固体</w:t>
                  </w:r>
                </w:p>
              </w:tc>
              <w:tc>
                <w:tcPr>
                  <w:tcW w:w="735" w:type="dxa"/>
                  <w:vAlign w:val="center"/>
                </w:tcPr>
                <w:p>
                  <w:pPr>
                    <w:pStyle w:val="25"/>
                  </w:pPr>
                  <w:r>
                    <w:t>T</w:t>
                  </w:r>
                </w:p>
              </w:tc>
              <w:tc>
                <w:tcPr>
                  <w:tcW w:w="819" w:type="dxa"/>
                  <w:vAlign w:val="center"/>
                </w:tcPr>
                <w:p>
                  <w:pPr>
                    <w:pStyle w:val="25"/>
                  </w:pPr>
                  <w:r>
                    <w:t>HW29含汞废物</w:t>
                  </w:r>
                  <w:r>
                    <w:rPr>
                      <w:rFonts w:hint="eastAsia"/>
                    </w:rPr>
                    <w:t>（</w:t>
                  </w:r>
                  <w:r>
                    <w:t>900-023-29</w:t>
                  </w:r>
                  <w:r>
                    <w:rPr>
                      <w:rFonts w:hint="eastAsia"/>
                    </w:rPr>
                    <w:t>）</w:t>
                  </w:r>
                </w:p>
              </w:tc>
              <w:tc>
                <w:tcPr>
                  <w:tcW w:w="628" w:type="dxa"/>
                  <w:vAlign w:val="center"/>
                </w:tcPr>
                <w:p>
                  <w:pPr>
                    <w:pStyle w:val="25"/>
                  </w:pPr>
                  <w:r>
                    <w:rPr>
                      <w:rFonts w:hint="eastAsia"/>
                    </w:rPr>
                    <w:t>0.0004</w:t>
                  </w:r>
                </w:p>
              </w:tc>
              <w:tc>
                <w:tcPr>
                  <w:tcW w:w="709" w:type="dxa"/>
                  <w:vMerge w:val="continue"/>
                  <w:vAlign w:val="center"/>
                </w:tcPr>
                <w:p>
                  <w:pPr>
                    <w:pStyle w:val="25"/>
                  </w:pPr>
                </w:p>
              </w:tc>
              <w:tc>
                <w:tcPr>
                  <w:tcW w:w="902" w:type="dxa"/>
                  <w:vMerge w:val="continue"/>
                  <w:vAlign w:val="center"/>
                </w:tcPr>
                <w:p>
                  <w:pPr>
                    <w:pStyle w:val="25"/>
                  </w:pPr>
                </w:p>
              </w:tc>
              <w:tc>
                <w:tcPr>
                  <w:tcW w:w="650" w:type="dxa"/>
                  <w:vAlign w:val="center"/>
                </w:tcPr>
                <w:p>
                  <w:pPr>
                    <w:pStyle w:val="25"/>
                  </w:pPr>
                  <w:r>
                    <w:rPr>
                      <w:rFonts w:hint="eastAsia"/>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pStyle w:val="25"/>
                  </w:pPr>
                  <w:r>
                    <w:rPr>
                      <w:rFonts w:hint="eastAsia"/>
                    </w:rPr>
                    <w:t>员工生活</w:t>
                  </w:r>
                </w:p>
              </w:tc>
              <w:tc>
                <w:tcPr>
                  <w:tcW w:w="735" w:type="dxa"/>
                  <w:vAlign w:val="center"/>
                </w:tcPr>
                <w:p>
                  <w:pPr>
                    <w:pStyle w:val="25"/>
                  </w:pPr>
                  <w:r>
                    <w:rPr>
                      <w:rFonts w:hint="eastAsia"/>
                    </w:rPr>
                    <w:t>生活垃圾</w:t>
                  </w:r>
                </w:p>
              </w:tc>
              <w:tc>
                <w:tcPr>
                  <w:tcW w:w="691" w:type="dxa"/>
                  <w:vAlign w:val="center"/>
                </w:tcPr>
                <w:p>
                  <w:pPr>
                    <w:pStyle w:val="25"/>
                  </w:pPr>
                  <w:r>
                    <w:rPr>
                      <w:rFonts w:hint="eastAsia"/>
                    </w:rPr>
                    <w:t>生活垃圾</w:t>
                  </w:r>
                </w:p>
              </w:tc>
              <w:tc>
                <w:tcPr>
                  <w:tcW w:w="848" w:type="dxa"/>
                  <w:vAlign w:val="center"/>
                </w:tcPr>
                <w:p>
                  <w:pPr>
                    <w:pStyle w:val="25"/>
                  </w:pPr>
                  <w:r>
                    <w:t>/</w:t>
                  </w:r>
                </w:p>
              </w:tc>
              <w:tc>
                <w:tcPr>
                  <w:tcW w:w="663" w:type="dxa"/>
                  <w:vAlign w:val="center"/>
                </w:tcPr>
                <w:p>
                  <w:pPr>
                    <w:pStyle w:val="25"/>
                  </w:pPr>
                  <w:r>
                    <w:rPr>
                      <w:rFonts w:hint="eastAsia"/>
                    </w:rPr>
                    <w:t>固体</w:t>
                  </w:r>
                </w:p>
              </w:tc>
              <w:tc>
                <w:tcPr>
                  <w:tcW w:w="735" w:type="dxa"/>
                  <w:vAlign w:val="center"/>
                </w:tcPr>
                <w:p>
                  <w:pPr>
                    <w:pStyle w:val="25"/>
                  </w:pPr>
                  <w:r>
                    <w:t>/</w:t>
                  </w:r>
                </w:p>
              </w:tc>
              <w:tc>
                <w:tcPr>
                  <w:tcW w:w="819" w:type="dxa"/>
                  <w:vAlign w:val="center"/>
                </w:tcPr>
                <w:p>
                  <w:pPr>
                    <w:pStyle w:val="25"/>
                  </w:pPr>
                  <w:r>
                    <w:t>/</w:t>
                  </w:r>
                </w:p>
              </w:tc>
              <w:tc>
                <w:tcPr>
                  <w:tcW w:w="628" w:type="dxa"/>
                  <w:vAlign w:val="center"/>
                </w:tcPr>
                <w:p>
                  <w:pPr>
                    <w:pStyle w:val="25"/>
                  </w:pPr>
                  <w:r>
                    <w:rPr>
                      <w:rFonts w:hint="eastAsia"/>
                    </w:rPr>
                    <w:t>1.5</w:t>
                  </w:r>
                </w:p>
              </w:tc>
              <w:tc>
                <w:tcPr>
                  <w:tcW w:w="709" w:type="dxa"/>
                  <w:vAlign w:val="center"/>
                </w:tcPr>
                <w:p>
                  <w:pPr>
                    <w:pStyle w:val="25"/>
                    <w:rPr>
                      <w:rFonts w:cs="宋体"/>
                    </w:rPr>
                  </w:pPr>
                  <w:r>
                    <w:rPr>
                      <w:rFonts w:hint="eastAsia"/>
                    </w:rPr>
                    <w:t>厂区垃圾桶</w:t>
                  </w:r>
                </w:p>
              </w:tc>
              <w:tc>
                <w:tcPr>
                  <w:tcW w:w="902" w:type="dxa"/>
                  <w:vAlign w:val="center"/>
                </w:tcPr>
                <w:p>
                  <w:pPr>
                    <w:pStyle w:val="25"/>
                  </w:pPr>
                  <w:r>
                    <w:rPr>
                      <w:rFonts w:hint="eastAsia"/>
                    </w:rPr>
                    <w:t>环卫部门清理</w:t>
                  </w:r>
                </w:p>
              </w:tc>
              <w:tc>
                <w:tcPr>
                  <w:tcW w:w="650" w:type="dxa"/>
                  <w:vAlign w:val="center"/>
                </w:tcPr>
                <w:p>
                  <w:pPr>
                    <w:pStyle w:val="25"/>
                  </w:pPr>
                  <w:r>
                    <w:rPr>
                      <w:rFonts w:hint="eastAsia"/>
                    </w:rPr>
                    <w:t>1.5</w:t>
                  </w:r>
                </w:p>
              </w:tc>
            </w:tr>
          </w:tbl>
          <w:p>
            <w:pPr>
              <w:ind w:firstLine="480"/>
            </w:pPr>
          </w:p>
          <w:p>
            <w:pPr>
              <w:bidi w:val="0"/>
              <w:rPr>
                <w:rFonts w:hint="eastAsia"/>
                <w:color w:val="000000" w:themeColor="text1"/>
                <w:lang w:val="en-US"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危险废物</w:t>
            </w:r>
            <w:r>
              <w:rPr>
                <w:rFonts w:ascii="宋体" w:hAnsi="宋体"/>
                <w:bCs/>
                <w:color w:val="000000" w:themeColor="text1"/>
                <w14:textFill>
                  <w14:solidFill>
                    <w14:schemeClr w14:val="tx1"/>
                  </w14:solidFill>
                </w14:textFill>
              </w:rPr>
              <w:t>暂存场所应按照</w:t>
            </w:r>
            <w:r>
              <w:rPr>
                <w:rFonts w:hint="default" w:ascii="Times New Roman" w:hAnsi="Times New Roman" w:cs="Times New Roman"/>
                <w:bCs/>
                <w:color w:val="000000" w:themeColor="text1"/>
                <w:kern w:val="0"/>
                <w14:textFill>
                  <w14:solidFill>
                    <w14:schemeClr w14:val="tx1"/>
                  </w14:solidFill>
                </w14:textFill>
              </w:rPr>
              <w:t>《危险废物贮存污染控制标准》（GB 18597-2023）</w:t>
            </w:r>
            <w:r>
              <w:rPr>
                <w:rFonts w:hint="eastAsia" w:ascii="宋体" w:hAnsi="宋体"/>
                <w:bCs/>
                <w:color w:val="000000" w:themeColor="text1"/>
                <w:kern w:val="0"/>
                <w14:textFill>
                  <w14:solidFill>
                    <w14:schemeClr w14:val="tx1"/>
                  </w14:solidFill>
                </w14:textFill>
              </w:rPr>
              <w:t>要求建设</w:t>
            </w:r>
            <w:r>
              <w:rPr>
                <w:rFonts w:hint="eastAsia" w:ascii="宋体" w:hAnsi="宋体"/>
                <w:bCs/>
                <w:color w:val="000000" w:themeColor="text1"/>
                <w14:textFill>
                  <w14:solidFill>
                    <w14:schemeClr w14:val="tx1"/>
                  </w14:solidFill>
                </w14:textFill>
              </w:rPr>
              <w:t>：</w:t>
            </w:r>
          </w:p>
          <w:p>
            <w:pPr>
              <w:bidi w:val="0"/>
              <w:rPr>
                <w:rFonts w:hint="eastAsia"/>
              </w:rPr>
            </w:pPr>
            <w:r>
              <w:rPr>
                <w:rFonts w:hint="eastAsia"/>
                <w:lang w:val="en-US" w:eastAsia="zh-CN"/>
              </w:rPr>
              <w:t>1、</w:t>
            </w:r>
            <w:r>
              <w:rPr>
                <w:rFonts w:hint="eastAsia"/>
              </w:rPr>
              <w:t>贮存设施应根据危险废物的形态、物理化学性质、包装形式和污染物迁移途径，采取必要的防风、防晒、防雨、防漏、防渗、防腐以及其他环境污染防治措施，不应露天堆放危险废物。</w:t>
            </w:r>
          </w:p>
          <w:p>
            <w:pPr>
              <w:bidi w:val="0"/>
              <w:rPr>
                <w:rFonts w:hint="eastAsia"/>
              </w:rPr>
            </w:pPr>
            <w:r>
              <w:rPr>
                <w:rFonts w:hint="eastAsia"/>
                <w:lang w:val="en-US" w:eastAsia="zh-CN"/>
              </w:rPr>
              <w:t>2、</w:t>
            </w:r>
            <w:r>
              <w:rPr>
                <w:rFonts w:hint="eastAsia"/>
              </w:rPr>
              <w:t>贮存设施应根据危险废物的类别、数量、形态、物理化学性质和污染防治等要求设置必要的贮存分区，避免不相容的危险废物接触、混合。</w:t>
            </w:r>
          </w:p>
          <w:p>
            <w:pPr>
              <w:bidi w:val="0"/>
              <w:rPr>
                <w:rFonts w:hint="eastAsia"/>
              </w:rPr>
            </w:pPr>
            <w:r>
              <w:rPr>
                <w:rFonts w:hint="eastAsia"/>
                <w:lang w:val="en-US" w:eastAsia="zh-CN"/>
              </w:rPr>
              <w:t>3、</w:t>
            </w:r>
            <w:r>
              <w:rPr>
                <w:rFonts w:hint="eastAsia"/>
              </w:rPr>
              <w:t>贮存设施或贮存分区内地面、墙面裙脚、堵截泄漏的围堰、接触危险废物的隔板和墙体等应采用坚固的材料建造，表面无裂缝。</w:t>
            </w:r>
          </w:p>
          <w:p>
            <w:pPr>
              <w:bidi w:val="0"/>
              <w:rPr>
                <w:rFonts w:hint="eastAsia"/>
              </w:rPr>
            </w:pPr>
            <w:r>
              <w:rPr>
                <w:rFonts w:hint="eastAsia"/>
                <w:lang w:val="en-US" w:eastAsia="zh-CN"/>
              </w:rPr>
              <w:t>4、</w:t>
            </w:r>
            <w:r>
              <w:rPr>
                <w:rFonts w:hint="eastAsia"/>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vertAlign w:val="superscript"/>
              </w:rPr>
              <w:t>-7</w:t>
            </w:r>
            <w:r>
              <w:rPr>
                <w:rFonts w:hint="eastAsia"/>
              </w:rPr>
              <w:t>cm/s），或至少2mm厚高密度聚乙烯膜等人工防渗材料（渗透系数不大于10</w:t>
            </w:r>
            <w:r>
              <w:rPr>
                <w:rFonts w:hint="eastAsia"/>
                <w:vertAlign w:val="superscript"/>
              </w:rPr>
              <w:t>-10</w:t>
            </w:r>
            <w:r>
              <w:rPr>
                <w:rFonts w:hint="eastAsia"/>
              </w:rPr>
              <w:t>cm/s），或其他防渗性能等效的材料。</w:t>
            </w:r>
          </w:p>
          <w:p>
            <w:pPr>
              <w:bidi w:val="0"/>
              <w:rPr>
                <w:rFonts w:hint="eastAsia"/>
              </w:rPr>
            </w:pPr>
            <w:r>
              <w:rPr>
                <w:rFonts w:hint="eastAsia"/>
                <w:lang w:val="en-US" w:eastAsia="zh-CN"/>
              </w:rPr>
              <w:t>5、</w:t>
            </w:r>
            <w:r>
              <w:rPr>
                <w:rFonts w:hint="eastAsia"/>
              </w:rPr>
              <w:t>同一贮存设施宜采用相同的防渗、防腐工艺（包括防渗、防腐结构或材料），防渗、防腐材料应覆盖所有可能与废物及其渗滤液、渗漏液等接触的构筑物表面；采用不同防渗、防腐工艺应分别建设贮存分区。</w:t>
            </w:r>
          </w:p>
          <w:p>
            <w:pPr>
              <w:bidi w:val="0"/>
              <w:rPr>
                <w:rFonts w:hint="eastAsia"/>
              </w:rPr>
            </w:pPr>
            <w:r>
              <w:rPr>
                <w:rFonts w:hint="eastAsia"/>
                <w:lang w:val="en-US" w:eastAsia="zh-CN"/>
              </w:rPr>
              <w:t>6、</w:t>
            </w:r>
            <w:r>
              <w:rPr>
                <w:rFonts w:hint="eastAsia"/>
              </w:rPr>
              <w:t>贮存设施应采取技术和管理措施防止无关人员进入。</w:t>
            </w:r>
          </w:p>
          <w:p>
            <w:pPr>
              <w:bidi w:val="0"/>
              <w:rPr>
                <w:b/>
                <w:bCs/>
              </w:rPr>
            </w:pPr>
            <w:r>
              <w:rPr>
                <w:rFonts w:hint="eastAsia"/>
                <w:b/>
                <w:bCs/>
                <w:lang w:eastAsia="zh-CN"/>
              </w:rPr>
              <w:t>五、土壤、</w:t>
            </w:r>
            <w:r>
              <w:rPr>
                <w:rFonts w:hint="eastAsia"/>
                <w:b/>
                <w:bCs/>
              </w:rPr>
              <w:t>地下水</w:t>
            </w:r>
          </w:p>
          <w:p>
            <w:pPr>
              <w:adjustRightInd w:val="0"/>
              <w:snapToGrid w:val="0"/>
              <w:ind w:firstLine="480"/>
              <w:jc w:val="left"/>
            </w:pPr>
            <w:r>
              <w:t>根据厂区各生产功能单元是否可对地下水造成污染及其风险程度，将厂区划分为重点污染防渗区、一般污染防渗区和简单污染防渗区。项目分区防渗方案见表</w:t>
            </w:r>
            <w:r>
              <w:rPr>
                <w:rFonts w:hint="eastAsia"/>
              </w:rPr>
              <w:t>4-11。</w:t>
            </w:r>
          </w:p>
          <w:p>
            <w:pPr>
              <w:pStyle w:val="24"/>
              <w:bidi w:val="0"/>
            </w:pPr>
            <w:r>
              <w:t>表</w:t>
            </w:r>
            <w:r>
              <w:rPr>
                <w:rFonts w:hint="eastAsia"/>
              </w:rPr>
              <w:t>4-11</w:t>
            </w:r>
            <w:r>
              <w:t xml:space="preserve"> </w:t>
            </w:r>
            <w:r>
              <w:rPr>
                <w:rFonts w:hint="eastAsia"/>
              </w:rPr>
              <w:t xml:space="preserve"> </w:t>
            </w:r>
            <w:r>
              <w:t>项目分区防渗表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68"/>
              <w:gridCol w:w="1110"/>
              <w:gridCol w:w="1020"/>
              <w:gridCol w:w="915"/>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防渗分区</w:t>
                  </w:r>
                </w:p>
              </w:tc>
              <w:tc>
                <w:tcPr>
                  <w:tcW w:w="670"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包气带防污性能</w:t>
                  </w:r>
                </w:p>
              </w:tc>
              <w:tc>
                <w:tcPr>
                  <w:tcW w:w="697"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污染控制难易程度</w:t>
                  </w:r>
                </w:p>
              </w:tc>
              <w:tc>
                <w:tcPr>
                  <w:tcW w:w="640"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污染物类型</w:t>
                  </w:r>
                </w:p>
              </w:tc>
              <w:tc>
                <w:tcPr>
                  <w:tcW w:w="574"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防渗分区</w:t>
                  </w:r>
                </w:p>
              </w:tc>
              <w:tc>
                <w:tcPr>
                  <w:tcW w:w="1615"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pPr>
                    <w:pStyle w:val="25"/>
                    <w:bidi w:val="0"/>
                    <w:rPr>
                      <w:lang w:val="en-US" w:eastAsia="zh-CN"/>
                    </w:rPr>
                  </w:pPr>
                  <w:r>
                    <w:rPr>
                      <w:rFonts w:hint="eastAsia"/>
                      <w:lang w:eastAsia="zh-CN"/>
                    </w:rPr>
                    <w:t>原料库</w:t>
                  </w:r>
                  <w:r>
                    <w:t>、危废间</w:t>
                  </w:r>
                </w:p>
              </w:tc>
              <w:tc>
                <w:tcPr>
                  <w:tcW w:w="670"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弱</w:t>
                  </w:r>
                </w:p>
              </w:tc>
              <w:tc>
                <w:tcPr>
                  <w:tcW w:w="697"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易</w:t>
                  </w:r>
                </w:p>
              </w:tc>
              <w:tc>
                <w:tcPr>
                  <w:tcW w:w="640"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持久性有机污染物</w:t>
                  </w:r>
                </w:p>
              </w:tc>
              <w:tc>
                <w:tcPr>
                  <w:tcW w:w="574"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重点防渗区</w:t>
                  </w:r>
                </w:p>
              </w:tc>
              <w:tc>
                <w:tcPr>
                  <w:tcW w:w="1615"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等效黏土防渗层Mb≥6.0m，K≤1×10</w:t>
                  </w:r>
                  <w:r>
                    <w:rPr>
                      <w:vertAlign w:val="superscript"/>
                    </w:rPr>
                    <w:t>-7</w:t>
                  </w:r>
                  <w:r>
                    <w:t>cm/s，或参考GB18598执行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pPr>
                    <w:pStyle w:val="25"/>
                    <w:bidi w:val="0"/>
                    <w:rPr>
                      <w:rFonts w:hint="eastAsia" w:eastAsia="宋体"/>
                      <w:lang w:val="en-US" w:eastAsia="zh-CN"/>
                    </w:rPr>
                  </w:pPr>
                  <w:r>
                    <w:rPr>
                      <w:rFonts w:hint="eastAsia"/>
                      <w:lang w:eastAsia="zh-CN"/>
                    </w:rPr>
                    <w:t>打磨车间、喷漆车间</w:t>
                  </w:r>
                </w:p>
              </w:tc>
              <w:tc>
                <w:tcPr>
                  <w:tcW w:w="670" w:type="pct"/>
                  <w:tcBorders>
                    <w:top w:val="single" w:color="auto" w:sz="4" w:space="0"/>
                    <w:left w:val="single" w:color="auto" w:sz="4" w:space="0"/>
                    <w:bottom w:val="single" w:color="auto" w:sz="4" w:space="0"/>
                    <w:right w:val="single" w:color="auto" w:sz="4" w:space="0"/>
                  </w:tcBorders>
                  <w:noWrap w:val="0"/>
                  <w:vAlign w:val="center"/>
                </w:tcPr>
                <w:p>
                  <w:pPr>
                    <w:pStyle w:val="25"/>
                    <w:bidi w:val="0"/>
                    <w:rPr>
                      <w:rFonts w:hint="eastAsia"/>
                      <w:lang w:eastAsia="zh-CN"/>
                    </w:rPr>
                  </w:pPr>
                  <w:r>
                    <w:rPr>
                      <w:rFonts w:hint="eastAsia"/>
                      <w:lang w:eastAsia="zh-CN"/>
                    </w:rPr>
                    <w:t>中</w:t>
                  </w:r>
                </w:p>
              </w:tc>
              <w:tc>
                <w:tcPr>
                  <w:tcW w:w="697"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易</w:t>
                  </w:r>
                </w:p>
              </w:tc>
              <w:tc>
                <w:tcPr>
                  <w:tcW w:w="640"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t>持久性有机污染物</w:t>
                  </w:r>
                </w:p>
              </w:tc>
              <w:tc>
                <w:tcPr>
                  <w:tcW w:w="574" w:type="pct"/>
                  <w:tcBorders>
                    <w:top w:val="single" w:color="auto" w:sz="4" w:space="0"/>
                    <w:left w:val="single" w:color="auto" w:sz="4" w:space="0"/>
                    <w:bottom w:val="single" w:color="auto" w:sz="4" w:space="0"/>
                    <w:right w:val="single" w:color="auto" w:sz="4" w:space="0"/>
                  </w:tcBorders>
                  <w:noWrap w:val="0"/>
                  <w:vAlign w:val="center"/>
                </w:tcPr>
                <w:p>
                  <w:pPr>
                    <w:pStyle w:val="25"/>
                    <w:bidi w:val="0"/>
                  </w:pPr>
                  <w:r>
                    <w:rPr>
                      <w:rFonts w:hint="eastAsia"/>
                      <w:lang w:eastAsia="zh-CN"/>
                    </w:rPr>
                    <w:t>一般</w:t>
                  </w:r>
                  <w:r>
                    <w:t>防渗区</w:t>
                  </w:r>
                </w:p>
              </w:tc>
              <w:tc>
                <w:tcPr>
                  <w:tcW w:w="1615" w:type="pct"/>
                  <w:tcBorders>
                    <w:top w:val="single" w:color="auto" w:sz="4" w:space="0"/>
                    <w:left w:val="single" w:color="auto" w:sz="4" w:space="0"/>
                    <w:bottom w:val="single" w:color="auto" w:sz="4" w:space="0"/>
                    <w:right w:val="single" w:color="auto" w:sz="4" w:space="0"/>
                  </w:tcBorders>
                  <w:noWrap w:val="0"/>
                  <w:vAlign w:val="center"/>
                </w:tcPr>
                <w:p>
                  <w:pPr>
                    <w:pStyle w:val="25"/>
                    <w:bidi w:val="0"/>
                    <w:rPr>
                      <w:lang w:val="en-US" w:eastAsia="zh-CN"/>
                    </w:rPr>
                  </w:pPr>
                  <w:r>
                    <w:t>等效黏土防渗层Mb≥</w:t>
                  </w:r>
                  <w:r>
                    <w:rPr>
                      <w:rFonts w:hint="eastAsia"/>
                      <w:lang w:val="en-US" w:eastAsia="zh-CN"/>
                    </w:rPr>
                    <w:t>1.5</w:t>
                  </w:r>
                  <w:r>
                    <w:t>m，K≤1×10</w:t>
                  </w:r>
                  <w:r>
                    <w:rPr>
                      <w:vertAlign w:val="superscript"/>
                    </w:rPr>
                    <w:t>-7</w:t>
                  </w:r>
                  <w:r>
                    <w:t>cm/s，或参考GB18598执行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pPr>
                    <w:pStyle w:val="25"/>
                    <w:bidi w:val="0"/>
                    <w:rPr>
                      <w:rFonts w:hint="eastAsia"/>
                      <w:lang w:eastAsia="zh-CN"/>
                    </w:rPr>
                  </w:pPr>
                  <w:r>
                    <w:rPr>
                      <w:rFonts w:hint="eastAsia"/>
                      <w:lang w:eastAsia="zh-CN"/>
                    </w:rPr>
                    <w:t>办公区</w:t>
                  </w:r>
                </w:p>
              </w:tc>
              <w:tc>
                <w:tcPr>
                  <w:tcW w:w="670" w:type="pct"/>
                  <w:tcBorders>
                    <w:top w:val="single" w:color="auto" w:sz="4" w:space="0"/>
                    <w:left w:val="single" w:color="auto" w:sz="4" w:space="0"/>
                    <w:bottom w:val="single" w:color="auto" w:sz="4" w:space="0"/>
                    <w:right w:val="single" w:color="auto" w:sz="4" w:space="0"/>
                  </w:tcBorders>
                  <w:noWrap w:val="0"/>
                  <w:vAlign w:val="center"/>
                </w:tcPr>
                <w:p>
                  <w:pPr>
                    <w:pStyle w:val="25"/>
                    <w:bidi w:val="0"/>
                    <w:rPr>
                      <w:rFonts w:hint="eastAsia"/>
                      <w:lang w:eastAsia="zh-CN"/>
                    </w:rPr>
                  </w:pPr>
                  <w:r>
                    <w:rPr>
                      <w:rFonts w:hint="eastAsia"/>
                      <w:lang w:eastAsia="zh-CN"/>
                    </w:rPr>
                    <w:t>中</w:t>
                  </w:r>
                </w:p>
              </w:tc>
              <w:tc>
                <w:tcPr>
                  <w:tcW w:w="697" w:type="pct"/>
                  <w:tcBorders>
                    <w:top w:val="single" w:color="auto" w:sz="4" w:space="0"/>
                    <w:left w:val="single" w:color="auto" w:sz="4" w:space="0"/>
                    <w:bottom w:val="single" w:color="auto" w:sz="4" w:space="0"/>
                    <w:right w:val="single" w:color="auto" w:sz="4" w:space="0"/>
                  </w:tcBorders>
                  <w:noWrap w:val="0"/>
                  <w:vAlign w:val="center"/>
                </w:tcPr>
                <w:p>
                  <w:pPr>
                    <w:pStyle w:val="25"/>
                    <w:bidi w:val="0"/>
                    <w:rPr>
                      <w:rFonts w:hint="eastAsia"/>
                      <w:lang w:eastAsia="zh-CN"/>
                    </w:rPr>
                  </w:pPr>
                  <w:r>
                    <w:rPr>
                      <w:rFonts w:hint="eastAsia"/>
                      <w:lang w:eastAsia="zh-CN"/>
                    </w:rPr>
                    <w:t>易</w:t>
                  </w:r>
                </w:p>
              </w:tc>
              <w:tc>
                <w:tcPr>
                  <w:tcW w:w="640" w:type="pct"/>
                  <w:tcBorders>
                    <w:top w:val="single" w:color="auto" w:sz="4" w:space="0"/>
                    <w:left w:val="single" w:color="auto" w:sz="4" w:space="0"/>
                    <w:bottom w:val="single" w:color="auto" w:sz="4" w:space="0"/>
                    <w:right w:val="single" w:color="auto" w:sz="4" w:space="0"/>
                  </w:tcBorders>
                  <w:noWrap w:val="0"/>
                  <w:vAlign w:val="center"/>
                </w:tcPr>
                <w:p>
                  <w:pPr>
                    <w:pStyle w:val="25"/>
                    <w:bidi w:val="0"/>
                    <w:rPr>
                      <w:rFonts w:hint="eastAsia"/>
                      <w:lang w:val="en-US" w:eastAsia="zh-CN"/>
                    </w:rPr>
                  </w:pPr>
                  <w:r>
                    <w:rPr>
                      <w:rFonts w:hint="eastAsia"/>
                      <w:lang w:val="en-US" w:eastAsia="zh-CN"/>
                    </w:rPr>
                    <w:t>/</w:t>
                  </w:r>
                </w:p>
              </w:tc>
              <w:tc>
                <w:tcPr>
                  <w:tcW w:w="574" w:type="pct"/>
                  <w:tcBorders>
                    <w:top w:val="single" w:color="auto" w:sz="4" w:space="0"/>
                    <w:left w:val="single" w:color="auto" w:sz="4" w:space="0"/>
                    <w:bottom w:val="single" w:color="auto" w:sz="4" w:space="0"/>
                    <w:right w:val="single" w:color="auto" w:sz="4" w:space="0"/>
                  </w:tcBorders>
                  <w:noWrap w:val="0"/>
                  <w:vAlign w:val="center"/>
                </w:tcPr>
                <w:p>
                  <w:pPr>
                    <w:pStyle w:val="25"/>
                    <w:bidi w:val="0"/>
                    <w:rPr>
                      <w:rFonts w:hint="eastAsia"/>
                      <w:lang w:eastAsia="zh-CN"/>
                    </w:rPr>
                  </w:pPr>
                  <w:r>
                    <w:rPr>
                      <w:rFonts w:hint="eastAsia"/>
                      <w:lang w:eastAsia="zh-CN"/>
                    </w:rPr>
                    <w:t>简单防渗区</w:t>
                  </w:r>
                </w:p>
              </w:tc>
              <w:tc>
                <w:tcPr>
                  <w:tcW w:w="1615" w:type="pct"/>
                  <w:tcBorders>
                    <w:top w:val="single" w:color="auto" w:sz="4" w:space="0"/>
                    <w:left w:val="single" w:color="auto" w:sz="4" w:space="0"/>
                    <w:bottom w:val="single" w:color="auto" w:sz="4" w:space="0"/>
                    <w:right w:val="single" w:color="auto" w:sz="4" w:space="0"/>
                  </w:tcBorders>
                  <w:noWrap w:val="0"/>
                  <w:vAlign w:val="center"/>
                </w:tcPr>
                <w:p>
                  <w:pPr>
                    <w:pStyle w:val="25"/>
                    <w:bidi w:val="0"/>
                    <w:rPr>
                      <w:rFonts w:hint="eastAsia"/>
                      <w:lang w:eastAsia="zh-CN"/>
                    </w:rPr>
                  </w:pPr>
                  <w:r>
                    <w:rPr>
                      <w:rFonts w:hint="eastAsia"/>
                      <w:lang w:eastAsia="zh-CN"/>
                    </w:rPr>
                    <w:t>一般地面硬化</w:t>
                  </w:r>
                </w:p>
              </w:tc>
            </w:tr>
          </w:tbl>
          <w:p>
            <w:pPr>
              <w:adjustRightInd w:val="0"/>
              <w:snapToGrid w:val="0"/>
              <w:ind w:firstLine="482"/>
              <w:jc w:val="left"/>
            </w:pPr>
            <w:r>
              <w:rPr>
                <w:b/>
              </w:rPr>
              <w:t>重点污染防渗区：</w:t>
            </w:r>
            <w:r>
              <w:rPr>
                <w:rFonts w:hint="eastAsia"/>
                <w:lang w:eastAsia="zh-CN"/>
              </w:rPr>
              <w:t>原料</w:t>
            </w:r>
            <w:r>
              <w:t>库、</w:t>
            </w:r>
            <w:r>
              <w:rPr>
                <w:rFonts w:hint="eastAsia"/>
                <w:lang w:eastAsia="zh-CN"/>
              </w:rPr>
              <w:t>危废</w:t>
            </w:r>
            <w:r>
              <w:t>间全部进行防渗、防腐处理。按照《危险废物贮存污染控制标准》（GB18597-2001）及2013修改单中的要求，其防渗层自下而上为现有基础层+2mm厚HDPE膜+防渗混凝土+环氧树脂层，防渗系数等效粘土防渗层Mb≥6.0m，K≤1×10</w:t>
            </w:r>
            <w:r>
              <w:rPr>
                <w:vertAlign w:val="superscript"/>
              </w:rPr>
              <w:t>-7</w:t>
            </w:r>
            <w:r>
              <w:t>cm/s。</w:t>
            </w:r>
          </w:p>
          <w:p>
            <w:pPr>
              <w:adjustRightInd w:val="0"/>
              <w:snapToGrid w:val="0"/>
              <w:ind w:firstLine="482"/>
              <w:rPr>
                <w:rFonts w:hint="eastAsia" w:eastAsia="宋体"/>
                <w:b/>
                <w:bCs/>
                <w:lang w:eastAsia="zh-CN"/>
              </w:rPr>
            </w:pPr>
            <w:r>
              <w:rPr>
                <w:rFonts w:hint="eastAsia"/>
                <w:b/>
                <w:bCs/>
              </w:rPr>
              <w:t>一般污染防渗区：</w:t>
            </w:r>
            <w:r>
              <w:rPr>
                <w:rFonts w:hint="eastAsia"/>
                <w:lang w:eastAsia="zh-CN"/>
              </w:rPr>
              <w:t>打磨车间、喷漆车间</w:t>
            </w:r>
            <w:r>
              <w:rPr>
                <w:rFonts w:hint="eastAsia"/>
              </w:rPr>
              <w:t>需要按一般防渗区要求处理，目前项目生产车间和</w:t>
            </w:r>
            <w:r>
              <w:t>一般固废暂存</w:t>
            </w:r>
            <w:r>
              <w:rPr>
                <w:rFonts w:hint="eastAsia"/>
              </w:rPr>
              <w:t>间为现有车间，地面已经使用防水混凝土地面，</w:t>
            </w:r>
            <w:r>
              <w:t>防渗系数等效渗透系数K≤1×10</w:t>
            </w:r>
            <w:r>
              <w:rPr>
                <w:vertAlign w:val="superscript"/>
              </w:rPr>
              <w:t>-7</w:t>
            </w:r>
            <w:r>
              <w:t>cm/s、厚度</w:t>
            </w:r>
            <w:r>
              <w:rPr>
                <w:rFonts w:hint="eastAsia"/>
              </w:rPr>
              <w:t>1.5</w:t>
            </w:r>
            <w:r>
              <w:t>m的粘土层的防渗性能</w:t>
            </w:r>
            <w:r>
              <w:rPr>
                <w:rFonts w:hint="eastAsia"/>
              </w:rPr>
              <w:t>。无需另行处理。</w:t>
            </w:r>
          </w:p>
          <w:p>
            <w:pPr>
              <w:bidi w:val="0"/>
              <w:rPr>
                <w:rFonts w:hint="eastAsia"/>
                <w:b/>
                <w:bCs/>
                <w:lang w:eastAsia="zh-CN"/>
              </w:rPr>
            </w:pPr>
            <w:r>
              <w:rPr>
                <w:rFonts w:hint="eastAsia"/>
                <w:b/>
                <w:bCs/>
                <w:lang w:eastAsia="zh-CN"/>
              </w:rPr>
              <w:t>简单防渗区：</w:t>
            </w:r>
            <w:r>
              <w:rPr>
                <w:rFonts w:hint="eastAsia"/>
                <w:b w:val="0"/>
                <w:bCs w:val="0"/>
                <w:lang w:eastAsia="zh-CN"/>
              </w:rPr>
              <w:t>一般地面硬化。</w:t>
            </w:r>
          </w:p>
          <w:p>
            <w:pPr>
              <w:bidi w:val="0"/>
              <w:rPr>
                <w:b/>
                <w:bCs/>
              </w:rPr>
            </w:pPr>
            <w:r>
              <w:rPr>
                <w:rFonts w:hint="eastAsia"/>
                <w:b/>
                <w:bCs/>
                <w:lang w:eastAsia="zh-CN"/>
              </w:rPr>
              <w:t>（六）</w:t>
            </w:r>
            <w:r>
              <w:rPr>
                <w:rFonts w:hint="eastAsia"/>
                <w:b/>
                <w:bCs/>
              </w:rPr>
              <w:t>风险</w:t>
            </w:r>
          </w:p>
          <w:p>
            <w:pPr>
              <w:bidi w:val="0"/>
            </w:pPr>
            <w:r>
              <w:rPr>
                <w:rFonts w:hint="eastAsia"/>
                <w:lang w:val="en-US" w:eastAsia="zh-CN"/>
              </w:rPr>
              <w:t>1、</w:t>
            </w:r>
            <w:r>
              <w:t>危险性识别</w:t>
            </w:r>
          </w:p>
          <w:p>
            <w:pPr>
              <w:bidi w:val="0"/>
            </w:pPr>
            <w:r>
              <w:t>本项目主要风险物质为</w:t>
            </w:r>
            <w:r>
              <w:rPr>
                <w:rFonts w:hint="eastAsia"/>
              </w:rPr>
              <w:t>UV漆和</w:t>
            </w:r>
            <w:r>
              <w:rPr>
                <w:rFonts w:hint="eastAsia"/>
                <w:lang w:eastAsia="zh-CN"/>
              </w:rPr>
              <w:t>润滑</w:t>
            </w:r>
            <w:r>
              <w:rPr>
                <w:rFonts w:hint="eastAsia"/>
              </w:rPr>
              <w:t>油</w:t>
            </w:r>
            <w:r>
              <w:t>，根据《危险化学品重大危险源辨识》</w:t>
            </w:r>
            <w:r>
              <w:rPr>
                <w:rFonts w:hint="eastAsia"/>
                <w:lang w:eastAsia="zh-CN"/>
              </w:rPr>
              <w:t>（</w:t>
            </w:r>
            <w:r>
              <w:t>GB18218-2018</w:t>
            </w:r>
            <w:r>
              <w:rPr>
                <w:rFonts w:hint="eastAsia"/>
                <w:lang w:eastAsia="zh-CN"/>
              </w:rPr>
              <w:t>）</w:t>
            </w:r>
            <w:r>
              <w:t>，并对照《建设项目环境风险评价技术导则》（HJ169-2018）规定</w:t>
            </w:r>
            <w:r>
              <w:rPr>
                <w:rFonts w:hint="eastAsia"/>
              </w:rPr>
              <w:t>。</w:t>
            </w:r>
            <w:r>
              <w:t>本项目使用的</w:t>
            </w:r>
            <w:r>
              <w:rPr>
                <w:rFonts w:hint="eastAsia"/>
              </w:rPr>
              <w:t>UV漆</w:t>
            </w:r>
            <w:r>
              <w:t>用量为</w:t>
            </w:r>
            <w:r>
              <w:rPr>
                <w:rFonts w:hint="eastAsia"/>
              </w:rPr>
              <w:t>14.6</w:t>
            </w:r>
            <w:r>
              <w:t>t/a，厂内暂存量为</w:t>
            </w:r>
            <w:r>
              <w:rPr>
                <w:rFonts w:hint="eastAsia"/>
              </w:rPr>
              <w:t>1.5</w:t>
            </w:r>
            <w:r>
              <w:t>t</w:t>
            </w:r>
            <w:r>
              <w:rPr>
                <w:rFonts w:hint="eastAsia"/>
              </w:rPr>
              <w:t>，</w:t>
            </w:r>
            <w:r>
              <w:t>低于导则规定的5t的限值</w:t>
            </w:r>
            <w:r>
              <w:rPr>
                <w:rFonts w:hint="eastAsia"/>
              </w:rPr>
              <w:t>。</w:t>
            </w:r>
            <w:r>
              <w:rPr>
                <w:rFonts w:hint="eastAsia"/>
                <w:lang w:eastAsia="zh-CN"/>
              </w:rPr>
              <w:t>润滑油</w:t>
            </w:r>
            <w:r>
              <w:rPr>
                <w:rFonts w:hint="eastAsia"/>
              </w:rPr>
              <w:t>厂内暂存量</w:t>
            </w:r>
            <w:r>
              <w:rPr>
                <w:rFonts w:hint="eastAsia"/>
                <w:lang w:eastAsia="zh-CN"/>
              </w:rPr>
              <w:t>为</w:t>
            </w:r>
            <w:r>
              <w:rPr>
                <w:rFonts w:hint="eastAsia"/>
              </w:rPr>
              <w:t>0.1t/a，远远低于临界量，</w:t>
            </w:r>
            <w:r>
              <w:t>未构成重大危险源。</w:t>
            </w:r>
          </w:p>
          <w:p>
            <w:pPr>
              <w:bidi w:val="0"/>
              <w:rPr>
                <w:rFonts w:hint="default"/>
                <w:lang w:val="en-US" w:eastAsia="zh-CN"/>
              </w:rPr>
            </w:pPr>
            <w:r>
              <w:rPr>
                <w:rFonts w:hint="eastAsia"/>
                <w:lang w:val="en-US" w:eastAsia="zh-CN"/>
              </w:rPr>
              <w:t>2、</w:t>
            </w:r>
            <w:r>
              <w:rPr>
                <w:rFonts w:hint="default"/>
                <w:lang w:val="en-US" w:eastAsia="zh-CN"/>
              </w:rPr>
              <w:t>风险潜势初判和风险评价等级</w:t>
            </w:r>
          </w:p>
          <w:p>
            <w:pPr>
              <w:bidi w:val="0"/>
            </w:pPr>
            <w:r>
              <w:t>经对照《建设项目环境风险评价技术导则》（HJ 169-2018）中的</w:t>
            </w:r>
            <w:r>
              <w:rPr>
                <w:rFonts w:hint="eastAsia"/>
                <w:lang w:eastAsia="zh-CN"/>
              </w:rPr>
              <w:t>“</w:t>
            </w:r>
            <w:r>
              <w:t>附录 B.1 突发环境事件风险物质及临界量</w:t>
            </w:r>
            <w:r>
              <w:rPr>
                <w:rFonts w:hint="eastAsia"/>
                <w:lang w:eastAsia="zh-CN"/>
              </w:rPr>
              <w:t>”</w:t>
            </w:r>
            <w:r>
              <w:t>可知，</w:t>
            </w:r>
          </w:p>
          <w:p>
            <w:pPr>
              <w:bidi w:val="0"/>
            </w:pPr>
            <w:r>
              <w:rPr>
                <w:rFonts w:hint="eastAsia"/>
              </w:rPr>
              <w:t>本项目所使用UV漆、</w:t>
            </w:r>
            <w:r>
              <w:rPr>
                <w:rFonts w:hint="eastAsia"/>
                <w:lang w:eastAsia="zh-CN"/>
              </w:rPr>
              <w:t>润滑</w:t>
            </w:r>
            <w:r>
              <w:rPr>
                <w:rFonts w:hint="eastAsia"/>
              </w:rPr>
              <w:t>油属于危险物质。本项目危险物质数量和分布情况详见表4-1</w:t>
            </w:r>
            <w:r>
              <w:rPr>
                <w:rFonts w:hint="eastAsia"/>
                <w:lang w:val="en-US" w:eastAsia="zh-CN"/>
              </w:rPr>
              <w:t>2</w:t>
            </w:r>
            <w:r>
              <w:rPr>
                <w:rFonts w:hint="eastAsia"/>
              </w:rPr>
              <w:t>。</w:t>
            </w:r>
          </w:p>
          <w:p>
            <w:pPr>
              <w:pStyle w:val="24"/>
              <w:bidi w:val="0"/>
            </w:pPr>
            <w:r>
              <w:t>表</w:t>
            </w:r>
            <w:r>
              <w:rPr>
                <w:rFonts w:hint="eastAsia"/>
              </w:rPr>
              <w:t>4-1</w:t>
            </w:r>
            <w:r>
              <w:rPr>
                <w:rFonts w:hint="eastAsia"/>
                <w:lang w:val="en-US" w:eastAsia="zh-CN"/>
              </w:rPr>
              <w:t>2</w:t>
            </w:r>
            <w:r>
              <w:rPr>
                <w:rFonts w:hint="eastAsia"/>
              </w:rPr>
              <w:t xml:space="preserve"> </w:t>
            </w:r>
            <w:r>
              <w:t xml:space="preserve"> 项目危险物质数量和分布情况一览表</w:t>
            </w:r>
          </w:p>
          <w:tbl>
            <w:tblPr>
              <w:tblStyle w:val="20"/>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96"/>
              <w:gridCol w:w="1603"/>
              <w:gridCol w:w="1404"/>
              <w:gridCol w:w="1757"/>
              <w:gridCol w:w="15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003" w:type="pct"/>
                  <w:tcBorders>
                    <w:tl2br w:val="nil"/>
                    <w:tr2bl w:val="nil"/>
                  </w:tcBorders>
                  <w:vAlign w:val="center"/>
                </w:tcPr>
                <w:p>
                  <w:pPr>
                    <w:pStyle w:val="25"/>
                  </w:pPr>
                  <w:r>
                    <w:t>名称</w:t>
                  </w:r>
                </w:p>
              </w:tc>
              <w:tc>
                <w:tcPr>
                  <w:tcW w:w="1008" w:type="pct"/>
                  <w:tcBorders>
                    <w:tl2br w:val="nil"/>
                    <w:tr2bl w:val="nil"/>
                  </w:tcBorders>
                  <w:vAlign w:val="center"/>
                </w:tcPr>
                <w:p>
                  <w:pPr>
                    <w:pStyle w:val="25"/>
                  </w:pPr>
                  <w:r>
                    <w:t>包装方式</w:t>
                  </w:r>
                </w:p>
              </w:tc>
              <w:tc>
                <w:tcPr>
                  <w:tcW w:w="883" w:type="pct"/>
                  <w:tcBorders>
                    <w:tl2br w:val="nil"/>
                    <w:tr2bl w:val="nil"/>
                  </w:tcBorders>
                  <w:vAlign w:val="center"/>
                </w:tcPr>
                <w:p>
                  <w:pPr>
                    <w:pStyle w:val="25"/>
                  </w:pPr>
                  <w:r>
                    <w:t>性状</w:t>
                  </w:r>
                </w:p>
              </w:tc>
              <w:tc>
                <w:tcPr>
                  <w:tcW w:w="1104" w:type="pct"/>
                  <w:tcBorders>
                    <w:tl2br w:val="nil"/>
                    <w:tr2bl w:val="nil"/>
                  </w:tcBorders>
                  <w:vAlign w:val="center"/>
                </w:tcPr>
                <w:p>
                  <w:pPr>
                    <w:pStyle w:val="25"/>
                  </w:pPr>
                  <w:r>
                    <w:t>最大存放量</w:t>
                  </w:r>
                </w:p>
              </w:tc>
              <w:tc>
                <w:tcPr>
                  <w:tcW w:w="1000" w:type="pct"/>
                  <w:tcBorders>
                    <w:tl2br w:val="nil"/>
                    <w:tr2bl w:val="nil"/>
                  </w:tcBorders>
                  <w:vAlign w:val="center"/>
                </w:tcPr>
                <w:p>
                  <w:pPr>
                    <w:pStyle w:val="25"/>
                  </w:pPr>
                  <w:r>
                    <w:t>存放位置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003" w:type="pct"/>
                  <w:tcBorders>
                    <w:tl2br w:val="nil"/>
                    <w:tr2bl w:val="nil"/>
                  </w:tcBorders>
                  <w:vAlign w:val="center"/>
                </w:tcPr>
                <w:p>
                  <w:pPr>
                    <w:pStyle w:val="25"/>
                  </w:pPr>
                  <w:r>
                    <w:rPr>
                      <w:rFonts w:hint="eastAsia"/>
                    </w:rPr>
                    <w:t>UV漆</w:t>
                  </w:r>
                </w:p>
              </w:tc>
              <w:tc>
                <w:tcPr>
                  <w:tcW w:w="1008" w:type="pct"/>
                  <w:tcBorders>
                    <w:tl2br w:val="nil"/>
                    <w:tr2bl w:val="nil"/>
                  </w:tcBorders>
                  <w:vAlign w:val="center"/>
                </w:tcPr>
                <w:p>
                  <w:pPr>
                    <w:pStyle w:val="25"/>
                  </w:pPr>
                  <w:r>
                    <w:t>桶装</w:t>
                  </w:r>
                </w:p>
              </w:tc>
              <w:tc>
                <w:tcPr>
                  <w:tcW w:w="883" w:type="pct"/>
                  <w:tcBorders>
                    <w:tl2br w:val="nil"/>
                    <w:tr2bl w:val="nil"/>
                  </w:tcBorders>
                  <w:vAlign w:val="center"/>
                </w:tcPr>
                <w:p>
                  <w:pPr>
                    <w:pStyle w:val="25"/>
                  </w:pPr>
                  <w:r>
                    <w:t>液态</w:t>
                  </w:r>
                </w:p>
              </w:tc>
              <w:tc>
                <w:tcPr>
                  <w:tcW w:w="1104" w:type="pct"/>
                  <w:tcBorders>
                    <w:tl2br w:val="nil"/>
                    <w:tr2bl w:val="nil"/>
                  </w:tcBorders>
                  <w:vAlign w:val="center"/>
                </w:tcPr>
                <w:p>
                  <w:pPr>
                    <w:pStyle w:val="25"/>
                  </w:pPr>
                  <w:r>
                    <w:rPr>
                      <w:rFonts w:hint="eastAsia"/>
                    </w:rPr>
                    <w:t>1.5</w:t>
                  </w:r>
                </w:p>
              </w:tc>
              <w:tc>
                <w:tcPr>
                  <w:tcW w:w="1000" w:type="pct"/>
                  <w:tcBorders>
                    <w:tl2br w:val="nil"/>
                    <w:tr2bl w:val="nil"/>
                  </w:tcBorders>
                  <w:vAlign w:val="center"/>
                </w:tcPr>
                <w:p>
                  <w:pPr>
                    <w:pStyle w:val="25"/>
                  </w:pPr>
                  <w:r>
                    <w:rPr>
                      <w:rFonts w:hint="eastAsia"/>
                    </w:rPr>
                    <w:t>UV</w:t>
                  </w:r>
                  <w:r>
                    <w:t>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003" w:type="pct"/>
                  <w:tcBorders>
                    <w:tl2br w:val="nil"/>
                    <w:tr2bl w:val="nil"/>
                  </w:tcBorders>
                  <w:vAlign w:val="center"/>
                </w:tcPr>
                <w:p>
                  <w:pPr>
                    <w:pStyle w:val="25"/>
                  </w:pPr>
                  <w:r>
                    <w:rPr>
                      <w:rFonts w:hint="eastAsia"/>
                      <w:lang w:eastAsia="zh-CN"/>
                    </w:rPr>
                    <w:t>润滑</w:t>
                  </w:r>
                  <w:r>
                    <w:rPr>
                      <w:rFonts w:hint="eastAsia"/>
                    </w:rPr>
                    <w:t>油</w:t>
                  </w:r>
                </w:p>
              </w:tc>
              <w:tc>
                <w:tcPr>
                  <w:tcW w:w="1008" w:type="pct"/>
                  <w:tcBorders>
                    <w:tl2br w:val="nil"/>
                    <w:tr2bl w:val="nil"/>
                  </w:tcBorders>
                  <w:vAlign w:val="center"/>
                </w:tcPr>
                <w:p>
                  <w:pPr>
                    <w:pStyle w:val="25"/>
                  </w:pPr>
                  <w:r>
                    <w:t>桶装</w:t>
                  </w:r>
                </w:p>
              </w:tc>
              <w:tc>
                <w:tcPr>
                  <w:tcW w:w="883" w:type="pct"/>
                  <w:tcBorders>
                    <w:tl2br w:val="nil"/>
                    <w:tr2bl w:val="nil"/>
                  </w:tcBorders>
                  <w:vAlign w:val="center"/>
                </w:tcPr>
                <w:p>
                  <w:pPr>
                    <w:pStyle w:val="25"/>
                  </w:pPr>
                  <w:r>
                    <w:t>液态</w:t>
                  </w:r>
                </w:p>
              </w:tc>
              <w:tc>
                <w:tcPr>
                  <w:tcW w:w="1104" w:type="pct"/>
                  <w:tcBorders>
                    <w:tl2br w:val="nil"/>
                    <w:tr2bl w:val="nil"/>
                  </w:tcBorders>
                  <w:vAlign w:val="center"/>
                </w:tcPr>
                <w:p>
                  <w:pPr>
                    <w:pStyle w:val="25"/>
                  </w:pPr>
                  <w:r>
                    <w:rPr>
                      <w:rFonts w:hint="eastAsia"/>
                    </w:rPr>
                    <w:t>0.1</w:t>
                  </w:r>
                </w:p>
              </w:tc>
              <w:tc>
                <w:tcPr>
                  <w:tcW w:w="1000" w:type="pct"/>
                  <w:tcBorders>
                    <w:tl2br w:val="nil"/>
                    <w:tr2bl w:val="nil"/>
                  </w:tcBorders>
                  <w:vAlign w:val="center"/>
                </w:tcPr>
                <w:p>
                  <w:pPr>
                    <w:pStyle w:val="25"/>
                  </w:pPr>
                  <w:r>
                    <w:rPr>
                      <w:rFonts w:hint="eastAsia"/>
                    </w:rPr>
                    <w:t>UV</w:t>
                  </w:r>
                  <w:r>
                    <w:t>库</w:t>
                  </w:r>
                </w:p>
              </w:tc>
            </w:tr>
          </w:tbl>
          <w:p>
            <w:pPr>
              <w:adjustRightInd w:val="0"/>
              <w:snapToGrid w:val="0"/>
              <w:ind w:firstLine="480"/>
              <w:jc w:val="left"/>
            </w:pPr>
            <w:r>
              <w:rPr>
                <w:rFonts w:hint="eastAsia"/>
              </w:rPr>
              <w:t>本</w:t>
            </w:r>
            <w:r>
              <w:t>项目主要涉及</w:t>
            </w:r>
            <w:r>
              <w:rPr>
                <w:rFonts w:hint="eastAsia"/>
              </w:rPr>
              <w:t>UV漆的</w:t>
            </w:r>
            <w:r>
              <w:rPr>
                <w:rFonts w:hint="eastAsia" w:ascii="宋体" w:hAnsi="宋体"/>
              </w:rPr>
              <w:t>使用和贮存</w:t>
            </w:r>
            <w:r>
              <w:t>，生产过程中无高温、高压的工艺环节</w:t>
            </w:r>
            <w:r>
              <w:rPr>
                <w:rFonts w:hint="eastAsia"/>
              </w:rPr>
              <w:t>。</w:t>
            </w:r>
          </w:p>
          <w:p>
            <w:pPr>
              <w:adjustRightInd w:val="0"/>
              <w:snapToGrid w:val="0"/>
              <w:ind w:firstLine="480"/>
              <w:jc w:val="left"/>
            </w:pPr>
            <w:r>
              <w:t>计算所涉及的每种危险物质在厂界内的最大存在总量与其对应临界量的比值Q。当只涉及一种危险物质时，计算该物质的总量与其临界量比值，即为Q。当存在多种危险物质时，则按下式计算物质总量与其临界量比值Q。</w:t>
            </w:r>
          </w:p>
          <w:p>
            <w:pPr>
              <w:widowControl/>
              <w:ind w:firstLine="480"/>
              <w:jc w:val="center"/>
            </w:pPr>
            <w:r>
              <w:rPr>
                <w:rFonts w:ascii="宋体" w:hAnsi="宋体" w:cs="宋体"/>
                <w:kern w:val="0"/>
                <w:lang w:bidi="ar"/>
              </w:rPr>
              <w:fldChar w:fldCharType="begin"/>
            </w:r>
            <w:r>
              <w:rPr>
                <w:rFonts w:ascii="宋体" w:hAnsi="宋体" w:cs="宋体"/>
                <w:kern w:val="0"/>
                <w:lang w:bidi="ar"/>
              </w:rPr>
              <w:instrText xml:space="preserve">INCLUDEPICTURE \d "C:\\Users\\Administrator\\AppData\\Roaming\\Tencent\\Users\\879434644\\QQ\\WinTemp\\RichOle\\LWHU5(UDGN~4`NBG]WO8R55.png" \* MERGEFORMATINET </w:instrText>
            </w:r>
            <w:r>
              <w:rPr>
                <w:rFonts w:ascii="宋体" w:hAnsi="宋体" w:cs="宋体"/>
                <w:kern w:val="0"/>
                <w:lang w:bidi="ar"/>
              </w:rPr>
              <w:fldChar w:fldCharType="separate"/>
            </w:r>
            <w:r>
              <w:rPr>
                <w:rFonts w:ascii="宋体" w:hAnsi="宋体" w:cs="宋体"/>
                <w:kern w:val="0"/>
                <w:lang w:bidi="ar"/>
              </w:rPr>
              <w:drawing>
                <wp:inline distT="0" distB="0" distL="114300" distR="114300">
                  <wp:extent cx="2000250" cy="450215"/>
                  <wp:effectExtent l="0" t="0" r="0" b="6985"/>
                  <wp:docPr id="4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descr="IMG_256"/>
                          <pic:cNvPicPr>
                            <a:picLocks noChangeAspect="1"/>
                          </pic:cNvPicPr>
                        </pic:nvPicPr>
                        <pic:blipFill>
                          <a:blip r:embed="rId20"/>
                          <a:stretch>
                            <a:fillRect/>
                          </a:stretch>
                        </pic:blipFill>
                        <pic:spPr>
                          <a:xfrm>
                            <a:off x="0" y="0"/>
                            <a:ext cx="2000250" cy="450215"/>
                          </a:xfrm>
                          <a:prstGeom prst="rect">
                            <a:avLst/>
                          </a:prstGeom>
                          <a:noFill/>
                          <a:ln>
                            <a:noFill/>
                          </a:ln>
                        </pic:spPr>
                      </pic:pic>
                    </a:graphicData>
                  </a:graphic>
                </wp:inline>
              </w:drawing>
            </w:r>
            <w:r>
              <w:rPr>
                <w:rFonts w:ascii="宋体" w:hAnsi="宋体" w:cs="宋体"/>
                <w:kern w:val="0"/>
                <w:lang w:bidi="ar"/>
              </w:rPr>
              <w:fldChar w:fldCharType="end"/>
            </w:r>
          </w:p>
          <w:p>
            <w:pPr>
              <w:adjustRightInd w:val="0"/>
              <w:snapToGrid w:val="0"/>
              <w:ind w:firstLine="480"/>
              <w:jc w:val="left"/>
            </w:pPr>
            <w:r>
              <w:t>式中：q</w:t>
            </w:r>
            <w:r>
              <w:rPr>
                <w:vertAlign w:val="subscript"/>
              </w:rPr>
              <w:t>1</w:t>
            </w:r>
            <w:r>
              <w:t>，q</w:t>
            </w:r>
            <w:r>
              <w:rPr>
                <w:vertAlign w:val="subscript"/>
              </w:rPr>
              <w:t>2</w:t>
            </w:r>
            <w:r>
              <w:t>，...，qn——每种危险物质的最大存在总量，t；</w:t>
            </w:r>
          </w:p>
          <w:p>
            <w:pPr>
              <w:adjustRightInd w:val="0"/>
              <w:snapToGrid w:val="0"/>
              <w:ind w:firstLine="480"/>
              <w:jc w:val="left"/>
            </w:pPr>
            <w:r>
              <w:t>Q</w:t>
            </w:r>
            <w:r>
              <w:rPr>
                <w:vertAlign w:val="subscript"/>
              </w:rPr>
              <w:t>1</w:t>
            </w:r>
            <w:r>
              <w:t>，Q</w:t>
            </w:r>
            <w:r>
              <w:rPr>
                <w:vertAlign w:val="subscript"/>
              </w:rPr>
              <w:t>2</w:t>
            </w:r>
            <w:r>
              <w:t>，...，Qn——每种危险物质的临界量，t。</w:t>
            </w:r>
          </w:p>
          <w:p>
            <w:pPr>
              <w:adjustRightInd w:val="0"/>
              <w:snapToGrid w:val="0"/>
              <w:ind w:firstLine="480"/>
              <w:jc w:val="left"/>
            </w:pPr>
            <w:r>
              <w:t>当Q＜1时，该项目环境风险潜势为I；</w:t>
            </w:r>
          </w:p>
          <w:p>
            <w:pPr>
              <w:adjustRightInd w:val="0"/>
              <w:snapToGrid w:val="0"/>
              <w:ind w:firstLine="480"/>
              <w:jc w:val="left"/>
            </w:pPr>
            <w:r>
              <w:t>当Q≥1时，将Q值划分为：（1）1≤Q＜10；（2）10≤Q＜100；（3）Q≥100。</w:t>
            </w:r>
          </w:p>
          <w:p>
            <w:pPr>
              <w:adjustRightInd w:val="0"/>
              <w:snapToGrid w:val="0"/>
              <w:ind w:firstLine="480"/>
              <w:jc w:val="left"/>
            </w:pPr>
            <w:r>
              <w:t>本</w:t>
            </w:r>
            <w:r>
              <w:rPr>
                <w:rFonts w:hint="eastAsia"/>
              </w:rPr>
              <w:t>项目</w:t>
            </w:r>
            <w:r>
              <w:t>Q值计算详见下表</w:t>
            </w:r>
          </w:p>
          <w:p>
            <w:pPr>
              <w:pStyle w:val="24"/>
              <w:bidi w:val="0"/>
            </w:pPr>
            <w:r>
              <w:t>表</w:t>
            </w:r>
            <w:r>
              <w:rPr>
                <w:rFonts w:hint="eastAsia"/>
              </w:rPr>
              <w:t>4-1</w:t>
            </w:r>
            <w:r>
              <w:rPr>
                <w:rFonts w:hint="eastAsia"/>
                <w:lang w:val="en-US" w:eastAsia="zh-CN"/>
              </w:rPr>
              <w:t>3</w:t>
            </w:r>
            <w:r>
              <w:rPr>
                <w:rFonts w:hint="eastAsia"/>
              </w:rPr>
              <w:t xml:space="preserve"> </w:t>
            </w:r>
            <w:r>
              <w:t xml:space="preserve"> 建设</w:t>
            </w:r>
            <w:r>
              <w:rPr>
                <w:rFonts w:hint="eastAsia"/>
              </w:rPr>
              <w:t>项目</w:t>
            </w:r>
            <w:r>
              <w:t>Q值确定表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209"/>
              <w:gridCol w:w="1729"/>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0" w:type="pct"/>
                  <w:vAlign w:val="center"/>
                </w:tcPr>
                <w:p>
                  <w:pPr>
                    <w:pStyle w:val="25"/>
                  </w:pPr>
                  <w:r>
                    <w:rPr>
                      <w:rFonts w:hint="eastAsia"/>
                    </w:rPr>
                    <w:t>风险物质</w:t>
                  </w:r>
                </w:p>
              </w:tc>
              <w:tc>
                <w:tcPr>
                  <w:tcW w:w="1387" w:type="pct"/>
                  <w:vAlign w:val="center"/>
                </w:tcPr>
                <w:p>
                  <w:pPr>
                    <w:pStyle w:val="25"/>
                  </w:pPr>
                  <w:r>
                    <w:rPr>
                      <w:rFonts w:hint="eastAsia"/>
                    </w:rPr>
                    <w:t>年最大存贮量t/a</w:t>
                  </w:r>
                </w:p>
              </w:tc>
              <w:tc>
                <w:tcPr>
                  <w:tcW w:w="1085" w:type="pct"/>
                  <w:vAlign w:val="center"/>
                </w:tcPr>
                <w:p>
                  <w:pPr>
                    <w:pStyle w:val="25"/>
                  </w:pPr>
                  <w:r>
                    <w:rPr>
                      <w:rFonts w:hint="eastAsia"/>
                    </w:rPr>
                    <w:t>临界量t</w:t>
                  </w:r>
                </w:p>
              </w:tc>
              <w:tc>
                <w:tcPr>
                  <w:tcW w:w="1186" w:type="pct"/>
                  <w:vAlign w:val="center"/>
                </w:tcPr>
                <w:p>
                  <w:pPr>
                    <w:pStyle w:val="25"/>
                  </w:pPr>
                  <w:r>
                    <w:rPr>
                      <w:rFonts w:hint="eastAsia"/>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0" w:type="pct"/>
                  <w:vAlign w:val="center"/>
                </w:tcPr>
                <w:p>
                  <w:pPr>
                    <w:pStyle w:val="25"/>
                  </w:pPr>
                  <w:r>
                    <w:rPr>
                      <w:rFonts w:hint="eastAsia"/>
                    </w:rPr>
                    <w:t>油类物质</w:t>
                  </w:r>
                </w:p>
              </w:tc>
              <w:tc>
                <w:tcPr>
                  <w:tcW w:w="1387" w:type="pct"/>
                  <w:vAlign w:val="center"/>
                </w:tcPr>
                <w:p>
                  <w:pPr>
                    <w:pStyle w:val="25"/>
                    <w:rPr>
                      <w:rFonts w:hint="default" w:eastAsia="宋体"/>
                      <w:lang w:val="en-US" w:eastAsia="zh-CN"/>
                    </w:rPr>
                  </w:pPr>
                  <w:r>
                    <w:rPr>
                      <w:rFonts w:hint="eastAsia"/>
                      <w:lang w:val="en-US" w:eastAsia="zh-CN"/>
                    </w:rPr>
                    <w:t>1.6</w:t>
                  </w:r>
                </w:p>
              </w:tc>
              <w:tc>
                <w:tcPr>
                  <w:tcW w:w="1085" w:type="pct"/>
                  <w:vAlign w:val="center"/>
                </w:tcPr>
                <w:p>
                  <w:pPr>
                    <w:pStyle w:val="25"/>
                  </w:pPr>
                  <w:r>
                    <w:rPr>
                      <w:rFonts w:hint="eastAsia"/>
                    </w:rPr>
                    <w:t>2500</w:t>
                  </w:r>
                </w:p>
              </w:tc>
              <w:tc>
                <w:tcPr>
                  <w:tcW w:w="1186" w:type="pct"/>
                  <w:vAlign w:val="center"/>
                </w:tcPr>
                <w:p>
                  <w:pPr>
                    <w:pStyle w:val="25"/>
                  </w:pPr>
                  <w:r>
                    <w:rPr>
                      <w:rFonts w:hint="eastAsia"/>
                    </w:rPr>
                    <w:t>0.000</w:t>
                  </w:r>
                  <w:r>
                    <w:rPr>
                      <w:rFonts w:hint="eastAsia"/>
                      <w:lang w:val="en-US" w:eastAsia="zh-CN"/>
                    </w:rPr>
                    <w:t>6</w:t>
                  </w: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0" w:type="pct"/>
                  <w:vAlign w:val="center"/>
                </w:tcPr>
                <w:p>
                  <w:pPr>
                    <w:pStyle w:val="25"/>
                  </w:pPr>
                  <w:r>
                    <w:rPr>
                      <w:rFonts w:hint="eastAsia"/>
                    </w:rPr>
                    <w:t>合计</w:t>
                  </w:r>
                </w:p>
              </w:tc>
              <w:tc>
                <w:tcPr>
                  <w:tcW w:w="1387" w:type="pct"/>
                  <w:vAlign w:val="center"/>
                </w:tcPr>
                <w:p>
                  <w:pPr>
                    <w:pStyle w:val="25"/>
                  </w:pPr>
                  <w:r>
                    <w:rPr>
                      <w:rFonts w:hint="eastAsia"/>
                    </w:rPr>
                    <w:t>/</w:t>
                  </w:r>
                </w:p>
              </w:tc>
              <w:tc>
                <w:tcPr>
                  <w:tcW w:w="1085" w:type="pct"/>
                  <w:vAlign w:val="center"/>
                </w:tcPr>
                <w:p>
                  <w:pPr>
                    <w:pStyle w:val="25"/>
                  </w:pPr>
                  <w:r>
                    <w:rPr>
                      <w:rFonts w:hint="eastAsia"/>
                    </w:rPr>
                    <w:t>/</w:t>
                  </w:r>
                </w:p>
              </w:tc>
              <w:tc>
                <w:tcPr>
                  <w:tcW w:w="1186" w:type="pct"/>
                  <w:vAlign w:val="center"/>
                </w:tcPr>
                <w:p>
                  <w:pPr>
                    <w:pStyle w:val="25"/>
                  </w:pPr>
                  <w:r>
                    <w:rPr>
                      <w:rFonts w:hint="eastAsia"/>
                    </w:rPr>
                    <w:t>0.</w:t>
                  </w:r>
                  <w:r>
                    <w:rPr>
                      <w:rFonts w:hint="eastAsia"/>
                      <w:lang w:val="en-US" w:eastAsia="zh-CN"/>
                    </w:rPr>
                    <w:t>0</w:t>
                  </w:r>
                  <w:r>
                    <w:rPr>
                      <w:rFonts w:hint="eastAsia"/>
                    </w:rPr>
                    <w:t>00</w:t>
                  </w:r>
                  <w:r>
                    <w:rPr>
                      <w:rFonts w:hint="eastAsia"/>
                      <w:lang w:val="en-US" w:eastAsia="zh-CN"/>
                    </w:rPr>
                    <w:t>6</w:t>
                  </w:r>
                  <w:r>
                    <w:rPr>
                      <w:rFonts w:hint="eastAsia"/>
                    </w:rPr>
                    <w:t>4</w:t>
                  </w:r>
                </w:p>
              </w:tc>
            </w:tr>
          </w:tbl>
          <w:p>
            <w:pPr>
              <w:adjustRightInd w:val="0"/>
              <w:snapToGrid w:val="0"/>
              <w:ind w:firstLine="480"/>
              <w:jc w:val="left"/>
            </w:pPr>
            <w:r>
              <w:t>经核算，本项目Q值为0.</w:t>
            </w:r>
            <w:r>
              <w:rPr>
                <w:rFonts w:hint="eastAsia"/>
                <w:lang w:val="en-US" w:eastAsia="zh-CN"/>
              </w:rPr>
              <w:t>0</w:t>
            </w:r>
            <w:r>
              <w:rPr>
                <w:rFonts w:hint="eastAsia"/>
              </w:rPr>
              <w:t>00</w:t>
            </w:r>
            <w:r>
              <w:rPr>
                <w:rFonts w:hint="eastAsia"/>
                <w:lang w:val="en-US" w:eastAsia="zh-CN"/>
              </w:rPr>
              <w:t>6</w:t>
            </w:r>
            <w:r>
              <w:rPr>
                <w:rFonts w:hint="eastAsia"/>
              </w:rPr>
              <w:t>4</w:t>
            </w:r>
            <w:r>
              <w:t>，属于Q＜1范畴，则本项目风险潜势为I。根据《建设项目环境风险评价技术导则》（HJ169-2018），风险评价工作等级划分详见下表。</w:t>
            </w:r>
          </w:p>
          <w:p>
            <w:pPr>
              <w:pStyle w:val="24"/>
              <w:bidi w:val="0"/>
            </w:pPr>
            <w:r>
              <w:t>表</w:t>
            </w:r>
            <w:r>
              <w:rPr>
                <w:rFonts w:hint="eastAsia"/>
              </w:rPr>
              <w:t>4-1</w:t>
            </w:r>
            <w:r>
              <w:rPr>
                <w:rFonts w:hint="eastAsia"/>
                <w:lang w:val="en-US" w:eastAsia="zh-CN"/>
              </w:rPr>
              <w:t>4</w:t>
            </w:r>
            <w:r>
              <w:t xml:space="preserve">  环境风险评价工作等级划分</w:t>
            </w:r>
          </w:p>
          <w:tbl>
            <w:tblPr>
              <w:tblStyle w:val="20"/>
              <w:tblW w:w="7817" w:type="dxa"/>
              <w:jc w:val="center"/>
              <w:tblLayout w:type="fixed"/>
              <w:tblCellMar>
                <w:top w:w="0" w:type="dxa"/>
                <w:left w:w="108" w:type="dxa"/>
                <w:bottom w:w="0" w:type="dxa"/>
                <w:right w:w="108" w:type="dxa"/>
              </w:tblCellMar>
            </w:tblPr>
            <w:tblGrid>
              <w:gridCol w:w="1569"/>
              <w:gridCol w:w="1559"/>
              <w:gridCol w:w="1559"/>
              <w:gridCol w:w="1559"/>
              <w:gridCol w:w="1571"/>
            </w:tblGrid>
            <w:tr>
              <w:tblPrEx>
                <w:tblCellMar>
                  <w:top w:w="0" w:type="dxa"/>
                  <w:left w:w="108" w:type="dxa"/>
                  <w:bottom w:w="0" w:type="dxa"/>
                  <w:right w:w="108" w:type="dxa"/>
                </w:tblCellMar>
              </w:tblPrEx>
              <w:trPr>
                <w:trHeight w:val="306" w:hRule="atLeast"/>
                <w:jc w:val="center"/>
              </w:trPr>
              <w:tc>
                <w:tcPr>
                  <w:tcW w:w="1003" w:type="pct"/>
                  <w:tcBorders>
                    <w:top w:val="single" w:color="000000" w:sz="6" w:space="0"/>
                    <w:left w:val="single" w:color="000000" w:sz="4" w:space="0"/>
                    <w:bottom w:val="single" w:color="000000" w:sz="6" w:space="0"/>
                    <w:right w:val="single" w:color="000000" w:sz="4" w:space="0"/>
                  </w:tcBorders>
                  <w:shd w:val="clear" w:color="auto" w:fill="auto"/>
                  <w:vAlign w:val="center"/>
                </w:tcPr>
                <w:p>
                  <w:pPr>
                    <w:pStyle w:val="25"/>
                  </w:pPr>
                  <w:r>
                    <w:t>环境风险潜势</w:t>
                  </w:r>
                </w:p>
              </w:tc>
              <w:tc>
                <w:tcPr>
                  <w:tcW w:w="997" w:type="pct"/>
                  <w:tcBorders>
                    <w:top w:val="single" w:color="000000" w:sz="6" w:space="0"/>
                    <w:left w:val="single" w:color="000000" w:sz="4" w:space="0"/>
                    <w:bottom w:val="single" w:color="000000" w:sz="6" w:space="0"/>
                    <w:right w:val="single" w:color="000000" w:sz="4" w:space="0"/>
                  </w:tcBorders>
                  <w:shd w:val="clear" w:color="auto" w:fill="auto"/>
                  <w:vAlign w:val="center"/>
                </w:tcPr>
                <w:p>
                  <w:pPr>
                    <w:pStyle w:val="25"/>
                  </w:pPr>
                  <w:r>
                    <w:t>IV、IV+</w:t>
                  </w:r>
                </w:p>
              </w:tc>
              <w:tc>
                <w:tcPr>
                  <w:tcW w:w="997" w:type="pct"/>
                  <w:tcBorders>
                    <w:top w:val="single" w:color="000000" w:sz="6" w:space="0"/>
                    <w:left w:val="single" w:color="000000" w:sz="4" w:space="0"/>
                    <w:bottom w:val="single" w:color="000000" w:sz="6" w:space="0"/>
                    <w:right w:val="single" w:color="000000" w:sz="4" w:space="0"/>
                  </w:tcBorders>
                  <w:shd w:val="clear" w:color="auto" w:fill="auto"/>
                  <w:vAlign w:val="center"/>
                </w:tcPr>
                <w:p>
                  <w:pPr>
                    <w:pStyle w:val="25"/>
                  </w:pPr>
                  <w:r>
                    <w:t>III</w:t>
                  </w:r>
                </w:p>
              </w:tc>
              <w:tc>
                <w:tcPr>
                  <w:tcW w:w="997" w:type="pct"/>
                  <w:tcBorders>
                    <w:top w:val="single" w:color="000000" w:sz="6" w:space="0"/>
                    <w:left w:val="single" w:color="000000" w:sz="4" w:space="0"/>
                    <w:bottom w:val="single" w:color="000000" w:sz="6" w:space="0"/>
                    <w:right w:val="single" w:color="000000" w:sz="4" w:space="0"/>
                  </w:tcBorders>
                  <w:shd w:val="clear" w:color="auto" w:fill="auto"/>
                  <w:vAlign w:val="center"/>
                </w:tcPr>
                <w:p>
                  <w:pPr>
                    <w:pStyle w:val="25"/>
                  </w:pPr>
                  <w:r>
                    <w:t>II</w:t>
                  </w:r>
                </w:p>
              </w:tc>
              <w:tc>
                <w:tcPr>
                  <w:tcW w:w="1004" w:type="pct"/>
                  <w:tcBorders>
                    <w:top w:val="single" w:color="000000" w:sz="6" w:space="0"/>
                    <w:left w:val="single" w:color="000000" w:sz="4" w:space="0"/>
                    <w:bottom w:val="single" w:color="000000" w:sz="6" w:space="0"/>
                    <w:right w:val="single" w:color="000000" w:sz="4" w:space="0"/>
                  </w:tcBorders>
                  <w:shd w:val="clear" w:color="auto" w:fill="D7D7D7"/>
                  <w:vAlign w:val="center"/>
                </w:tcPr>
                <w:p>
                  <w:pPr>
                    <w:pStyle w:val="25"/>
                  </w:pPr>
                  <w:r>
                    <w:t>I</w:t>
                  </w:r>
                </w:p>
              </w:tc>
            </w:tr>
            <w:tr>
              <w:tblPrEx>
                <w:tblCellMar>
                  <w:top w:w="0" w:type="dxa"/>
                  <w:left w:w="108" w:type="dxa"/>
                  <w:bottom w:w="0" w:type="dxa"/>
                  <w:right w:w="108" w:type="dxa"/>
                </w:tblCellMar>
              </w:tblPrEx>
              <w:trPr>
                <w:trHeight w:val="306" w:hRule="atLeast"/>
                <w:jc w:val="center"/>
              </w:trPr>
              <w:tc>
                <w:tcPr>
                  <w:tcW w:w="1003" w:type="pct"/>
                  <w:tcBorders>
                    <w:top w:val="single" w:color="000000" w:sz="6" w:space="0"/>
                    <w:left w:val="single" w:color="000000" w:sz="4" w:space="0"/>
                    <w:bottom w:val="single" w:color="000000" w:sz="6" w:space="0"/>
                    <w:right w:val="single" w:color="000000" w:sz="4" w:space="0"/>
                  </w:tcBorders>
                  <w:shd w:val="clear" w:color="auto" w:fill="auto"/>
                  <w:vAlign w:val="center"/>
                </w:tcPr>
                <w:p>
                  <w:pPr>
                    <w:pStyle w:val="25"/>
                  </w:pPr>
                  <w:r>
                    <w:t>评价工作等级</w:t>
                  </w:r>
                </w:p>
              </w:tc>
              <w:tc>
                <w:tcPr>
                  <w:tcW w:w="997" w:type="pct"/>
                  <w:tcBorders>
                    <w:top w:val="single" w:color="000000" w:sz="6" w:space="0"/>
                    <w:left w:val="single" w:color="000000" w:sz="4" w:space="0"/>
                    <w:bottom w:val="single" w:color="000000" w:sz="6" w:space="0"/>
                    <w:right w:val="single" w:color="000000" w:sz="4" w:space="0"/>
                  </w:tcBorders>
                  <w:shd w:val="clear" w:color="auto" w:fill="auto"/>
                  <w:vAlign w:val="center"/>
                </w:tcPr>
                <w:p>
                  <w:pPr>
                    <w:pStyle w:val="25"/>
                  </w:pPr>
                  <w:r>
                    <w:t>一</w:t>
                  </w:r>
                </w:p>
              </w:tc>
              <w:tc>
                <w:tcPr>
                  <w:tcW w:w="997" w:type="pct"/>
                  <w:tcBorders>
                    <w:top w:val="single" w:color="000000" w:sz="6" w:space="0"/>
                    <w:left w:val="single" w:color="000000" w:sz="4" w:space="0"/>
                    <w:bottom w:val="single" w:color="000000" w:sz="6" w:space="0"/>
                    <w:right w:val="single" w:color="000000" w:sz="4" w:space="0"/>
                  </w:tcBorders>
                  <w:shd w:val="clear" w:color="auto" w:fill="auto"/>
                  <w:vAlign w:val="center"/>
                </w:tcPr>
                <w:p>
                  <w:pPr>
                    <w:pStyle w:val="25"/>
                  </w:pPr>
                  <w:r>
                    <w:t>二</w:t>
                  </w:r>
                </w:p>
              </w:tc>
              <w:tc>
                <w:tcPr>
                  <w:tcW w:w="997" w:type="pct"/>
                  <w:tcBorders>
                    <w:top w:val="single" w:color="000000" w:sz="6" w:space="0"/>
                    <w:left w:val="single" w:color="000000" w:sz="4" w:space="0"/>
                    <w:bottom w:val="single" w:color="000000" w:sz="6" w:space="0"/>
                    <w:right w:val="single" w:color="000000" w:sz="4" w:space="0"/>
                  </w:tcBorders>
                  <w:shd w:val="clear" w:color="auto" w:fill="auto"/>
                  <w:vAlign w:val="center"/>
                </w:tcPr>
                <w:p>
                  <w:pPr>
                    <w:pStyle w:val="25"/>
                  </w:pPr>
                  <w:r>
                    <w:t>三</w:t>
                  </w:r>
                </w:p>
              </w:tc>
              <w:tc>
                <w:tcPr>
                  <w:tcW w:w="1004" w:type="pct"/>
                  <w:tcBorders>
                    <w:top w:val="single" w:color="000000" w:sz="6" w:space="0"/>
                    <w:left w:val="single" w:color="000000" w:sz="4" w:space="0"/>
                    <w:bottom w:val="single" w:color="000000" w:sz="6" w:space="0"/>
                    <w:right w:val="single" w:color="000000" w:sz="4" w:space="0"/>
                  </w:tcBorders>
                  <w:shd w:val="clear" w:color="auto" w:fill="D7D7D7"/>
                  <w:vAlign w:val="center"/>
                </w:tcPr>
                <w:p>
                  <w:pPr>
                    <w:pStyle w:val="25"/>
                  </w:pPr>
                  <w:r>
                    <w:t>简单分析a</w:t>
                  </w:r>
                </w:p>
              </w:tc>
            </w:tr>
            <w:tr>
              <w:tblPrEx>
                <w:tblCellMar>
                  <w:top w:w="0" w:type="dxa"/>
                  <w:left w:w="108" w:type="dxa"/>
                  <w:bottom w:w="0" w:type="dxa"/>
                  <w:right w:w="108" w:type="dxa"/>
                </w:tblCellMar>
              </w:tblPrEx>
              <w:trPr>
                <w:trHeight w:val="899" w:hRule="atLeast"/>
                <w:jc w:val="center"/>
              </w:trPr>
              <w:tc>
                <w:tcPr>
                  <w:tcW w:w="5000" w:type="pct"/>
                  <w:gridSpan w:val="5"/>
                  <w:tcBorders>
                    <w:top w:val="single" w:color="000000" w:sz="6" w:space="0"/>
                    <w:left w:val="single" w:color="000000" w:sz="4" w:space="0"/>
                    <w:bottom w:val="single" w:color="000000" w:sz="4" w:space="0"/>
                    <w:right w:val="single" w:color="000000" w:sz="4" w:space="0"/>
                  </w:tcBorders>
                </w:tcPr>
                <w:p>
                  <w:pPr>
                    <w:ind w:firstLine="420"/>
                    <w:jc w:val="left"/>
                  </w:pPr>
                  <w:r>
                    <w:t>a是相对于详细评价工作内容而言，在描述危险物质、环境影响途径、环境危害后果、风险防范措施等方面给出定性的说明。</w:t>
                  </w:r>
                </w:p>
              </w:tc>
            </w:tr>
          </w:tbl>
          <w:p>
            <w:pPr>
              <w:bidi w:val="0"/>
            </w:pPr>
            <w:r>
              <w:t>本项目环境风险潜势划分为I级，因此环境风险评价工作等级为简单分析</w:t>
            </w:r>
            <w:r>
              <w:rPr>
                <w:rFonts w:hint="eastAsia"/>
              </w:rPr>
              <w:t>。</w:t>
            </w:r>
          </w:p>
          <w:p>
            <w:pPr>
              <w:bidi w:val="0"/>
            </w:pPr>
            <w:r>
              <w:rPr>
                <w:rFonts w:hint="eastAsia"/>
                <w:lang w:val="en-US" w:eastAsia="zh-CN"/>
              </w:rPr>
              <w:t>3、</w:t>
            </w:r>
            <w:r>
              <w:t>风险防范措施</w:t>
            </w:r>
          </w:p>
          <w:p>
            <w:pPr>
              <w:bidi w:val="0"/>
            </w:pPr>
            <w:r>
              <w:t>①泄漏防范措施：</w:t>
            </w:r>
          </w:p>
          <w:p>
            <w:pPr>
              <w:bidi w:val="0"/>
            </w:pPr>
            <w:r>
              <w:t>泄漏是本项目环境风险的主要事故源，预防物料泄漏的主要措施为：</w:t>
            </w:r>
          </w:p>
          <w:p>
            <w:pPr>
              <w:bidi w:val="0"/>
            </w:pPr>
            <w:r>
              <w:t>a严格按照相关设计规范和要求落实防护设施，制定安全操作规章制度，加强安全意识教育，加强监督管理，消除事故隐患。</w:t>
            </w:r>
          </w:p>
          <w:p>
            <w:pPr>
              <w:bidi w:val="0"/>
            </w:pPr>
            <w:r>
              <w:t>b尽量减少</w:t>
            </w:r>
            <w:r>
              <w:rPr>
                <w:rFonts w:hint="eastAsia"/>
                <w:lang w:val="en-US" w:eastAsia="zh-CN"/>
              </w:rPr>
              <w:t>UV</w:t>
            </w:r>
            <w:r>
              <w:t>漆的储存量，加强流通，以降低事故发生的强度，减少事故排放源强。</w:t>
            </w:r>
          </w:p>
          <w:p>
            <w:pPr>
              <w:bidi w:val="0"/>
            </w:pPr>
            <w:r>
              <w:t>c车间及仓库房间必须通过消防、安全验收，配备专业技术人员负责管理，同时配备必要的个人防护用品。物质分类存放，禁忌混合存放。易燃物与毒害物应分隔储存，有不同的消防措施。</w:t>
            </w:r>
          </w:p>
          <w:p>
            <w:pPr>
              <w:bidi w:val="0"/>
            </w:pPr>
            <w:r>
              <w:t>d加强作业时巡视检查。建立系统规范的评估、审批、作业、监护、救援</w:t>
            </w:r>
            <w:r>
              <w:rPr>
                <w:rFonts w:hint="eastAsia"/>
              </w:rPr>
              <w:t>。</w:t>
            </w:r>
          </w:p>
          <w:p>
            <w:pPr>
              <w:bidi w:val="0"/>
            </w:pPr>
            <w:r>
              <w:t>②操作风险防范措施：</w:t>
            </w:r>
          </w:p>
          <w:p>
            <w:pPr>
              <w:bidi w:val="0"/>
            </w:pPr>
            <w:r>
              <w:t>为防范风险事故的发生以及减缓风险事故造成的环境影响，建立企业管理制度和操作规程是最基本的防范措施。工作人员必须严格执行各自的具体工艺的操作规程及安全规程，并通过定期培训和宣传，掌握自我防范措施、危险品泄漏的应急措施以及正确的处置方法。</w:t>
            </w:r>
          </w:p>
          <w:p>
            <w:pPr>
              <w:bidi w:val="0"/>
            </w:pPr>
            <w:r>
              <w:t>加强危险废物收集储存系统管理。</w:t>
            </w:r>
          </w:p>
          <w:p>
            <w:pPr>
              <w:bidi w:val="0"/>
            </w:pPr>
            <w:r>
              <w:t>加强员工的环保安全意识，确保危险废物安全集中收集，严禁出现将危险废物混入生活垃圾或随意丢弃现象发生。确保危险废物集中存放于专用的危废暂存区，并交由资质的废物处置单位集中收运并安全处置。</w:t>
            </w:r>
          </w:p>
          <w:p>
            <w:pPr>
              <w:bidi w:val="0"/>
            </w:pPr>
            <w:r>
              <w:rPr>
                <w:rFonts w:hint="eastAsia"/>
                <w:lang w:val="en-US" w:eastAsia="zh-CN"/>
              </w:rPr>
              <w:t>4、</w:t>
            </w:r>
            <w:r>
              <w:t>小结</w:t>
            </w:r>
          </w:p>
          <w:p>
            <w:pPr>
              <w:bidi w:val="0"/>
            </w:pPr>
            <w:r>
              <w:t>综上所述，本项目主要风险源是</w:t>
            </w:r>
            <w:r>
              <w:rPr>
                <w:rFonts w:hint="eastAsia"/>
                <w:lang w:eastAsia="zh-CN"/>
              </w:rPr>
              <w:t>原料</w:t>
            </w:r>
            <w:r>
              <w:t>库，风险物质是</w:t>
            </w:r>
            <w:r>
              <w:rPr>
                <w:rFonts w:hint="eastAsia"/>
              </w:rPr>
              <w:t>UV漆</w:t>
            </w:r>
            <w:r>
              <w:rPr>
                <w:rFonts w:hint="eastAsia"/>
                <w:lang w:eastAsia="zh-CN"/>
              </w:rPr>
              <w:t>、润滑油</w:t>
            </w:r>
            <w:r>
              <w:t>。对照危险化学品重大危险源辨识标准，不构成重大危险源。仓库和车间地面均采取防渗设计，有专人看管，一旦发现泄漏及时采取措施清理现场，加强员工培训教育，使用时严格按规范操作，轻拿轻放，车间内严禁吸烟。由于储存量小，采取风险防范措施后，发生泄漏事故不会对区域环境质量造成影响。</w:t>
            </w:r>
          </w:p>
          <w:p>
            <w:pPr>
              <w:adjustRightInd w:val="0"/>
              <w:snapToGrid w:val="0"/>
              <w:rPr>
                <w:rFonts w:hint="default" w:ascii="Times New Roman" w:hAnsi="Times New Roman" w:cs="Times New Roman"/>
                <w:bCs/>
                <w:spacing w:val="-10"/>
                <w:sz w:val="24"/>
                <w:szCs w:val="24"/>
              </w:rPr>
            </w:pPr>
          </w:p>
        </w:tc>
      </w:tr>
    </w:tbl>
    <w:p>
      <w:pPr>
        <w:pStyle w:val="18"/>
        <w:jc w:val="center"/>
        <w:outlineLvl w:val="0"/>
        <w:rPr>
          <w:rFonts w:hint="eastAsia" w:ascii="黑体" w:hAnsi="黑体" w:eastAsia="黑体"/>
          <w:snapToGrid w:val="0"/>
          <w:sz w:val="30"/>
          <w:szCs w:val="30"/>
        </w:rPr>
        <w:sectPr>
          <w:pgSz w:w="11905" w:h="16838"/>
          <w:pgMar w:top="1440" w:right="1417" w:bottom="1440" w:left="1417" w:header="851" w:footer="850" w:gutter="0"/>
          <w:pgNumType w:fmt="decimal"/>
          <w:cols w:space="0" w:num="1"/>
          <w:rtlGutter w:val="0"/>
          <w:docGrid w:type="lines" w:linePitch="312" w:charSpace="0"/>
        </w:sect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2" w:name="_Hlk54167917"/>
      <w:r>
        <w:rPr>
          <w:rFonts w:hint="eastAsia" w:ascii="黑体" w:hAnsi="黑体" w:eastAsia="黑体"/>
          <w:snapToGrid w:val="0"/>
          <w:sz w:val="30"/>
          <w:szCs w:val="30"/>
        </w:rPr>
        <w:t>环境保护措施监督检查清单</w:t>
      </w:r>
      <w:bookmarkEnd w:id="2"/>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12"/>
        <w:gridCol w:w="1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right"/>
              <w:textAlignment w:val="auto"/>
              <w:rPr>
                <w:rFonts w:hint="eastAsia" w:ascii="宋体" w:hAnsi="宋体" w:cs="宋体"/>
                <w:szCs w:val="21"/>
              </w:rPr>
            </w:pPr>
            <w:r>
              <w:rPr>
                <w:rFonts w:hint="eastAsia" w:ascii="宋体" w:hAnsi="宋体" w:cs="宋体"/>
                <w:szCs w:val="21"/>
              </w:rPr>
              <w:t>内容</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cs="宋体"/>
                <w:szCs w:val="21"/>
              </w:rPr>
            </w:pPr>
            <w:r>
              <w:rPr>
                <w:rFonts w:hint="eastAsia" w:ascii="宋体" w:hAnsi="宋体" w:cs="宋体"/>
                <w:szCs w:val="21"/>
              </w:rPr>
              <w:t>要素</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zCs w:val="21"/>
              </w:rPr>
            </w:pPr>
            <w:r>
              <w:rPr>
                <w:rFonts w:hint="eastAsia" w:ascii="宋体" w:hAnsi="宋体" w:cs="宋体"/>
                <w:szCs w:val="21"/>
              </w:rPr>
              <w:t>排放口</w:t>
            </w:r>
            <w:r>
              <w:rPr>
                <w:rFonts w:hint="eastAsia" w:ascii="宋体" w:hAnsi="宋体" w:cs="宋体"/>
                <w:szCs w:val="21"/>
                <w:lang w:eastAsia="zh-CN"/>
              </w:rPr>
              <w:t>（</w:t>
            </w:r>
            <w:r>
              <w:rPr>
                <w:rFonts w:hint="eastAsia" w:ascii="宋体" w:hAnsi="宋体" w:cs="宋体"/>
                <w:szCs w:val="21"/>
              </w:rPr>
              <w:t>编号、</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zCs w:val="21"/>
              </w:rPr>
            </w:pPr>
            <w:r>
              <w:rPr>
                <w:rFonts w:hint="eastAsia" w:ascii="宋体" w:hAnsi="宋体" w:cs="宋体"/>
                <w:szCs w:val="21"/>
              </w:rPr>
              <w:t>名称</w:t>
            </w:r>
            <w:r>
              <w:rPr>
                <w:rFonts w:hint="eastAsia" w:ascii="宋体" w:hAnsi="宋体" w:cs="宋体"/>
                <w:szCs w:val="21"/>
                <w:lang w:eastAsia="zh-CN"/>
              </w:rPr>
              <w:t>）</w:t>
            </w:r>
            <w:r>
              <w:rPr>
                <w:rFonts w:hint="eastAsia" w:ascii="宋体" w:hAnsi="宋体" w:cs="宋体"/>
                <w:szCs w:val="21"/>
              </w:rPr>
              <w:t>/污染源</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zCs w:val="21"/>
              </w:rPr>
            </w:pPr>
            <w:r>
              <w:rPr>
                <w:rFonts w:hint="eastAsia" w:ascii="宋体" w:hAnsi="宋体" w:cs="宋体"/>
                <w:szCs w:val="21"/>
              </w:rPr>
              <w:t>污染物项目</w:t>
            </w:r>
          </w:p>
        </w:tc>
        <w:tc>
          <w:tcPr>
            <w:tcW w:w="1712"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zCs w:val="21"/>
              </w:rPr>
            </w:pPr>
            <w:r>
              <w:rPr>
                <w:rFonts w:hint="eastAsia" w:ascii="宋体" w:hAnsi="宋体" w:cs="宋体"/>
                <w:szCs w:val="21"/>
              </w:rPr>
              <w:t>环境保护措施</w:t>
            </w:r>
          </w:p>
        </w:tc>
        <w:tc>
          <w:tcPr>
            <w:tcW w:w="183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zCs w:val="21"/>
              </w:rPr>
            </w:pPr>
            <w:r>
              <w:rPr>
                <w:rFonts w:hint="eastAsia" w:ascii="宋体" w:hAnsi="宋体"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zCs w:val="21"/>
              </w:rPr>
            </w:pPr>
            <w:r>
              <w:rPr>
                <w:rFonts w:hint="eastAsia" w:ascii="宋体" w:hAnsi="宋体" w:cs="宋体"/>
                <w:szCs w:val="21"/>
              </w:rPr>
              <w:t>大气环境</w:t>
            </w:r>
          </w:p>
        </w:tc>
        <w:tc>
          <w:tcPr>
            <w:tcW w:w="1755" w:type="dxa"/>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DA001</w:t>
            </w:r>
          </w:p>
        </w:tc>
        <w:tc>
          <w:tcPr>
            <w:tcW w:w="1755" w:type="dxa"/>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kern w:val="2"/>
                <w:sz w:val="24"/>
                <w:szCs w:val="24"/>
                <w:lang w:val="en-US" w:eastAsia="zh-CN" w:bidi="ar-SA"/>
              </w:rPr>
            </w:pPr>
            <w:r>
              <w:rPr>
                <w:rFonts w:hint="eastAsia"/>
                <w:sz w:val="24"/>
                <w:szCs w:val="24"/>
              </w:rPr>
              <w:t>颗粒物</w:t>
            </w:r>
            <w:r>
              <w:rPr>
                <w:rFonts w:hint="eastAsia"/>
                <w:sz w:val="24"/>
                <w:szCs w:val="24"/>
                <w:lang w:eastAsia="zh-CN"/>
              </w:rPr>
              <w:t>、</w:t>
            </w:r>
            <w:r>
              <w:rPr>
                <w:sz w:val="24"/>
                <w:szCs w:val="24"/>
              </w:rPr>
              <w:t>非甲烷总烃</w:t>
            </w:r>
          </w:p>
        </w:tc>
        <w:tc>
          <w:tcPr>
            <w:tcW w:w="1712" w:type="dxa"/>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kern w:val="2"/>
                <w:sz w:val="24"/>
                <w:szCs w:val="24"/>
                <w:lang w:val="en-US" w:eastAsia="zh-CN" w:bidi="ar-SA"/>
              </w:rPr>
            </w:pPr>
            <w:r>
              <w:rPr>
                <w:rFonts w:hint="eastAsia"/>
                <w:sz w:val="24"/>
                <w:szCs w:val="24"/>
              </w:rPr>
              <w:t>过滤棉＋</w:t>
            </w:r>
            <w:r>
              <w:rPr>
                <w:rFonts w:hint="eastAsia"/>
                <w:sz w:val="24"/>
                <w:szCs w:val="24"/>
                <w:lang w:eastAsia="zh-CN"/>
              </w:rPr>
              <w:t>二级</w:t>
            </w:r>
            <w:r>
              <w:rPr>
                <w:rFonts w:hint="eastAsia"/>
                <w:sz w:val="24"/>
                <w:szCs w:val="24"/>
              </w:rPr>
              <w:t>活性炭</w:t>
            </w:r>
            <w:r>
              <w:rPr>
                <w:sz w:val="24"/>
                <w:szCs w:val="24"/>
              </w:rPr>
              <w:t>+15m高2#排气筒排放</w:t>
            </w:r>
          </w:p>
        </w:tc>
        <w:tc>
          <w:tcPr>
            <w:tcW w:w="1830" w:type="dxa"/>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kern w:val="2"/>
                <w:sz w:val="24"/>
                <w:szCs w:val="24"/>
                <w:lang w:val="en-US" w:eastAsia="zh-CN" w:bidi="ar-SA"/>
              </w:rPr>
            </w:pPr>
            <w:r>
              <w:rPr>
                <w:rFonts w:hint="eastAsia"/>
                <w:sz w:val="24"/>
                <w:szCs w:val="24"/>
              </w:rPr>
              <w:t>《大气污染物综合排放标准》（GB16297-1996）</w:t>
            </w:r>
            <w:r>
              <w:rPr>
                <w:rFonts w:hint="eastAsia"/>
                <w:sz w:val="24"/>
                <w:szCs w:val="24"/>
                <w:lang w:eastAsia="zh-CN"/>
              </w:rPr>
              <w:t>、</w:t>
            </w:r>
            <w:r>
              <w:rPr>
                <w:sz w:val="24"/>
                <w:szCs w:val="24"/>
              </w:rPr>
              <w:t>《挥发性有机物无组织排放控制标准》（GB37822-2019）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zCs w:val="21"/>
              </w:rPr>
            </w:pPr>
          </w:p>
        </w:tc>
        <w:tc>
          <w:tcPr>
            <w:tcW w:w="1755" w:type="dxa"/>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DA002</w:t>
            </w:r>
          </w:p>
        </w:tc>
        <w:tc>
          <w:tcPr>
            <w:tcW w:w="1755" w:type="dxa"/>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kern w:val="2"/>
                <w:sz w:val="24"/>
                <w:szCs w:val="24"/>
                <w:lang w:val="en-US" w:eastAsia="zh-CN" w:bidi="ar-SA"/>
              </w:rPr>
            </w:pPr>
            <w:r>
              <w:rPr>
                <w:rFonts w:hint="eastAsia"/>
                <w:sz w:val="24"/>
                <w:szCs w:val="24"/>
              </w:rPr>
              <w:t>颗粒物</w:t>
            </w:r>
          </w:p>
        </w:tc>
        <w:tc>
          <w:tcPr>
            <w:tcW w:w="1712" w:type="dxa"/>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kern w:val="2"/>
                <w:sz w:val="24"/>
                <w:szCs w:val="24"/>
                <w:lang w:val="en-US" w:eastAsia="zh-CN" w:bidi="ar-SA"/>
              </w:rPr>
            </w:pPr>
            <w:r>
              <w:rPr>
                <w:rFonts w:hint="eastAsia"/>
                <w:sz w:val="24"/>
                <w:szCs w:val="24"/>
              </w:rPr>
              <w:t>袋式除尘器</w:t>
            </w:r>
            <w:r>
              <w:rPr>
                <w:sz w:val="24"/>
                <w:szCs w:val="24"/>
              </w:rPr>
              <w:t>+15m高</w:t>
            </w:r>
            <w:r>
              <w:rPr>
                <w:rFonts w:hint="eastAsia"/>
                <w:sz w:val="24"/>
                <w:szCs w:val="24"/>
              </w:rPr>
              <w:t>1</w:t>
            </w:r>
            <w:r>
              <w:rPr>
                <w:sz w:val="24"/>
                <w:szCs w:val="24"/>
              </w:rPr>
              <w:t>#排气筒排放</w:t>
            </w:r>
          </w:p>
        </w:tc>
        <w:tc>
          <w:tcPr>
            <w:tcW w:w="1830" w:type="dxa"/>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kern w:val="2"/>
                <w:sz w:val="24"/>
                <w:szCs w:val="24"/>
                <w:lang w:val="en-US" w:eastAsia="zh-CN" w:bidi="ar-SA"/>
              </w:rPr>
            </w:pPr>
            <w:r>
              <w:rPr>
                <w:rFonts w:hint="eastAsia"/>
                <w:sz w:val="24"/>
                <w:szCs w:val="24"/>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zCs w:val="21"/>
              </w:rPr>
            </w:pPr>
            <w:r>
              <w:rPr>
                <w:rFonts w:hint="eastAsia" w:ascii="宋体" w:hAnsi="宋体" w:cs="宋体"/>
                <w:szCs w:val="21"/>
              </w:rPr>
              <w:t>地表水环境</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污水总排口</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COD、SS、BOD</w:t>
            </w:r>
            <w:r>
              <w:rPr>
                <w:rFonts w:hint="default" w:ascii="Times New Roman" w:hAnsi="Times New Roman" w:cs="Times New Roman"/>
                <w:sz w:val="24"/>
                <w:szCs w:val="24"/>
                <w:vertAlign w:val="subscript"/>
                <w:lang w:val="en-US" w:eastAsia="zh-CN"/>
              </w:rPr>
              <w:t>5</w:t>
            </w:r>
            <w:r>
              <w:rPr>
                <w:rFonts w:hint="default" w:ascii="Times New Roman" w:hAnsi="Times New Roman" w:cs="Times New Roman"/>
                <w:sz w:val="24"/>
                <w:szCs w:val="24"/>
                <w:lang w:val="en-US" w:eastAsia="zh-CN"/>
              </w:rPr>
              <w:t>、NH</w:t>
            </w:r>
            <w:r>
              <w:rPr>
                <w:rFonts w:hint="default" w:ascii="Times New Roman" w:hAnsi="Times New Roman" w:cs="Times New Roman"/>
                <w:sz w:val="24"/>
                <w:szCs w:val="24"/>
                <w:vertAlign w:val="subscript"/>
                <w:lang w:val="en-US" w:eastAsia="zh-CN"/>
              </w:rPr>
              <w:t>3</w:t>
            </w:r>
            <w:r>
              <w:rPr>
                <w:rFonts w:hint="default" w:ascii="Times New Roman" w:hAnsi="Times New Roman" w:cs="Times New Roman"/>
                <w:sz w:val="24"/>
                <w:szCs w:val="24"/>
                <w:lang w:val="en-US" w:eastAsia="zh-CN"/>
              </w:rPr>
              <w:t>-N</w:t>
            </w:r>
          </w:p>
        </w:tc>
        <w:tc>
          <w:tcPr>
            <w:tcW w:w="1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sz w:val="24"/>
                <w:szCs w:val="24"/>
              </w:rPr>
            </w:pPr>
            <w:r>
              <w:rPr>
                <w:rFonts w:hint="eastAsia"/>
                <w:sz w:val="24"/>
                <w:szCs w:val="24"/>
              </w:rPr>
              <w:t>化粪池</w:t>
            </w:r>
          </w:p>
        </w:tc>
        <w:tc>
          <w:tcPr>
            <w:tcW w:w="1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sz w:val="24"/>
                <w:szCs w:val="24"/>
              </w:rPr>
            </w:pPr>
            <w:r>
              <w:rPr>
                <w:rFonts w:hint="eastAsia"/>
                <w:sz w:val="24"/>
                <w:szCs w:val="24"/>
              </w:rPr>
              <w:t>大庄镇</w:t>
            </w:r>
            <w:r>
              <w:rPr>
                <w:sz w:val="24"/>
                <w:szCs w:val="24"/>
              </w:rPr>
              <w:t>污水处理厂</w:t>
            </w:r>
            <w:r>
              <w:rPr>
                <w:rFonts w:hint="eastAsia"/>
                <w:sz w:val="24"/>
                <w:szCs w:val="24"/>
              </w:rPr>
              <w:t>接管限值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szCs w:val="21"/>
              </w:rPr>
            </w:pPr>
            <w:r>
              <w:rPr>
                <w:rFonts w:hint="eastAsia" w:ascii="宋体" w:hAnsi="宋体" w:cs="宋体"/>
                <w:szCs w:val="21"/>
              </w:rPr>
              <w:t>声环境</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sz w:val="24"/>
                <w:szCs w:val="24"/>
              </w:rPr>
            </w:pPr>
            <w:r>
              <w:rPr>
                <w:sz w:val="24"/>
                <w:szCs w:val="24"/>
              </w:rPr>
              <w:t>车间设备</w:t>
            </w:r>
          </w:p>
        </w:tc>
        <w:tc>
          <w:tcPr>
            <w:tcW w:w="1755" w:type="dxa"/>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kern w:val="2"/>
                <w:sz w:val="24"/>
                <w:szCs w:val="24"/>
                <w:lang w:val="en-US" w:eastAsia="zh-CN" w:bidi="ar-SA"/>
              </w:rPr>
            </w:pPr>
            <w:r>
              <w:rPr>
                <w:sz w:val="24"/>
                <w:szCs w:val="24"/>
              </w:rPr>
              <w:t>噪声</w:t>
            </w:r>
          </w:p>
        </w:tc>
        <w:tc>
          <w:tcPr>
            <w:tcW w:w="1712" w:type="dxa"/>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kern w:val="2"/>
                <w:sz w:val="24"/>
                <w:szCs w:val="24"/>
                <w:lang w:val="en-US" w:eastAsia="zh-CN" w:bidi="ar-SA"/>
              </w:rPr>
            </w:pPr>
            <w:r>
              <w:rPr>
                <w:sz w:val="24"/>
                <w:szCs w:val="24"/>
              </w:rPr>
              <w:t>减振</w:t>
            </w:r>
            <w:r>
              <w:rPr>
                <w:rFonts w:hint="eastAsia"/>
                <w:sz w:val="24"/>
                <w:szCs w:val="24"/>
              </w:rPr>
              <w:t>、</w:t>
            </w:r>
            <w:r>
              <w:rPr>
                <w:sz w:val="24"/>
                <w:szCs w:val="24"/>
              </w:rPr>
              <w:t>隔声</w:t>
            </w:r>
          </w:p>
        </w:tc>
        <w:tc>
          <w:tcPr>
            <w:tcW w:w="1830" w:type="dxa"/>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kern w:val="2"/>
                <w:sz w:val="24"/>
                <w:szCs w:val="24"/>
                <w:lang w:val="en-US" w:eastAsia="zh-CN" w:bidi="ar-SA"/>
              </w:rPr>
            </w:pPr>
            <w:r>
              <w:rPr>
                <w:sz w:val="24"/>
                <w:szCs w:val="24"/>
              </w:rPr>
              <w:t>《工业企业厂界环境噪声排放标准》（GB12348-2008）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szCs w:val="21"/>
              </w:rPr>
            </w:pPr>
            <w:r>
              <w:rPr>
                <w:rFonts w:hint="eastAsia" w:ascii="宋体" w:hAnsi="宋体" w:cs="宋体"/>
                <w:szCs w:val="21"/>
              </w:rPr>
              <w:t>电磁辐射</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szCs w:val="21"/>
              </w:rPr>
            </w:pPr>
            <w:r>
              <w:rPr>
                <w:rFonts w:hint="eastAsia" w:ascii="宋体" w:hAnsi="宋体" w:cs="宋体"/>
                <w:szCs w:val="21"/>
              </w:rPr>
              <w:t>固体废物</w:t>
            </w:r>
          </w:p>
        </w:tc>
        <w:tc>
          <w:tcPr>
            <w:tcW w:w="7052" w:type="dxa"/>
            <w:gridSpan w:val="4"/>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jc w:val="both"/>
              <w:textAlignment w:val="auto"/>
              <w:rPr>
                <w:rFonts w:hint="eastAsia" w:ascii="Times New Roman" w:hAnsi="Times New Roman" w:eastAsia="宋体" w:cs="Times New Roman"/>
                <w:kern w:val="2"/>
                <w:sz w:val="24"/>
                <w:szCs w:val="24"/>
                <w:lang w:val="en-US" w:eastAsia="zh-CN" w:bidi="ar-SA"/>
              </w:rPr>
            </w:pPr>
            <w:r>
              <w:rPr>
                <w:rFonts w:hint="eastAsia"/>
                <w:sz w:val="24"/>
                <w:szCs w:val="24"/>
              </w:rPr>
              <w:t>生活垃圾</w:t>
            </w:r>
            <w:r>
              <w:rPr>
                <w:rFonts w:hint="eastAsia"/>
                <w:spacing w:val="-2"/>
                <w:sz w:val="24"/>
                <w:szCs w:val="24"/>
              </w:rPr>
              <w:t>收集后由环卫清运；</w:t>
            </w:r>
            <w:r>
              <w:rPr>
                <w:rFonts w:hint="eastAsia"/>
                <w:sz w:val="24"/>
                <w:szCs w:val="24"/>
              </w:rPr>
              <w:t>含漆粉尘</w:t>
            </w:r>
            <w:r>
              <w:rPr>
                <w:rFonts w:hint="eastAsia"/>
                <w:sz w:val="24"/>
                <w:szCs w:val="24"/>
                <w:lang w:eastAsia="zh-CN"/>
              </w:rPr>
              <w:t>、</w:t>
            </w:r>
            <w:r>
              <w:rPr>
                <w:rFonts w:hint="eastAsia"/>
                <w:sz w:val="24"/>
                <w:szCs w:val="24"/>
              </w:rPr>
              <w:t>废漆桶</w:t>
            </w:r>
            <w:r>
              <w:rPr>
                <w:rFonts w:hint="eastAsia"/>
                <w:sz w:val="24"/>
                <w:szCs w:val="24"/>
                <w:lang w:eastAsia="zh-CN"/>
              </w:rPr>
              <w:t>、漆渣、废过滤棉、废活性炭、废润滑油、废</w:t>
            </w:r>
            <w:r>
              <w:rPr>
                <w:rFonts w:hint="eastAsia"/>
                <w:sz w:val="24"/>
                <w:szCs w:val="24"/>
                <w:lang w:val="en-US" w:eastAsia="zh-CN"/>
              </w:rPr>
              <w:t>灯管</w:t>
            </w:r>
            <w:r>
              <w:rPr>
                <w:rFonts w:hint="eastAsia"/>
                <w:sz w:val="24"/>
                <w:szCs w:val="24"/>
              </w:rPr>
              <w:t>委托有资质单位处置。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zCs w:val="21"/>
              </w:rPr>
            </w:pPr>
            <w:r>
              <w:rPr>
                <w:rFonts w:hint="eastAsia" w:ascii="宋体" w:hAnsi="宋体" w:cs="宋体"/>
                <w:szCs w:val="21"/>
              </w:rPr>
              <w:t>土壤及地下水</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zCs w:val="21"/>
              </w:rPr>
            </w:pPr>
            <w:r>
              <w:rPr>
                <w:rFonts w:hint="eastAsia" w:ascii="宋体" w:hAnsi="宋体" w:cs="宋体"/>
                <w:szCs w:val="21"/>
              </w:rPr>
              <w:t>污染防治措施</w:t>
            </w:r>
          </w:p>
        </w:tc>
        <w:tc>
          <w:tcPr>
            <w:tcW w:w="7052" w:type="dxa"/>
            <w:gridSpan w:val="4"/>
            <w:noWrap w:val="0"/>
            <w:vAlign w:val="center"/>
          </w:tcPr>
          <w:p>
            <w:pPr>
              <w:pStyle w:val="25"/>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Times New Roman" w:hAnsi="Times New Roman" w:eastAsia="宋体" w:cs="Times New Roman"/>
                <w:kern w:val="2"/>
                <w:sz w:val="24"/>
                <w:szCs w:val="24"/>
                <w:lang w:val="en-US" w:eastAsia="zh-CN" w:bidi="ar-SA"/>
              </w:rPr>
            </w:pPr>
            <w:r>
              <w:rPr>
                <w:rFonts w:hint="eastAsia"/>
                <w:sz w:val="24"/>
                <w:szCs w:val="24"/>
              </w:rPr>
              <w:t>危废间、</w:t>
            </w:r>
            <w:r>
              <w:rPr>
                <w:rFonts w:hint="eastAsia"/>
                <w:sz w:val="24"/>
                <w:szCs w:val="24"/>
                <w:lang w:eastAsia="zh-CN"/>
              </w:rPr>
              <w:t>原料</w:t>
            </w:r>
            <w:r>
              <w:rPr>
                <w:rFonts w:hint="eastAsia"/>
                <w:sz w:val="24"/>
                <w:szCs w:val="24"/>
              </w:rPr>
              <w:t>库采用重点防渗；</w:t>
            </w:r>
            <w:r>
              <w:rPr>
                <w:rFonts w:hint="eastAsia"/>
                <w:sz w:val="24"/>
                <w:szCs w:val="24"/>
                <w:lang w:eastAsia="zh-CN"/>
              </w:rPr>
              <w:t>打磨车间、喷漆车间</w:t>
            </w:r>
            <w:r>
              <w:rPr>
                <w:rFonts w:hint="eastAsia"/>
                <w:sz w:val="24"/>
                <w:szCs w:val="24"/>
              </w:rPr>
              <w:t>采用一般防渗措施</w:t>
            </w:r>
            <w:r>
              <w:rPr>
                <w:rFonts w:hint="eastAsia"/>
                <w:sz w:val="24"/>
                <w:szCs w:val="24"/>
                <w:lang w:eastAsia="zh-CN"/>
              </w:rPr>
              <w:t>；办公室简单防渗</w:t>
            </w: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zCs w:val="21"/>
              </w:rPr>
            </w:pPr>
            <w:r>
              <w:rPr>
                <w:rFonts w:hint="eastAsia" w:ascii="宋体" w:hAnsi="宋体" w:cs="宋体"/>
                <w:szCs w:val="21"/>
              </w:rPr>
              <w:t>生态保护措施</w:t>
            </w:r>
          </w:p>
        </w:tc>
        <w:tc>
          <w:tcPr>
            <w:tcW w:w="705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spacing w:val="-8"/>
                <w:szCs w:val="21"/>
              </w:rPr>
            </w:pPr>
            <w:r>
              <w:rPr>
                <w:rFonts w:hint="eastAsia" w:ascii="宋体" w:hAnsi="宋体" w:cs="宋体"/>
                <w:spacing w:val="-8"/>
                <w:szCs w:val="21"/>
              </w:rPr>
              <w:t>环境风险</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pacing w:val="-8"/>
                <w:szCs w:val="21"/>
              </w:rPr>
            </w:pPr>
            <w:r>
              <w:rPr>
                <w:rFonts w:hint="eastAsia" w:ascii="宋体" w:hAnsi="宋体" w:cs="宋体"/>
                <w:spacing w:val="-8"/>
                <w:szCs w:val="21"/>
              </w:rPr>
              <w:t>防范措施</w:t>
            </w:r>
          </w:p>
        </w:tc>
        <w:tc>
          <w:tcPr>
            <w:tcW w:w="7052" w:type="dxa"/>
            <w:gridSpan w:val="4"/>
            <w:noWrap w:val="0"/>
            <w:vAlign w:val="center"/>
          </w:tcPr>
          <w:p>
            <w:pPr>
              <w:bidi w:val="0"/>
            </w:pPr>
            <w:r>
              <w:t>a严格按照相关设计规范和要求落实防护设施，制定安全操作规章制度，加强安全意识教育，加强监督管理，消除事故隐患。</w:t>
            </w:r>
          </w:p>
          <w:p>
            <w:pPr>
              <w:bidi w:val="0"/>
            </w:pPr>
            <w:r>
              <w:t>b尽量减少</w:t>
            </w:r>
            <w:r>
              <w:rPr>
                <w:rFonts w:hint="eastAsia"/>
              </w:rPr>
              <w:t>UV漆、</w:t>
            </w:r>
            <w:r>
              <w:rPr>
                <w:rFonts w:hint="eastAsia"/>
                <w:lang w:eastAsia="zh-CN"/>
              </w:rPr>
              <w:t>润滑油</w:t>
            </w:r>
            <w:r>
              <w:t>的储存量，加强流通，以降低事故发生的强度，减少事故排放源强。</w:t>
            </w:r>
          </w:p>
          <w:p>
            <w:pPr>
              <w:bidi w:val="0"/>
            </w:pPr>
            <w:r>
              <w:t>c车间及仓库房间必须通过消防、安全验收，配备专业技术人员负责管理，同时配备必要的个人防护用品。物质分类存放，禁忌混合存放。易燃物与毒害物应分隔储存，有不同的消防措施。</w:t>
            </w:r>
          </w:p>
          <w:p>
            <w:pPr>
              <w:bidi w:val="0"/>
              <w:rPr>
                <w:rFonts w:hint="eastAsia" w:ascii="宋体" w:hAnsi="宋体" w:cs="宋体"/>
                <w:szCs w:val="21"/>
              </w:rPr>
            </w:pPr>
            <w:r>
              <w:t>d加强作业时巡视检查。建立系统规范的评估、审批、作业、监护、救援</w:t>
            </w:r>
            <w:r>
              <w:rPr>
                <w:rFonts w:hint="eastAsia"/>
              </w:rPr>
              <w:t>。</w:t>
            </w:r>
            <w:r>
              <w:t>加强员工的环保安全意识，确保危险废物安全集中收集，严禁出现将危险废物混入生活垃圾或随意丢弃现象发生。确保危险废物集中存放于专用的危废暂存区，并交由资质的废物处置单位集中收运并安全处置。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spacing w:val="-8"/>
                <w:szCs w:val="21"/>
              </w:rPr>
            </w:pPr>
            <w:r>
              <w:rPr>
                <w:rFonts w:hint="eastAsia" w:ascii="宋体" w:hAnsi="宋体" w:cs="宋体"/>
                <w:spacing w:val="-8"/>
                <w:szCs w:val="21"/>
              </w:rPr>
              <w:t>其他环境</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spacing w:val="-8"/>
                <w:szCs w:val="21"/>
              </w:rPr>
            </w:pPr>
            <w:r>
              <w:rPr>
                <w:rFonts w:hint="eastAsia" w:ascii="宋体" w:hAnsi="宋体" w:cs="宋体"/>
                <w:spacing w:val="-8"/>
                <w:szCs w:val="21"/>
              </w:rPr>
              <w:t>管理要求</w:t>
            </w:r>
          </w:p>
        </w:tc>
        <w:tc>
          <w:tcPr>
            <w:tcW w:w="7052" w:type="dxa"/>
            <w:gridSpan w:val="4"/>
            <w:noWrap w:val="0"/>
            <w:vAlign w:val="center"/>
          </w:tcPr>
          <w:p>
            <w:pPr>
              <w:bidi w:val="0"/>
              <w:jc w:val="left"/>
              <w:rPr>
                <w:b/>
                <w:bCs/>
              </w:rPr>
            </w:pPr>
            <w:r>
              <w:rPr>
                <w:rFonts w:hint="eastAsia"/>
                <w:b/>
                <w:bCs/>
                <w:lang w:val="en-US" w:eastAsia="zh-CN"/>
              </w:rPr>
              <w:t>一</w:t>
            </w:r>
            <w:r>
              <w:rPr>
                <w:rFonts w:hint="eastAsia"/>
                <w:b/>
                <w:bCs/>
              </w:rPr>
              <w:t>、“三同时”环保竣工验收要求</w:t>
            </w:r>
          </w:p>
          <w:p>
            <w:pPr>
              <w:bidi w:val="0"/>
              <w:ind w:firstLine="480" w:firstLineChars="200"/>
              <w:jc w:val="left"/>
            </w:pPr>
            <w:r>
              <w:rPr>
                <w:rFonts w:hint="eastAsia"/>
              </w:rPr>
              <w:t>建设单位应在项目建设完成并进行试生产后，按照《建设项目竣工环境保护验收暂行办法》（2017年11月22日实施）中的相关规定，进行“三同时”环保竣工验收。《中华人民共和国环境保护法》明确指出，我国环境保护的任务是保证在社会主义现代化建设中，合理利用自然资源，防止环境污染和生态破坏，为人民创造清洁适宜的生活和劳动环境，保护人民健康，促进经济发展。</w:t>
            </w:r>
          </w:p>
          <w:p>
            <w:pPr>
              <w:bidi w:val="0"/>
              <w:jc w:val="left"/>
              <w:rPr>
                <w:b/>
                <w:bCs/>
              </w:rPr>
            </w:pPr>
            <w:r>
              <w:rPr>
                <w:rFonts w:hint="eastAsia"/>
                <w:b/>
                <w:bCs/>
                <w:lang w:val="en-US" w:eastAsia="zh-CN"/>
              </w:rPr>
              <w:t>二</w:t>
            </w:r>
            <w:r>
              <w:rPr>
                <w:rFonts w:hint="eastAsia"/>
                <w:b/>
                <w:bCs/>
              </w:rPr>
              <w:t>、排污许可管理要求</w:t>
            </w:r>
          </w:p>
          <w:p>
            <w:pPr>
              <w:bidi w:val="0"/>
              <w:ind w:firstLine="480" w:firstLineChars="200"/>
              <w:jc w:val="left"/>
              <w:rPr>
                <w:highlight w:val="none"/>
              </w:rPr>
            </w:pPr>
            <w:r>
              <w:rPr>
                <w:rFonts w:hint="eastAsia"/>
                <w:highlight w:val="none"/>
                <w:lang w:val="en-US" w:eastAsia="zh-CN"/>
              </w:rPr>
              <w:t>本项目属于人造板制造，根据</w:t>
            </w:r>
            <w:r>
              <w:rPr>
                <w:highlight w:val="none"/>
              </w:rPr>
              <w:t>《固定污染源排污许可分类管理名录（2019年版）》</w:t>
            </w:r>
            <w:r>
              <w:rPr>
                <w:rFonts w:hint="eastAsia"/>
                <w:highlight w:val="none"/>
                <w:lang w:val="en-US" w:eastAsia="zh-CN"/>
              </w:rPr>
              <w:t>本项目为登记管理。</w:t>
            </w:r>
            <w:r>
              <w:rPr>
                <w:rFonts w:hint="eastAsia"/>
                <w:highlight w:val="none"/>
              </w:rPr>
              <w:t>在项目建成投入试运营之前，按</w:t>
            </w:r>
            <w:r>
              <w:rPr>
                <w:highlight w:val="none"/>
              </w:rPr>
              <w:t>《</w:t>
            </w:r>
            <w:r>
              <w:rPr>
                <w:rFonts w:hint="eastAsia"/>
                <w:highlight w:val="none"/>
                <w:lang w:val="en-US" w:eastAsia="zh-CN"/>
              </w:rPr>
              <w:t>排污许可管理条例</w:t>
            </w:r>
            <w:r>
              <w:rPr>
                <w:highlight w:val="none"/>
              </w:rPr>
              <w:t>》（</w:t>
            </w:r>
            <w:r>
              <w:rPr>
                <w:rFonts w:hint="eastAsia"/>
                <w:highlight w:val="none"/>
                <w:lang w:val="en-US" w:eastAsia="zh-CN"/>
              </w:rPr>
              <w:t>中华人民共和国国务院令 第736号</w:t>
            </w:r>
            <w:r>
              <w:rPr>
                <w:highlight w:val="none"/>
              </w:rPr>
              <w:t>）要求</w:t>
            </w:r>
            <w:r>
              <w:rPr>
                <w:rFonts w:hint="eastAsia"/>
                <w:highlight w:val="none"/>
              </w:rPr>
              <w:t>，建设单位应在项目发生实际排污行为之前，在全国排污许可证管理信息平台申报</w:t>
            </w:r>
            <w:r>
              <w:rPr>
                <w:rFonts w:hint="eastAsia"/>
                <w:highlight w:val="none"/>
                <w:lang w:val="en-US" w:eastAsia="zh-CN"/>
              </w:rPr>
              <w:t>排污信息</w:t>
            </w:r>
            <w:r>
              <w:rPr>
                <w:rFonts w:hint="eastAsia"/>
                <w:highlight w:val="none"/>
              </w:rPr>
              <w:t>。</w:t>
            </w:r>
          </w:p>
          <w:p>
            <w:pPr>
              <w:bidi w:val="0"/>
              <w:jc w:val="left"/>
              <w:rPr>
                <w:b/>
                <w:bCs/>
              </w:rPr>
            </w:pPr>
            <w:r>
              <w:rPr>
                <w:rFonts w:hint="eastAsia"/>
                <w:b/>
                <w:bCs/>
                <w:lang w:val="en-US" w:eastAsia="zh-CN"/>
              </w:rPr>
              <w:t>三</w:t>
            </w:r>
            <w:r>
              <w:rPr>
                <w:rFonts w:hint="eastAsia"/>
                <w:b/>
                <w:bCs/>
              </w:rPr>
              <w:t>、排污口规范化设置</w:t>
            </w:r>
          </w:p>
          <w:p>
            <w:pPr>
              <w:bidi w:val="0"/>
              <w:ind w:firstLine="480" w:firstLineChars="200"/>
              <w:jc w:val="left"/>
            </w:pPr>
            <w:r>
              <w:rPr>
                <w:rFonts w:hint="eastAsia"/>
              </w:rPr>
              <w:t>根据国家标准《环境保护图形标准-排放口（源）》、原国家环保总局《排污口规范化整治技术要求（试行）》等技术要求，企业所有排放口，包括水、气、声和固体废物，必须按照“便于计量监测、便于日常现场监督检查”的原则和规范化要求，设置与之相适应的环境保护图形标志牌，绘制企业排污口分布图，同时对污水排放口安装流量计，对治理设施安装运行监控装置。</w:t>
            </w:r>
          </w:p>
          <w:p>
            <w:pPr>
              <w:bidi w:val="0"/>
              <w:ind w:firstLine="480" w:firstLineChars="200"/>
              <w:jc w:val="left"/>
            </w:pPr>
            <w:r>
              <w:rPr>
                <w:rFonts w:hint="eastAsia"/>
              </w:rPr>
              <w:t>排污口规范化整治技术要求：</w:t>
            </w:r>
          </w:p>
          <w:p>
            <w:pPr>
              <w:bidi w:val="0"/>
              <w:jc w:val="left"/>
            </w:pPr>
            <w:r>
              <w:rPr>
                <w:rFonts w:hint="eastAsia"/>
              </w:rPr>
              <w:t>（1）合理确定污水、废气排污口位置，并按《污染源监测技术规范》设采样点；</w:t>
            </w:r>
          </w:p>
          <w:p>
            <w:pPr>
              <w:bidi w:val="0"/>
              <w:jc w:val="left"/>
            </w:pPr>
            <w:r>
              <w:rPr>
                <w:rFonts w:hint="eastAsia"/>
              </w:rPr>
              <w:t>（2）对于污水排污口应设置规范的、便于测量流量、流速的测流段并安装测流装置；</w:t>
            </w:r>
          </w:p>
          <w:p>
            <w:pPr>
              <w:bidi w:val="0"/>
              <w:jc w:val="left"/>
            </w:pPr>
            <w:r>
              <w:rPr>
                <w:rFonts w:hint="eastAsia"/>
              </w:rPr>
              <w:t>（3）按照《环境保护图形标志》</w:t>
            </w:r>
            <w:r>
              <w:rPr>
                <w:rFonts w:hint="eastAsia"/>
                <w:lang w:eastAsia="zh-CN"/>
              </w:rPr>
              <w:t>（</w:t>
            </w:r>
            <w:r>
              <w:rPr>
                <w:rFonts w:hint="eastAsia"/>
              </w:rPr>
              <w:t>GB15562.1-19</w:t>
            </w:r>
            <w:r>
              <w:rPr>
                <w:rFonts w:hint="eastAsia"/>
                <w:lang w:val="en-US" w:eastAsia="zh-CN"/>
              </w:rPr>
              <w:t>9</w:t>
            </w:r>
            <w:r>
              <w:rPr>
                <w:rFonts w:hint="eastAsia"/>
              </w:rPr>
              <w:t>5</w:t>
            </w:r>
            <w:r>
              <w:rPr>
                <w:rFonts w:hint="eastAsia"/>
                <w:lang w:eastAsia="zh-CN"/>
              </w:rPr>
              <w:t>）</w:t>
            </w:r>
            <w:r>
              <w:rPr>
                <w:rFonts w:hint="eastAsia"/>
              </w:rPr>
              <w:t>及</w:t>
            </w:r>
            <w:r>
              <w:rPr>
                <w:rFonts w:hint="eastAsia"/>
                <w:lang w:eastAsia="zh-CN"/>
              </w:rPr>
              <w:t>（</w:t>
            </w:r>
            <w:r>
              <w:rPr>
                <w:rFonts w:hint="eastAsia"/>
              </w:rPr>
              <w:t>GB1556.2-1995</w:t>
            </w:r>
            <w:r>
              <w:rPr>
                <w:rFonts w:hint="eastAsia"/>
                <w:lang w:eastAsia="zh-CN"/>
              </w:rPr>
              <w:t>）</w:t>
            </w:r>
            <w:r>
              <w:rPr>
                <w:rFonts w:hint="eastAsia"/>
              </w:rPr>
              <w:t>的规定，规范化整治的排污口应设置相应的环境保护图形标志牌；</w:t>
            </w:r>
          </w:p>
          <w:p>
            <w:pPr>
              <w:bidi w:val="0"/>
              <w:jc w:val="left"/>
            </w:pPr>
            <w:r>
              <w:rPr>
                <w:rFonts w:hint="eastAsia"/>
              </w:rPr>
              <w:t>（4）按要求填写由国家环保部统一印制的《中华人民共和国规范化排污口标志登记证》并根据登记证的内容建立排污口管理档案；</w:t>
            </w:r>
          </w:p>
          <w:p>
            <w:pPr>
              <w:bidi w:val="0"/>
              <w:jc w:val="left"/>
            </w:pPr>
            <w:r>
              <w:rPr>
                <w:rFonts w:hint="eastAsia"/>
              </w:rPr>
              <w:t>（5）规范化整治排污口的有关设备属环境保护设施，应将其纳入本单位设备管理，并选派责任心强，有专业知识和技能的专兼职人员对排污口进行管理。</w:t>
            </w:r>
          </w:p>
          <w:p>
            <w:pPr>
              <w:bidi w:val="0"/>
              <w:jc w:val="left"/>
            </w:pPr>
            <w:r>
              <w:t>在厂区的废气排放源、废水排放源、固体废物贮存处置场应设置环境保护图形标志，图形符号分为提示图形和警告图形符号两种，分别按GB15562.1-1995、GB15562.2-1995执行。环境保护图形标志的形状及颜色见表</w:t>
            </w:r>
            <w:r>
              <w:rPr>
                <w:rFonts w:hint="eastAsia"/>
              </w:rPr>
              <w:t>5</w:t>
            </w:r>
            <w:r>
              <w:t>-1，环境保护图形符号见表</w:t>
            </w:r>
            <w:r>
              <w:rPr>
                <w:rFonts w:hint="eastAsia"/>
              </w:rPr>
              <w:t>5</w:t>
            </w:r>
            <w:r>
              <w:t>-2。</w:t>
            </w:r>
          </w:p>
          <w:p>
            <w:pPr>
              <w:pStyle w:val="24"/>
              <w:bidi w:val="0"/>
            </w:pPr>
            <w:r>
              <w:t>表</w:t>
            </w:r>
            <w:r>
              <w:rPr>
                <w:rFonts w:hint="eastAsia"/>
              </w:rPr>
              <w:t>5</w:t>
            </w:r>
            <w:r>
              <w:t>-1</w:t>
            </w:r>
            <w:r>
              <w:rPr>
                <w:rFonts w:hint="eastAsia"/>
              </w:rPr>
              <w:t xml:space="preserve"> </w:t>
            </w:r>
            <w:r>
              <w:t>环境保护图形标志的形状及颜色表</w:t>
            </w:r>
          </w:p>
          <w:tbl>
            <w:tblPr>
              <w:tblStyle w:val="2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63"/>
              <w:gridCol w:w="1411"/>
              <w:gridCol w:w="1678"/>
              <w:gridCol w:w="18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64" w:type="dxa"/>
                  <w:vAlign w:val="center"/>
                </w:tcPr>
                <w:p>
                  <w:pPr>
                    <w:pStyle w:val="25"/>
                    <w:bidi w:val="0"/>
                  </w:pPr>
                  <w:r>
                    <w:t>标志名称</w:t>
                  </w:r>
                </w:p>
              </w:tc>
              <w:tc>
                <w:tcPr>
                  <w:tcW w:w="1412" w:type="dxa"/>
                  <w:vAlign w:val="center"/>
                </w:tcPr>
                <w:p>
                  <w:pPr>
                    <w:pStyle w:val="25"/>
                    <w:bidi w:val="0"/>
                  </w:pPr>
                  <w:r>
                    <w:t>形状</w:t>
                  </w:r>
                </w:p>
              </w:tc>
              <w:tc>
                <w:tcPr>
                  <w:tcW w:w="1679" w:type="dxa"/>
                  <w:vAlign w:val="center"/>
                </w:tcPr>
                <w:p>
                  <w:pPr>
                    <w:pStyle w:val="25"/>
                    <w:bidi w:val="0"/>
                  </w:pPr>
                  <w:r>
                    <w:t>背景颜色</w:t>
                  </w:r>
                </w:p>
              </w:tc>
              <w:tc>
                <w:tcPr>
                  <w:tcW w:w="1865" w:type="dxa"/>
                  <w:vAlign w:val="center"/>
                </w:tcPr>
                <w:p>
                  <w:pPr>
                    <w:pStyle w:val="25"/>
                    <w:bidi w:val="0"/>
                  </w:pPr>
                  <w:r>
                    <w:t>图形颜色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64" w:type="dxa"/>
                  <w:vAlign w:val="center"/>
                </w:tcPr>
                <w:p>
                  <w:pPr>
                    <w:pStyle w:val="25"/>
                    <w:bidi w:val="0"/>
                  </w:pPr>
                  <w:r>
                    <w:t>警告标志</w:t>
                  </w:r>
                </w:p>
              </w:tc>
              <w:tc>
                <w:tcPr>
                  <w:tcW w:w="1412" w:type="dxa"/>
                  <w:vAlign w:val="center"/>
                </w:tcPr>
                <w:p>
                  <w:pPr>
                    <w:pStyle w:val="25"/>
                    <w:bidi w:val="0"/>
                  </w:pPr>
                  <w:r>
                    <w:t>三角形边框</w:t>
                  </w:r>
                </w:p>
              </w:tc>
              <w:tc>
                <w:tcPr>
                  <w:tcW w:w="1679" w:type="dxa"/>
                  <w:vAlign w:val="center"/>
                </w:tcPr>
                <w:p>
                  <w:pPr>
                    <w:pStyle w:val="25"/>
                    <w:bidi w:val="0"/>
                  </w:pPr>
                  <w:r>
                    <w:t>黄色</w:t>
                  </w:r>
                </w:p>
              </w:tc>
              <w:tc>
                <w:tcPr>
                  <w:tcW w:w="1865" w:type="dxa"/>
                  <w:vAlign w:val="center"/>
                </w:tcPr>
                <w:p>
                  <w:pPr>
                    <w:pStyle w:val="25"/>
                    <w:bidi w:val="0"/>
                  </w:pPr>
                  <w:r>
                    <w:t>黑色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64" w:type="dxa"/>
                  <w:vAlign w:val="center"/>
                </w:tcPr>
                <w:p>
                  <w:pPr>
                    <w:pStyle w:val="25"/>
                    <w:bidi w:val="0"/>
                  </w:pPr>
                  <w:r>
                    <w:t>提示标志</w:t>
                  </w:r>
                </w:p>
              </w:tc>
              <w:tc>
                <w:tcPr>
                  <w:tcW w:w="1412" w:type="dxa"/>
                  <w:vAlign w:val="center"/>
                </w:tcPr>
                <w:p>
                  <w:pPr>
                    <w:pStyle w:val="25"/>
                    <w:bidi w:val="0"/>
                  </w:pPr>
                  <w:r>
                    <w:t>正方形边框</w:t>
                  </w:r>
                </w:p>
              </w:tc>
              <w:tc>
                <w:tcPr>
                  <w:tcW w:w="1679" w:type="dxa"/>
                  <w:vAlign w:val="center"/>
                </w:tcPr>
                <w:p>
                  <w:pPr>
                    <w:pStyle w:val="25"/>
                    <w:bidi w:val="0"/>
                  </w:pPr>
                  <w:r>
                    <w:t>绿色</w:t>
                  </w:r>
                </w:p>
              </w:tc>
              <w:tc>
                <w:tcPr>
                  <w:tcW w:w="1865" w:type="dxa"/>
                  <w:vAlign w:val="center"/>
                </w:tcPr>
                <w:p>
                  <w:pPr>
                    <w:pStyle w:val="25"/>
                    <w:bidi w:val="0"/>
                  </w:pPr>
                  <w:r>
                    <w:t>白色</w:t>
                  </w:r>
                </w:p>
              </w:tc>
            </w:tr>
          </w:tbl>
          <w:p>
            <w:pPr>
              <w:bidi w:val="0"/>
              <w:jc w:val="left"/>
            </w:pPr>
          </w:p>
          <w:p>
            <w:pPr>
              <w:pStyle w:val="24"/>
              <w:bidi w:val="0"/>
            </w:pPr>
            <w:r>
              <w:t>表</w:t>
            </w:r>
            <w:r>
              <w:rPr>
                <w:rFonts w:hint="eastAsia"/>
              </w:rPr>
              <w:t>5</w:t>
            </w:r>
            <w:r>
              <w:t>-2</w:t>
            </w:r>
            <w:r>
              <w:rPr>
                <w:rFonts w:hint="eastAsia"/>
              </w:rPr>
              <w:t xml:space="preserve"> </w:t>
            </w:r>
            <w:r>
              <w:t>环境保护图形符号一览表</w:t>
            </w:r>
          </w:p>
          <w:tbl>
            <w:tblPr>
              <w:tblStyle w:val="20"/>
              <w:tblW w:w="67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5"/>
              <w:gridCol w:w="1425"/>
              <w:gridCol w:w="1365"/>
              <w:gridCol w:w="985"/>
              <w:gridCol w:w="24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595" w:type="dxa"/>
                  <w:vAlign w:val="center"/>
                </w:tcPr>
                <w:p>
                  <w:pPr>
                    <w:pStyle w:val="25"/>
                    <w:bidi w:val="0"/>
                  </w:pPr>
                  <w:r>
                    <w:t>序号</w:t>
                  </w:r>
                </w:p>
              </w:tc>
              <w:tc>
                <w:tcPr>
                  <w:tcW w:w="1425" w:type="dxa"/>
                  <w:vAlign w:val="center"/>
                </w:tcPr>
                <w:p>
                  <w:pPr>
                    <w:pStyle w:val="25"/>
                    <w:bidi w:val="0"/>
                  </w:pPr>
                  <w:r>
                    <w:t>提示图形符号</w:t>
                  </w:r>
                </w:p>
              </w:tc>
              <w:tc>
                <w:tcPr>
                  <w:tcW w:w="1365" w:type="dxa"/>
                  <w:vAlign w:val="center"/>
                </w:tcPr>
                <w:p>
                  <w:pPr>
                    <w:pStyle w:val="25"/>
                    <w:bidi w:val="0"/>
                  </w:pPr>
                  <w:r>
                    <w:t>警告图形符号</w:t>
                  </w:r>
                </w:p>
              </w:tc>
              <w:tc>
                <w:tcPr>
                  <w:tcW w:w="985" w:type="dxa"/>
                  <w:vAlign w:val="center"/>
                </w:tcPr>
                <w:p>
                  <w:pPr>
                    <w:pStyle w:val="25"/>
                    <w:bidi w:val="0"/>
                  </w:pPr>
                  <w:r>
                    <w:t>名称</w:t>
                  </w:r>
                </w:p>
              </w:tc>
              <w:tc>
                <w:tcPr>
                  <w:tcW w:w="2428" w:type="dxa"/>
                  <w:vAlign w:val="center"/>
                </w:tcPr>
                <w:p>
                  <w:pPr>
                    <w:pStyle w:val="25"/>
                    <w:bidi w:val="0"/>
                  </w:pPr>
                  <w:r>
                    <w:t>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595" w:type="dxa"/>
                  <w:vAlign w:val="center"/>
                </w:tcPr>
                <w:p>
                  <w:pPr>
                    <w:pStyle w:val="25"/>
                    <w:bidi w:val="0"/>
                    <w:rPr>
                      <w:rFonts w:hint="eastAsia"/>
                      <w:lang w:eastAsia="zh-CN"/>
                    </w:rPr>
                  </w:pPr>
                  <w:r>
                    <w:rPr>
                      <w:rFonts w:hint="eastAsia"/>
                      <w:lang w:val="en-US" w:eastAsia="zh-CN"/>
                    </w:rPr>
                    <w:t>1</w:t>
                  </w:r>
                </w:p>
              </w:tc>
              <w:tc>
                <w:tcPr>
                  <w:tcW w:w="1425" w:type="dxa"/>
                  <w:vAlign w:val="center"/>
                </w:tcPr>
                <w:p>
                  <w:pPr>
                    <w:pStyle w:val="25"/>
                    <w:bidi w:val="0"/>
                  </w:pPr>
                  <w:r>
                    <w:drawing>
                      <wp:inline distT="0" distB="0" distL="114300" distR="114300">
                        <wp:extent cx="683260" cy="694055"/>
                        <wp:effectExtent l="0" t="0" r="2540" b="10795"/>
                        <wp:docPr id="7" name="图片 11" descr="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说明: 13003"/>
                                <pic:cNvPicPr>
                                  <a:picLocks noChangeAspect="1"/>
                                </pic:cNvPicPr>
                              </pic:nvPicPr>
                              <pic:blipFill>
                                <a:blip r:embed="rId21"/>
                                <a:stretch>
                                  <a:fillRect/>
                                </a:stretch>
                              </pic:blipFill>
                              <pic:spPr>
                                <a:xfrm>
                                  <a:off x="0" y="0"/>
                                  <a:ext cx="683260" cy="694055"/>
                                </a:xfrm>
                                <a:prstGeom prst="rect">
                                  <a:avLst/>
                                </a:prstGeom>
                                <a:noFill/>
                                <a:ln>
                                  <a:noFill/>
                                </a:ln>
                              </pic:spPr>
                            </pic:pic>
                          </a:graphicData>
                        </a:graphic>
                      </wp:inline>
                    </w:drawing>
                  </w:r>
                </w:p>
              </w:tc>
              <w:tc>
                <w:tcPr>
                  <w:tcW w:w="1365" w:type="dxa"/>
                  <w:vAlign w:val="center"/>
                </w:tcPr>
                <w:p>
                  <w:pPr>
                    <w:pStyle w:val="25"/>
                    <w:bidi w:val="0"/>
                  </w:pPr>
                  <w:r>
                    <w:drawing>
                      <wp:inline distT="0" distB="0" distL="114300" distR="114300">
                        <wp:extent cx="723900" cy="723265"/>
                        <wp:effectExtent l="0" t="0" r="0" b="635"/>
                        <wp:docPr id="11" name="图片 12" descr="说明: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说明: 4"/>
                                <pic:cNvPicPr>
                                  <a:picLocks noChangeAspect="1"/>
                                </pic:cNvPicPr>
                              </pic:nvPicPr>
                              <pic:blipFill>
                                <a:blip r:embed="rId22"/>
                                <a:stretch>
                                  <a:fillRect/>
                                </a:stretch>
                              </pic:blipFill>
                              <pic:spPr>
                                <a:xfrm>
                                  <a:off x="0" y="0"/>
                                  <a:ext cx="723900" cy="723265"/>
                                </a:xfrm>
                                <a:prstGeom prst="rect">
                                  <a:avLst/>
                                </a:prstGeom>
                                <a:noFill/>
                                <a:ln>
                                  <a:noFill/>
                                </a:ln>
                              </pic:spPr>
                            </pic:pic>
                          </a:graphicData>
                        </a:graphic>
                      </wp:inline>
                    </w:drawing>
                  </w:r>
                </w:p>
              </w:tc>
              <w:tc>
                <w:tcPr>
                  <w:tcW w:w="985" w:type="dxa"/>
                  <w:vAlign w:val="center"/>
                </w:tcPr>
                <w:p>
                  <w:pPr>
                    <w:pStyle w:val="25"/>
                    <w:bidi w:val="0"/>
                  </w:pPr>
                  <w:r>
                    <w:t>废气排放口</w:t>
                  </w:r>
                </w:p>
              </w:tc>
              <w:tc>
                <w:tcPr>
                  <w:tcW w:w="2428" w:type="dxa"/>
                  <w:vAlign w:val="center"/>
                </w:tcPr>
                <w:p>
                  <w:pPr>
                    <w:pStyle w:val="25"/>
                    <w:bidi w:val="0"/>
                  </w:pPr>
                  <w:r>
                    <w:t>表示废气向大气环境排放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595" w:type="dxa"/>
                  <w:vAlign w:val="center"/>
                </w:tcPr>
                <w:p>
                  <w:pPr>
                    <w:pStyle w:val="25"/>
                    <w:bidi w:val="0"/>
                    <w:rPr>
                      <w:rFonts w:hint="eastAsia"/>
                      <w:lang w:val="en-US" w:eastAsia="zh-CN"/>
                    </w:rPr>
                  </w:pPr>
                  <w:r>
                    <w:rPr>
                      <w:rFonts w:hint="eastAsia"/>
                      <w:lang w:val="en-US" w:eastAsia="zh-CN"/>
                    </w:rPr>
                    <w:t>2</w:t>
                  </w:r>
                </w:p>
              </w:tc>
              <w:tc>
                <w:tcPr>
                  <w:tcW w:w="1425" w:type="dxa"/>
                  <w:vAlign w:val="center"/>
                </w:tcPr>
                <w:p>
                  <w:pPr>
                    <w:pStyle w:val="25"/>
                    <w:bidi w:val="0"/>
                  </w:pPr>
                  <w:r>
                    <w:rPr>
                      <w:rFonts w:hint="default"/>
                    </w:rPr>
                    <w:drawing>
                      <wp:inline distT="0" distB="0" distL="114300" distR="114300">
                        <wp:extent cx="685800" cy="696595"/>
                        <wp:effectExtent l="0" t="0" r="0" b="8255"/>
                        <wp:docPr id="17" name="图片 9" descr="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说明: 13001"/>
                                <pic:cNvPicPr>
                                  <a:picLocks noChangeAspect="1"/>
                                </pic:cNvPicPr>
                              </pic:nvPicPr>
                              <pic:blipFill>
                                <a:blip r:embed="rId23"/>
                                <a:stretch>
                                  <a:fillRect/>
                                </a:stretch>
                              </pic:blipFill>
                              <pic:spPr>
                                <a:xfrm>
                                  <a:off x="0" y="0"/>
                                  <a:ext cx="685800" cy="696595"/>
                                </a:xfrm>
                                <a:prstGeom prst="rect">
                                  <a:avLst/>
                                </a:prstGeom>
                                <a:noFill/>
                                <a:ln>
                                  <a:noFill/>
                                </a:ln>
                              </pic:spPr>
                            </pic:pic>
                          </a:graphicData>
                        </a:graphic>
                      </wp:inline>
                    </w:drawing>
                  </w:r>
                </w:p>
              </w:tc>
              <w:tc>
                <w:tcPr>
                  <w:tcW w:w="1365" w:type="dxa"/>
                  <w:vAlign w:val="center"/>
                </w:tcPr>
                <w:p>
                  <w:pPr>
                    <w:pStyle w:val="25"/>
                    <w:bidi w:val="0"/>
                  </w:pPr>
                  <w:r>
                    <w:rPr>
                      <w:rFonts w:hint="default"/>
                    </w:rPr>
                    <w:drawing>
                      <wp:inline distT="0" distB="0" distL="114300" distR="114300">
                        <wp:extent cx="675640" cy="683260"/>
                        <wp:effectExtent l="0" t="0" r="10160" b="2540"/>
                        <wp:docPr id="18" name="图片 18" descr="说明: 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说明: 13002"/>
                                <pic:cNvPicPr>
                                  <a:picLocks noChangeAspect="1"/>
                                </pic:cNvPicPr>
                              </pic:nvPicPr>
                              <pic:blipFill>
                                <a:blip r:embed="rId24"/>
                                <a:stretch>
                                  <a:fillRect/>
                                </a:stretch>
                              </pic:blipFill>
                              <pic:spPr>
                                <a:xfrm>
                                  <a:off x="0" y="0"/>
                                  <a:ext cx="675640" cy="683260"/>
                                </a:xfrm>
                                <a:prstGeom prst="rect">
                                  <a:avLst/>
                                </a:prstGeom>
                                <a:noFill/>
                                <a:ln>
                                  <a:noFill/>
                                </a:ln>
                              </pic:spPr>
                            </pic:pic>
                          </a:graphicData>
                        </a:graphic>
                      </wp:inline>
                    </w:drawing>
                  </w:r>
                </w:p>
              </w:tc>
              <w:tc>
                <w:tcPr>
                  <w:tcW w:w="985" w:type="dxa"/>
                  <w:vAlign w:val="center"/>
                </w:tcPr>
                <w:p>
                  <w:pPr>
                    <w:pStyle w:val="25"/>
                    <w:bidi w:val="0"/>
                  </w:pPr>
                  <w:r>
                    <w:rPr>
                      <w:rFonts w:hint="default"/>
                    </w:rPr>
                    <w:t>废水排放口</w:t>
                  </w:r>
                </w:p>
              </w:tc>
              <w:tc>
                <w:tcPr>
                  <w:tcW w:w="2428" w:type="dxa"/>
                  <w:vAlign w:val="center"/>
                </w:tcPr>
                <w:p>
                  <w:pPr>
                    <w:pStyle w:val="25"/>
                    <w:bidi w:val="0"/>
                  </w:pPr>
                  <w:r>
                    <w:rPr>
                      <w:rFonts w:hint="default"/>
                    </w:rPr>
                    <w:t>表示污水向水体排放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595" w:type="dxa"/>
                  <w:vAlign w:val="center"/>
                </w:tcPr>
                <w:p>
                  <w:pPr>
                    <w:pStyle w:val="25"/>
                    <w:bidi w:val="0"/>
                    <w:rPr>
                      <w:rFonts w:hint="eastAsia"/>
                      <w:lang w:eastAsia="zh-CN"/>
                    </w:rPr>
                  </w:pPr>
                  <w:r>
                    <w:rPr>
                      <w:rFonts w:hint="eastAsia"/>
                      <w:lang w:val="en-US" w:eastAsia="zh-CN"/>
                    </w:rPr>
                    <w:t>3</w:t>
                  </w:r>
                </w:p>
              </w:tc>
              <w:tc>
                <w:tcPr>
                  <w:tcW w:w="1425" w:type="dxa"/>
                  <w:vAlign w:val="center"/>
                </w:tcPr>
                <w:p>
                  <w:pPr>
                    <w:pStyle w:val="25"/>
                    <w:bidi w:val="0"/>
                  </w:pPr>
                  <w:r>
                    <w:drawing>
                      <wp:inline distT="0" distB="0" distL="114300" distR="114300">
                        <wp:extent cx="684530" cy="692785"/>
                        <wp:effectExtent l="0" t="0" r="1270" b="12065"/>
                        <wp:docPr id="3" name="图片 13" descr="说明: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说明: 14001"/>
                                <pic:cNvPicPr>
                                  <a:picLocks noChangeAspect="1"/>
                                </pic:cNvPicPr>
                              </pic:nvPicPr>
                              <pic:blipFill>
                                <a:blip r:embed="rId25"/>
                                <a:stretch>
                                  <a:fillRect/>
                                </a:stretch>
                              </pic:blipFill>
                              <pic:spPr>
                                <a:xfrm>
                                  <a:off x="0" y="0"/>
                                  <a:ext cx="684530" cy="692785"/>
                                </a:xfrm>
                                <a:prstGeom prst="rect">
                                  <a:avLst/>
                                </a:prstGeom>
                                <a:noFill/>
                                <a:ln>
                                  <a:noFill/>
                                </a:ln>
                              </pic:spPr>
                            </pic:pic>
                          </a:graphicData>
                        </a:graphic>
                      </wp:inline>
                    </w:drawing>
                  </w:r>
                </w:p>
              </w:tc>
              <w:tc>
                <w:tcPr>
                  <w:tcW w:w="1365" w:type="dxa"/>
                  <w:vAlign w:val="center"/>
                </w:tcPr>
                <w:p>
                  <w:pPr>
                    <w:pStyle w:val="25"/>
                    <w:bidi w:val="0"/>
                  </w:pPr>
                  <w:r>
                    <w:drawing>
                      <wp:inline distT="0" distB="0" distL="114300" distR="114300">
                        <wp:extent cx="695325" cy="652780"/>
                        <wp:effectExtent l="0" t="0" r="9525" b="13970"/>
                        <wp:docPr id="12" name="图片 14" descr="说明: 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说明: 14002"/>
                                <pic:cNvPicPr>
                                  <a:picLocks noChangeAspect="1"/>
                                </pic:cNvPicPr>
                              </pic:nvPicPr>
                              <pic:blipFill>
                                <a:blip r:embed="rId26"/>
                                <a:stretch>
                                  <a:fillRect/>
                                </a:stretch>
                              </pic:blipFill>
                              <pic:spPr>
                                <a:xfrm>
                                  <a:off x="0" y="0"/>
                                  <a:ext cx="695325" cy="652780"/>
                                </a:xfrm>
                                <a:prstGeom prst="rect">
                                  <a:avLst/>
                                </a:prstGeom>
                                <a:noFill/>
                                <a:ln>
                                  <a:noFill/>
                                </a:ln>
                              </pic:spPr>
                            </pic:pic>
                          </a:graphicData>
                        </a:graphic>
                      </wp:inline>
                    </w:drawing>
                  </w:r>
                </w:p>
              </w:tc>
              <w:tc>
                <w:tcPr>
                  <w:tcW w:w="985" w:type="dxa"/>
                  <w:vAlign w:val="center"/>
                </w:tcPr>
                <w:p>
                  <w:pPr>
                    <w:pStyle w:val="25"/>
                    <w:bidi w:val="0"/>
                  </w:pPr>
                  <w:r>
                    <w:t>一般固体废物</w:t>
                  </w:r>
                </w:p>
              </w:tc>
              <w:tc>
                <w:tcPr>
                  <w:tcW w:w="2428" w:type="dxa"/>
                  <w:vAlign w:val="center"/>
                </w:tcPr>
                <w:p>
                  <w:pPr>
                    <w:pStyle w:val="25"/>
                    <w:bidi w:val="0"/>
                  </w:pPr>
                  <w:r>
                    <w:t>表示一般固体废物贮存、处置场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595" w:type="dxa"/>
                  <w:vAlign w:val="center"/>
                </w:tcPr>
                <w:p>
                  <w:pPr>
                    <w:pStyle w:val="25"/>
                    <w:bidi w:val="0"/>
                    <w:rPr>
                      <w:rFonts w:hint="eastAsia"/>
                      <w:lang w:eastAsia="zh-CN"/>
                    </w:rPr>
                  </w:pPr>
                  <w:r>
                    <w:rPr>
                      <w:rFonts w:hint="eastAsia"/>
                      <w:lang w:val="en-US" w:eastAsia="zh-CN"/>
                    </w:rPr>
                    <w:t>4</w:t>
                  </w:r>
                </w:p>
              </w:tc>
              <w:tc>
                <w:tcPr>
                  <w:tcW w:w="1425" w:type="dxa"/>
                  <w:vAlign w:val="center"/>
                </w:tcPr>
                <w:p>
                  <w:pPr>
                    <w:pStyle w:val="25"/>
                    <w:bidi w:val="0"/>
                  </w:pPr>
                  <w:r>
                    <w:drawing>
                      <wp:inline distT="0" distB="0" distL="114300" distR="114300">
                        <wp:extent cx="685165" cy="685165"/>
                        <wp:effectExtent l="0" t="0" r="635" b="635"/>
                        <wp:docPr id="9" name="图片 15" descr="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说明: 200602201518049853"/>
                                <pic:cNvPicPr>
                                  <a:picLocks noChangeAspect="1"/>
                                </pic:cNvPicPr>
                              </pic:nvPicPr>
                              <pic:blipFill>
                                <a:blip r:embed="rId27"/>
                                <a:stretch>
                                  <a:fillRect/>
                                </a:stretch>
                              </pic:blipFill>
                              <pic:spPr>
                                <a:xfrm>
                                  <a:off x="0" y="0"/>
                                  <a:ext cx="685165" cy="685165"/>
                                </a:xfrm>
                                <a:prstGeom prst="rect">
                                  <a:avLst/>
                                </a:prstGeom>
                                <a:noFill/>
                                <a:ln>
                                  <a:noFill/>
                                </a:ln>
                              </pic:spPr>
                            </pic:pic>
                          </a:graphicData>
                        </a:graphic>
                      </wp:inline>
                    </w:drawing>
                  </w:r>
                </w:p>
              </w:tc>
              <w:tc>
                <w:tcPr>
                  <w:tcW w:w="1365" w:type="dxa"/>
                  <w:vAlign w:val="center"/>
                </w:tcPr>
                <w:p>
                  <w:pPr>
                    <w:pStyle w:val="25"/>
                    <w:bidi w:val="0"/>
                  </w:pPr>
                  <w:r>
                    <w:drawing>
                      <wp:inline distT="0" distB="0" distL="114300" distR="114300">
                        <wp:extent cx="756285" cy="671830"/>
                        <wp:effectExtent l="0" t="0" r="5715" b="13970"/>
                        <wp:docPr id="4" name="图片 16" descr="说明: 2006022015190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说明: 200602201519018631"/>
                                <pic:cNvPicPr>
                                  <a:picLocks noChangeAspect="1"/>
                                </pic:cNvPicPr>
                              </pic:nvPicPr>
                              <pic:blipFill>
                                <a:blip r:embed="rId28"/>
                                <a:stretch>
                                  <a:fillRect/>
                                </a:stretch>
                              </pic:blipFill>
                              <pic:spPr>
                                <a:xfrm>
                                  <a:off x="0" y="0"/>
                                  <a:ext cx="756285" cy="671830"/>
                                </a:xfrm>
                                <a:prstGeom prst="rect">
                                  <a:avLst/>
                                </a:prstGeom>
                                <a:noFill/>
                                <a:ln>
                                  <a:noFill/>
                                </a:ln>
                              </pic:spPr>
                            </pic:pic>
                          </a:graphicData>
                        </a:graphic>
                      </wp:inline>
                    </w:drawing>
                  </w:r>
                </w:p>
              </w:tc>
              <w:tc>
                <w:tcPr>
                  <w:tcW w:w="985" w:type="dxa"/>
                  <w:vAlign w:val="center"/>
                </w:tcPr>
                <w:p>
                  <w:pPr>
                    <w:pStyle w:val="25"/>
                    <w:bidi w:val="0"/>
                  </w:pPr>
                  <w:r>
                    <w:t>噪声排放源</w:t>
                  </w:r>
                </w:p>
              </w:tc>
              <w:tc>
                <w:tcPr>
                  <w:tcW w:w="2428" w:type="dxa"/>
                  <w:vAlign w:val="center"/>
                </w:tcPr>
                <w:p>
                  <w:pPr>
                    <w:pStyle w:val="25"/>
                    <w:bidi w:val="0"/>
                  </w:pPr>
                  <w:r>
                    <w:t>表示噪声向外环境排放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595" w:type="dxa"/>
                  <w:vAlign w:val="center"/>
                </w:tcPr>
                <w:p>
                  <w:pPr>
                    <w:pStyle w:val="25"/>
                    <w:bidi w:val="0"/>
                    <w:rPr>
                      <w:rFonts w:hint="eastAsia"/>
                      <w:lang w:eastAsia="zh-CN"/>
                    </w:rPr>
                  </w:pPr>
                  <w:r>
                    <w:rPr>
                      <w:rFonts w:hint="eastAsia"/>
                      <w:lang w:val="en-US" w:eastAsia="zh-CN"/>
                    </w:rPr>
                    <w:t>5</w:t>
                  </w:r>
                </w:p>
              </w:tc>
              <w:tc>
                <w:tcPr>
                  <w:tcW w:w="1425" w:type="dxa"/>
                  <w:vAlign w:val="center"/>
                </w:tcPr>
                <w:p>
                  <w:pPr>
                    <w:pStyle w:val="25"/>
                    <w:bidi w:val="0"/>
                  </w:pPr>
                </w:p>
              </w:tc>
              <w:tc>
                <w:tcPr>
                  <w:tcW w:w="1365" w:type="dxa"/>
                  <w:vAlign w:val="center"/>
                </w:tcPr>
                <w:p>
                  <w:pPr>
                    <w:pStyle w:val="25"/>
                    <w:bidi w:val="0"/>
                  </w:pPr>
                  <w:r>
                    <w:rPr>
                      <w:rFonts w:hint="eastAsia"/>
                      <w:lang w:eastAsia="zh-CN"/>
                    </w:rPr>
                    <w:drawing>
                      <wp:inline distT="0" distB="0" distL="114300" distR="114300">
                        <wp:extent cx="805180" cy="508635"/>
                        <wp:effectExtent l="0" t="0" r="13970" b="5715"/>
                        <wp:docPr id="2" name="图片 6" descr="c01345dc4f3e91ed57101505db7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01345dc4f3e91ed57101505db76913"/>
                                <pic:cNvPicPr>
                                  <a:picLocks noChangeAspect="1"/>
                                </pic:cNvPicPr>
                              </pic:nvPicPr>
                              <pic:blipFill>
                                <a:blip r:embed="rId29"/>
                                <a:stretch>
                                  <a:fillRect/>
                                </a:stretch>
                              </pic:blipFill>
                              <pic:spPr>
                                <a:xfrm>
                                  <a:off x="0" y="0"/>
                                  <a:ext cx="805180" cy="508635"/>
                                </a:xfrm>
                                <a:prstGeom prst="rect">
                                  <a:avLst/>
                                </a:prstGeom>
                                <a:noFill/>
                                <a:ln>
                                  <a:noFill/>
                                </a:ln>
                              </pic:spPr>
                            </pic:pic>
                          </a:graphicData>
                        </a:graphic>
                      </wp:inline>
                    </w:drawing>
                  </w:r>
                </w:p>
              </w:tc>
              <w:tc>
                <w:tcPr>
                  <w:tcW w:w="985" w:type="dxa"/>
                  <w:vAlign w:val="center"/>
                </w:tcPr>
                <w:p>
                  <w:pPr>
                    <w:pStyle w:val="25"/>
                    <w:bidi w:val="0"/>
                  </w:pPr>
                  <w:r>
                    <w:t>危险废物</w:t>
                  </w:r>
                </w:p>
              </w:tc>
              <w:tc>
                <w:tcPr>
                  <w:tcW w:w="2428" w:type="dxa"/>
                  <w:vAlign w:val="center"/>
                </w:tcPr>
                <w:p>
                  <w:pPr>
                    <w:pStyle w:val="25"/>
                    <w:bidi w:val="0"/>
                  </w:pPr>
                  <w:r>
                    <w:rPr>
                      <w:rFonts w:hint="eastAsia"/>
                    </w:rPr>
                    <w:t>表示危险废物贮存设施</w:t>
                  </w:r>
                </w:p>
              </w:tc>
            </w:tr>
          </w:tbl>
          <w:p>
            <w:pPr>
              <w:bidi w:val="0"/>
              <w:jc w:val="left"/>
            </w:pPr>
          </w:p>
          <w:p>
            <w:pPr>
              <w:bidi w:val="0"/>
              <w:jc w:val="left"/>
            </w:pPr>
          </w:p>
          <w:p>
            <w:pPr>
              <w:bidi w:val="0"/>
              <w:jc w:val="left"/>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sz w:val="21"/>
                <w:szCs w:val="21"/>
              </w:rPr>
            </w:pPr>
          </w:p>
        </w:tc>
      </w:tr>
    </w:tbl>
    <w:p>
      <w:pPr>
        <w:pStyle w:val="18"/>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szCs w:val="24"/>
                <w:lang w:eastAsia="zh-CN"/>
              </w:rPr>
              <w:t>本</w:t>
            </w:r>
            <w:r>
              <w:rPr>
                <w:rFonts w:hint="eastAsia" w:ascii="宋体" w:hAnsi="宋体" w:cs="宋体"/>
                <w:sz w:val="24"/>
                <w:szCs w:val="24"/>
              </w:rPr>
              <w:t>项目符合国家相关产业政策，其选址较为合理，总平布置是基本合理，并符合</w:t>
            </w:r>
            <w:r>
              <w:rPr>
                <w:rFonts w:hint="eastAsia" w:ascii="宋体" w:hAnsi="宋体" w:cs="宋体"/>
                <w:sz w:val="24"/>
                <w:szCs w:val="24"/>
                <w:lang w:eastAsia="zh-CN"/>
              </w:rPr>
              <w:t>“</w:t>
            </w:r>
            <w:r>
              <w:rPr>
                <w:rFonts w:hint="eastAsia" w:ascii="宋体" w:hAnsi="宋体" w:cs="宋体"/>
                <w:sz w:val="24"/>
                <w:szCs w:val="24"/>
              </w:rPr>
              <w:t>三线一单</w:t>
            </w:r>
            <w:r>
              <w:rPr>
                <w:rFonts w:hint="eastAsia" w:ascii="宋体" w:hAnsi="宋体" w:cs="宋体"/>
                <w:sz w:val="24"/>
                <w:szCs w:val="24"/>
                <w:lang w:eastAsia="zh-CN"/>
              </w:rPr>
              <w:t>”</w:t>
            </w:r>
            <w:r>
              <w:rPr>
                <w:rFonts w:hint="eastAsia" w:ascii="宋体" w:hAnsi="宋体" w:cs="宋体"/>
                <w:sz w:val="24"/>
                <w:szCs w:val="24"/>
              </w:rPr>
              <w:t>控制要求。通过采取有效的污染防治措施，可实现污染物稳定达标排放，区域环境质量满足环境功能区划要求。因此，本评价认为，该项目的建设在采取本报告表中提出的一系列环保环保措施后，认真执行</w:t>
            </w:r>
            <w:r>
              <w:rPr>
                <w:rFonts w:hint="eastAsia" w:ascii="宋体" w:hAnsi="宋体" w:cs="宋体"/>
                <w:sz w:val="24"/>
                <w:szCs w:val="24"/>
                <w:lang w:eastAsia="zh-CN"/>
              </w:rPr>
              <w:t>“</w:t>
            </w:r>
            <w:r>
              <w:rPr>
                <w:rFonts w:hint="eastAsia" w:ascii="宋体" w:hAnsi="宋体" w:cs="宋体"/>
                <w:sz w:val="24"/>
                <w:szCs w:val="24"/>
              </w:rPr>
              <w:t>三同时</w:t>
            </w:r>
            <w:r>
              <w:rPr>
                <w:rFonts w:hint="eastAsia" w:ascii="宋体" w:hAnsi="宋体" w:cs="宋体"/>
                <w:sz w:val="24"/>
                <w:szCs w:val="24"/>
                <w:lang w:eastAsia="zh-CN"/>
              </w:rPr>
              <w:t>”</w:t>
            </w:r>
            <w:r>
              <w:rPr>
                <w:rFonts w:hint="eastAsia" w:ascii="宋体" w:hAnsi="宋体" w:cs="宋体"/>
                <w:sz w:val="24"/>
                <w:szCs w:val="24"/>
              </w:rPr>
              <w:t>制度，加强环境管理前提下，项目建设对环境的不利影响可得到控制和缓解。</w:t>
            </w:r>
            <w:r>
              <w:rPr>
                <w:rFonts w:hint="eastAsia" w:ascii="宋体" w:hAnsi="宋体" w:cs="宋体"/>
                <w:b/>
                <w:bCs/>
                <w:sz w:val="24"/>
                <w:szCs w:val="24"/>
              </w:rPr>
              <w:t>从环境影响评价的角度分析，拟建项目的建设是可行的。</w:t>
            </w:r>
          </w:p>
        </w:tc>
      </w:tr>
    </w:tbl>
    <w:p>
      <w:pPr>
        <w:rPr>
          <w:rFonts w:ascii="宋体"/>
        </w:rPr>
        <w:sectPr>
          <w:pgSz w:w="11905" w:h="16838"/>
          <w:pgMar w:top="1440" w:right="1417" w:bottom="1440" w:left="1417" w:header="851" w:footer="850" w:gutter="0"/>
          <w:pgNumType w:fmt="decimal"/>
          <w:cols w:space="0" w:num="1"/>
          <w:rtlGutter w:val="0"/>
          <w:docGrid w:type="lines" w:linePitch="312" w:charSpace="0"/>
        </w:sectPr>
      </w:pPr>
    </w:p>
    <w:p>
      <w:pPr>
        <w:pStyle w:val="18"/>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8"/>
        <w:adjustRightInd w:val="0"/>
        <w:snapToGrid w:val="0"/>
        <w:spacing w:before="0" w:beforeAutospacing="0" w:after="0" w:afterAutospacing="0" w:line="552" w:lineRule="auto"/>
        <w:jc w:val="center"/>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21"/>
        <w:gridCol w:w="10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right"/>
              <w:textAlignment w:val="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41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7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color w:val="000000"/>
                <w:spacing w:val="-6"/>
                <w:kern w:val="21"/>
                <w:szCs w:val="21"/>
              </w:rPr>
              <w:fldChar w:fldCharType="end"/>
            </w:r>
          </w:p>
        </w:tc>
        <w:tc>
          <w:tcPr>
            <w:tcW w:w="12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pPr>
              <w:keepNext w:val="0"/>
              <w:keepLines w:val="0"/>
              <w:pageBreakBefore w:val="0"/>
              <w:widowControl w:val="0"/>
              <w:kinsoku/>
              <w:wordWrap/>
              <w:overflowPunct/>
              <w:topLinePunct w:val="0"/>
              <w:autoSpaceDE/>
              <w:autoSpaceDN/>
              <w:bidi w:val="0"/>
              <w:adjustRightInd/>
              <w:snapToGrid/>
              <w:spacing w:beforeLines="0" w:afterLines="0"/>
              <w:ind w:left="0" w:leftChars="0" w:right="0" w:rightChars="0" w:firstLine="0" w:firstLineChars="0"/>
              <w:jc w:val="center"/>
              <w:textAlignment w:val="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color w:val="000000"/>
                <w:spacing w:val="-6"/>
                <w:kern w:val="21"/>
                <w:szCs w:val="21"/>
              </w:rPr>
              <w:fldChar w:fldCharType="end"/>
            </w:r>
          </w:p>
        </w:tc>
        <w:tc>
          <w:tcPr>
            <w:tcW w:w="155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color w:val="000000"/>
                <w:spacing w:val="-6"/>
                <w:kern w:val="21"/>
                <w:szCs w:val="21"/>
              </w:rPr>
              <w:fldChar w:fldCharType="end"/>
            </w:r>
          </w:p>
        </w:tc>
        <w:tc>
          <w:tcPr>
            <w:tcW w:w="176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color w:val="000000"/>
                <w:spacing w:val="-16"/>
                <w:kern w:val="21"/>
                <w:szCs w:val="21"/>
              </w:rPr>
              <w:fldChar w:fldCharType="end"/>
            </w:r>
          </w:p>
        </w:tc>
        <w:tc>
          <w:tcPr>
            <w:tcW w:w="172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color w:val="000000"/>
                <w:spacing w:val="-16"/>
                <w:kern w:val="21"/>
                <w:szCs w:val="21"/>
              </w:rPr>
              <w:fldChar w:fldCharType="end"/>
            </w:r>
          </w:p>
        </w:tc>
        <w:tc>
          <w:tcPr>
            <w:tcW w:w="106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VOCs</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0.171</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0.171</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+0.171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cs="宋体"/>
                <w:snapToGrid w:val="0"/>
                <w:color w:val="000000"/>
                <w:kern w:val="21"/>
                <w:szCs w:val="21"/>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eastAsia="宋体" w:cs="宋体"/>
                <w:snapToGrid w:val="0"/>
                <w:color w:val="000000"/>
                <w:kern w:val="21"/>
                <w:szCs w:val="21"/>
                <w:lang w:eastAsia="zh-CN"/>
              </w:rPr>
            </w:pPr>
            <w:r>
              <w:rPr>
                <w:rFonts w:hint="eastAsia" w:hAnsi="宋体" w:cs="宋体"/>
                <w:snapToGrid w:val="0"/>
                <w:color w:val="000000"/>
                <w:kern w:val="21"/>
                <w:szCs w:val="21"/>
                <w:lang w:eastAsia="zh-CN"/>
              </w:rPr>
              <w:t>颗粒物</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0.206</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0.206</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cs="宋体"/>
                <w:snapToGrid w:val="0"/>
                <w:color w:val="000000"/>
                <w:kern w:val="21"/>
                <w:szCs w:val="21"/>
              </w:rPr>
            </w:pPr>
            <w:r>
              <w:rPr>
                <w:rFonts w:hint="eastAsia" w:hAnsi="宋体" w:cs="宋体"/>
                <w:snapToGrid w:val="0"/>
                <w:color w:val="000000"/>
                <w:kern w:val="21"/>
                <w:szCs w:val="21"/>
              </w:rPr>
              <w:t>废水</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eastAsia="宋体" w:cs="宋体"/>
                <w:snapToGrid w:val="0"/>
                <w:color w:val="000000"/>
                <w:kern w:val="21"/>
                <w:szCs w:val="21"/>
                <w:lang w:eastAsia="zh-CN"/>
              </w:rPr>
            </w:pPr>
            <w:r>
              <w:rPr>
                <w:rFonts w:hint="eastAsia" w:hAnsi="宋体" w:cs="宋体"/>
                <w:snapToGrid w:val="0"/>
                <w:color w:val="000000"/>
                <w:kern w:val="21"/>
                <w:szCs w:val="21"/>
                <w:lang w:eastAsia="zh-CN"/>
              </w:rPr>
              <w:t>废水量</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144</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144</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cs="宋体"/>
                <w:snapToGrid w:val="0"/>
                <w:color w:val="000000"/>
                <w:kern w:val="21"/>
                <w:szCs w:val="21"/>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COD</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559" w:type="dxa"/>
            <w:noWrap w:val="0"/>
            <w:vAlign w:val="center"/>
          </w:tcPr>
          <w:p>
            <w:pPr>
              <w:pStyle w:val="25"/>
              <w:bidi w:val="0"/>
              <w:ind w:firstLine="0" w:firstLineChars="0"/>
              <w:rPr>
                <w:rFonts w:hint="default" w:ascii="Times New Roman" w:hAnsi="Times New Roman" w:eastAsia="宋体" w:cs="Times New Roman"/>
                <w:kern w:val="2"/>
                <w:sz w:val="24"/>
                <w:szCs w:val="24"/>
                <w:lang w:val="en-US" w:eastAsia="zh-CN" w:bidi="ar-SA"/>
              </w:rPr>
            </w:pPr>
            <w:r>
              <w:rPr>
                <w:rFonts w:hint="default"/>
                <w:sz w:val="24"/>
                <w:szCs w:val="24"/>
                <w:lang w:val="en-US" w:eastAsia="zh-CN"/>
              </w:rPr>
              <w:t>0.035</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noWrap w:val="0"/>
            <w:vAlign w:val="center"/>
          </w:tcPr>
          <w:p>
            <w:pPr>
              <w:pStyle w:val="25"/>
              <w:bidi w:val="0"/>
              <w:ind w:firstLine="0" w:firstLineChars="0"/>
              <w:rPr>
                <w:rFonts w:hAnsi="宋体" w:cs="宋体"/>
                <w:snapToGrid w:val="0"/>
                <w:color w:val="000000"/>
                <w:kern w:val="21"/>
                <w:szCs w:val="21"/>
              </w:rPr>
            </w:pPr>
            <w:r>
              <w:rPr>
                <w:rFonts w:hint="default"/>
                <w:sz w:val="24"/>
                <w:szCs w:val="24"/>
                <w:lang w:val="en-US" w:eastAsia="zh-CN"/>
              </w:rPr>
              <w:t>0.035</w:t>
            </w:r>
          </w:p>
        </w:tc>
        <w:tc>
          <w:tcPr>
            <w:tcW w:w="1064" w:type="dxa"/>
            <w:noWrap w:val="0"/>
            <w:vAlign w:val="center"/>
          </w:tcPr>
          <w:p>
            <w:pPr>
              <w:pStyle w:val="25"/>
              <w:bidi w:val="0"/>
              <w:ind w:firstLine="0" w:firstLineChars="0"/>
              <w:rPr>
                <w:rFonts w:hAnsi="宋体" w:cs="宋体"/>
                <w:snapToGrid w:val="0"/>
                <w:color w:val="000000"/>
                <w:kern w:val="21"/>
                <w:szCs w:val="21"/>
              </w:rPr>
            </w:pPr>
            <w:r>
              <w:rPr>
                <w:rFonts w:hint="eastAsia"/>
                <w:sz w:val="24"/>
                <w:szCs w:val="24"/>
                <w:lang w:val="en-US" w:eastAsia="zh-CN"/>
              </w:rPr>
              <w:t>+</w:t>
            </w:r>
            <w:r>
              <w:rPr>
                <w:rFonts w:hint="default"/>
                <w:sz w:val="24"/>
                <w:szCs w:val="24"/>
                <w:lang w:val="en-US" w:eastAsia="zh-CN"/>
              </w:rPr>
              <w:t>0.035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cs="宋体"/>
                <w:snapToGrid w:val="0"/>
                <w:color w:val="000000"/>
                <w:kern w:val="21"/>
                <w:szCs w:val="21"/>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BOD</w:t>
            </w:r>
            <w:r>
              <w:rPr>
                <w:rFonts w:hint="eastAsia" w:hAnsi="宋体" w:cs="宋体"/>
                <w:snapToGrid w:val="0"/>
                <w:color w:val="000000"/>
                <w:kern w:val="21"/>
                <w:szCs w:val="21"/>
                <w:vertAlign w:val="subscript"/>
                <w:lang w:val="en-US" w:eastAsia="zh-CN"/>
              </w:rPr>
              <w:t>5</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559" w:type="dxa"/>
            <w:noWrap w:val="0"/>
            <w:vAlign w:val="center"/>
          </w:tcPr>
          <w:p>
            <w:pPr>
              <w:pStyle w:val="25"/>
              <w:bidi w:val="0"/>
              <w:ind w:firstLine="0" w:firstLineChars="0"/>
              <w:rPr>
                <w:rFonts w:hint="default" w:ascii="Times New Roman" w:hAnsi="Times New Roman" w:eastAsia="宋体" w:cs="Times New Roman"/>
                <w:kern w:val="2"/>
                <w:sz w:val="24"/>
                <w:szCs w:val="24"/>
                <w:lang w:val="en-US" w:eastAsia="zh-CN" w:bidi="ar-SA"/>
              </w:rPr>
            </w:pPr>
            <w:r>
              <w:rPr>
                <w:rFonts w:hint="default"/>
                <w:sz w:val="24"/>
                <w:szCs w:val="24"/>
                <w:lang w:val="en-US" w:eastAsia="zh-CN"/>
              </w:rPr>
              <w:t>0.017</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noWrap w:val="0"/>
            <w:vAlign w:val="center"/>
          </w:tcPr>
          <w:p>
            <w:pPr>
              <w:pStyle w:val="25"/>
              <w:bidi w:val="0"/>
              <w:ind w:firstLine="0" w:firstLineChars="0"/>
              <w:rPr>
                <w:rFonts w:hAnsi="宋体" w:cs="宋体"/>
                <w:snapToGrid w:val="0"/>
                <w:color w:val="000000"/>
                <w:kern w:val="21"/>
                <w:szCs w:val="21"/>
              </w:rPr>
            </w:pPr>
            <w:r>
              <w:rPr>
                <w:rFonts w:hint="default"/>
                <w:sz w:val="24"/>
                <w:szCs w:val="24"/>
                <w:lang w:val="en-US" w:eastAsia="zh-CN"/>
              </w:rPr>
              <w:t>0.017</w:t>
            </w:r>
          </w:p>
        </w:tc>
        <w:tc>
          <w:tcPr>
            <w:tcW w:w="1064" w:type="dxa"/>
            <w:noWrap w:val="0"/>
            <w:vAlign w:val="center"/>
          </w:tcPr>
          <w:p>
            <w:pPr>
              <w:pStyle w:val="25"/>
              <w:bidi w:val="0"/>
              <w:ind w:firstLine="0" w:firstLineChars="0"/>
              <w:rPr>
                <w:rFonts w:hAnsi="宋体" w:cs="宋体"/>
                <w:snapToGrid w:val="0"/>
                <w:color w:val="000000"/>
                <w:kern w:val="21"/>
                <w:szCs w:val="21"/>
              </w:rPr>
            </w:pPr>
            <w:r>
              <w:rPr>
                <w:rFonts w:hint="eastAsia"/>
                <w:sz w:val="24"/>
                <w:szCs w:val="24"/>
                <w:lang w:val="en-US" w:eastAsia="zh-CN"/>
              </w:rPr>
              <w:t>+</w:t>
            </w:r>
            <w:r>
              <w:rPr>
                <w:rFonts w:hint="default"/>
                <w:sz w:val="24"/>
                <w:szCs w:val="24"/>
                <w:lang w:val="en-US" w:eastAsia="zh-CN"/>
              </w:rPr>
              <w:t>0.017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cs="宋体"/>
                <w:snapToGrid w:val="0"/>
                <w:color w:val="000000"/>
                <w:kern w:val="21"/>
                <w:szCs w:val="21"/>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SS</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559" w:type="dxa"/>
            <w:noWrap w:val="0"/>
            <w:vAlign w:val="center"/>
          </w:tcPr>
          <w:p>
            <w:pPr>
              <w:pStyle w:val="25"/>
              <w:bidi w:val="0"/>
              <w:ind w:firstLine="0" w:firstLineChars="0"/>
              <w:rPr>
                <w:rFonts w:hint="default" w:ascii="Times New Roman" w:hAnsi="Times New Roman" w:eastAsia="宋体" w:cs="Times New Roman"/>
                <w:kern w:val="2"/>
                <w:sz w:val="24"/>
                <w:szCs w:val="24"/>
                <w:lang w:val="en-US" w:eastAsia="zh-CN" w:bidi="ar-SA"/>
              </w:rPr>
            </w:pPr>
            <w:r>
              <w:rPr>
                <w:rFonts w:hint="default"/>
                <w:sz w:val="24"/>
                <w:szCs w:val="24"/>
                <w:lang w:val="en-US" w:eastAsia="zh-CN"/>
              </w:rPr>
              <w:t>0.023</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noWrap w:val="0"/>
            <w:vAlign w:val="center"/>
          </w:tcPr>
          <w:p>
            <w:pPr>
              <w:pStyle w:val="25"/>
              <w:bidi w:val="0"/>
              <w:ind w:firstLine="0" w:firstLineChars="0"/>
              <w:rPr>
                <w:rFonts w:hAnsi="宋体" w:cs="宋体"/>
                <w:snapToGrid w:val="0"/>
                <w:color w:val="000000"/>
                <w:kern w:val="21"/>
                <w:szCs w:val="21"/>
              </w:rPr>
            </w:pPr>
            <w:r>
              <w:rPr>
                <w:rFonts w:hint="default"/>
                <w:sz w:val="24"/>
                <w:szCs w:val="24"/>
                <w:lang w:val="en-US" w:eastAsia="zh-CN"/>
              </w:rPr>
              <w:t>0.023</w:t>
            </w:r>
          </w:p>
        </w:tc>
        <w:tc>
          <w:tcPr>
            <w:tcW w:w="1064" w:type="dxa"/>
            <w:noWrap w:val="0"/>
            <w:vAlign w:val="center"/>
          </w:tcPr>
          <w:p>
            <w:pPr>
              <w:pStyle w:val="25"/>
              <w:bidi w:val="0"/>
              <w:ind w:firstLine="0" w:firstLineChars="0"/>
              <w:rPr>
                <w:rFonts w:hAnsi="宋体" w:cs="宋体"/>
                <w:snapToGrid w:val="0"/>
                <w:color w:val="000000"/>
                <w:kern w:val="21"/>
                <w:szCs w:val="21"/>
              </w:rPr>
            </w:pPr>
            <w:r>
              <w:rPr>
                <w:rFonts w:hint="eastAsia"/>
                <w:sz w:val="24"/>
                <w:szCs w:val="24"/>
                <w:lang w:val="en-US" w:eastAsia="zh-CN"/>
              </w:rPr>
              <w:t>+</w:t>
            </w:r>
            <w:r>
              <w:rPr>
                <w:rFonts w:hint="default"/>
                <w:sz w:val="24"/>
                <w:szCs w:val="24"/>
                <w:lang w:val="en-US" w:eastAsia="zh-CN"/>
              </w:rPr>
              <w:t>0.023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cs="宋体"/>
                <w:snapToGrid w:val="0"/>
                <w:color w:val="000000"/>
                <w:kern w:val="21"/>
                <w:szCs w:val="21"/>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NH</w:t>
            </w:r>
            <w:r>
              <w:rPr>
                <w:rFonts w:hint="eastAsia" w:hAnsi="宋体" w:cs="宋体"/>
                <w:snapToGrid w:val="0"/>
                <w:color w:val="000000"/>
                <w:kern w:val="21"/>
                <w:szCs w:val="21"/>
                <w:vertAlign w:val="subscript"/>
                <w:lang w:val="en-US" w:eastAsia="zh-CN"/>
              </w:rPr>
              <w:t>3</w:t>
            </w:r>
            <w:r>
              <w:rPr>
                <w:rFonts w:hint="eastAsia" w:hAnsi="宋体" w:cs="宋体"/>
                <w:snapToGrid w:val="0"/>
                <w:color w:val="000000"/>
                <w:kern w:val="21"/>
                <w:szCs w:val="21"/>
                <w:lang w:val="en-US" w:eastAsia="zh-CN"/>
              </w:rPr>
              <w:t>-N</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559" w:type="dxa"/>
            <w:noWrap w:val="0"/>
            <w:vAlign w:val="center"/>
          </w:tcPr>
          <w:p>
            <w:pPr>
              <w:pStyle w:val="25"/>
              <w:bidi w:val="0"/>
              <w:ind w:firstLine="0" w:firstLineChars="0"/>
              <w:rPr>
                <w:rFonts w:hint="default" w:ascii="Times New Roman" w:hAnsi="Times New Roman" w:eastAsia="宋体" w:cs="Times New Roman"/>
                <w:kern w:val="2"/>
                <w:sz w:val="24"/>
                <w:szCs w:val="24"/>
                <w:lang w:val="en-US" w:eastAsia="zh-CN" w:bidi="ar-SA"/>
              </w:rPr>
            </w:pPr>
            <w:r>
              <w:rPr>
                <w:rFonts w:hint="default"/>
                <w:sz w:val="24"/>
                <w:szCs w:val="24"/>
                <w:lang w:val="en-US" w:eastAsia="zh-CN"/>
              </w:rPr>
              <w:t>0.004</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noWrap w:val="0"/>
            <w:vAlign w:val="center"/>
          </w:tcPr>
          <w:p>
            <w:pPr>
              <w:pStyle w:val="25"/>
              <w:bidi w:val="0"/>
              <w:ind w:firstLine="0" w:firstLineChars="0"/>
              <w:rPr>
                <w:rFonts w:hAnsi="宋体" w:cs="宋体"/>
                <w:snapToGrid w:val="0"/>
                <w:color w:val="000000"/>
                <w:kern w:val="21"/>
                <w:szCs w:val="21"/>
              </w:rPr>
            </w:pPr>
            <w:r>
              <w:rPr>
                <w:rFonts w:hint="default"/>
                <w:sz w:val="24"/>
                <w:szCs w:val="24"/>
                <w:lang w:val="en-US" w:eastAsia="zh-CN"/>
              </w:rPr>
              <w:t>0.004</w:t>
            </w:r>
          </w:p>
        </w:tc>
        <w:tc>
          <w:tcPr>
            <w:tcW w:w="1064" w:type="dxa"/>
            <w:noWrap w:val="0"/>
            <w:vAlign w:val="center"/>
          </w:tcPr>
          <w:p>
            <w:pPr>
              <w:pStyle w:val="25"/>
              <w:bidi w:val="0"/>
              <w:ind w:firstLine="0" w:firstLineChars="0"/>
              <w:rPr>
                <w:rFonts w:hAnsi="宋体" w:cs="宋体"/>
                <w:snapToGrid w:val="0"/>
                <w:color w:val="000000"/>
                <w:kern w:val="21"/>
                <w:szCs w:val="21"/>
              </w:rPr>
            </w:pPr>
            <w:r>
              <w:rPr>
                <w:rFonts w:hint="eastAsia"/>
                <w:sz w:val="24"/>
                <w:szCs w:val="24"/>
                <w:lang w:val="en-US" w:eastAsia="zh-CN"/>
              </w:rPr>
              <w:t>+0</w:t>
            </w:r>
            <w:r>
              <w:rPr>
                <w:rFonts w:hint="default"/>
                <w:sz w:val="24"/>
                <w:szCs w:val="24"/>
                <w:lang w:val="en-US" w:eastAsia="zh-CN"/>
              </w:rPr>
              <w:t>.004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hAnsi="宋体" w:cs="宋体"/>
                <w:snapToGrid w:val="0"/>
                <w:color w:val="000000"/>
                <w:kern w:val="21"/>
                <w:szCs w:val="21"/>
              </w:rPr>
            </w:pPr>
            <w:r>
              <w:rPr>
                <w:rFonts w:hint="eastAsia" w:hAnsi="宋体" w:cs="宋体"/>
                <w:snapToGrid w:val="0"/>
                <w:color w:val="000000"/>
                <w:kern w:val="21"/>
                <w:szCs w:val="21"/>
              </w:rPr>
              <w:t>危险废物</w:t>
            </w:r>
          </w:p>
        </w:tc>
        <w:tc>
          <w:tcPr>
            <w:tcW w:w="1417" w:type="dxa"/>
            <w:noWrap w:val="0"/>
            <w:vAlign w:val="center"/>
          </w:tcPr>
          <w:p>
            <w:pPr>
              <w:pStyle w:val="25"/>
              <w:ind w:firstLine="0" w:firstLineChars="0"/>
              <w:rPr>
                <w:rFonts w:hint="eastAsia" w:ascii="Times New Roman" w:hAnsi="Times New Roman" w:eastAsia="宋体" w:cs="Times New Roman"/>
                <w:kern w:val="2"/>
                <w:sz w:val="24"/>
                <w:szCs w:val="24"/>
                <w:lang w:val="en-US" w:eastAsia="zh-CN" w:bidi="ar-SA"/>
              </w:rPr>
            </w:pPr>
            <w:r>
              <w:rPr>
                <w:rFonts w:hint="eastAsia"/>
                <w:sz w:val="24"/>
                <w:szCs w:val="24"/>
              </w:rPr>
              <w:t>漆渣</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559" w:type="dxa"/>
            <w:noWrap w:val="0"/>
            <w:vAlign w:val="center"/>
          </w:tcPr>
          <w:p>
            <w:pPr>
              <w:pStyle w:val="25"/>
              <w:ind w:firstLine="0" w:firstLineChars="0"/>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1.69</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noWrap w:val="0"/>
            <w:vAlign w:val="center"/>
          </w:tcPr>
          <w:p>
            <w:pPr>
              <w:pStyle w:val="25"/>
              <w:ind w:firstLine="0" w:firstLineChars="0"/>
              <w:rPr>
                <w:rFonts w:hAnsi="宋体" w:cs="宋体"/>
                <w:snapToGrid w:val="0"/>
                <w:color w:val="000000"/>
                <w:kern w:val="21"/>
                <w:szCs w:val="21"/>
              </w:rPr>
            </w:pPr>
            <w:r>
              <w:rPr>
                <w:rFonts w:hint="eastAsia"/>
                <w:sz w:val="24"/>
                <w:szCs w:val="24"/>
                <w:lang w:val="en-US" w:eastAsia="zh-CN"/>
              </w:rPr>
              <w:t>1.69</w:t>
            </w:r>
          </w:p>
        </w:tc>
        <w:tc>
          <w:tcPr>
            <w:tcW w:w="1064" w:type="dxa"/>
            <w:noWrap w:val="0"/>
            <w:vAlign w:val="center"/>
          </w:tcPr>
          <w:p>
            <w:pPr>
              <w:pStyle w:val="25"/>
              <w:ind w:firstLine="0" w:firstLineChars="0"/>
              <w:rPr>
                <w:rFonts w:hAnsi="宋体" w:cs="宋体"/>
                <w:snapToGrid w:val="0"/>
                <w:color w:val="000000"/>
                <w:kern w:val="21"/>
                <w:szCs w:val="21"/>
              </w:rPr>
            </w:pPr>
            <w:r>
              <w:rPr>
                <w:rFonts w:hint="eastAsia"/>
                <w:sz w:val="24"/>
                <w:szCs w:val="24"/>
                <w:lang w:val="en-US" w:eastAsia="zh-CN"/>
              </w:rPr>
              <w:t>+1.69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Ansi="宋体" w:cs="宋体"/>
                <w:snapToGrid w:val="0"/>
                <w:color w:val="000000"/>
                <w:kern w:val="21"/>
                <w:szCs w:val="21"/>
              </w:rPr>
            </w:pPr>
          </w:p>
        </w:tc>
        <w:tc>
          <w:tcPr>
            <w:tcW w:w="1417" w:type="dxa"/>
            <w:noWrap w:val="0"/>
            <w:vAlign w:val="center"/>
          </w:tcPr>
          <w:p>
            <w:pPr>
              <w:pStyle w:val="25"/>
              <w:ind w:firstLine="0" w:firstLineChars="0"/>
              <w:rPr>
                <w:rFonts w:hint="eastAsia" w:ascii="Times New Roman" w:hAnsi="Times New Roman" w:eastAsia="宋体" w:cs="Times New Roman"/>
                <w:kern w:val="2"/>
                <w:sz w:val="24"/>
                <w:szCs w:val="24"/>
                <w:lang w:val="en-US" w:eastAsia="zh-CN" w:bidi="ar-SA"/>
              </w:rPr>
            </w:pPr>
            <w:r>
              <w:rPr>
                <w:rFonts w:hint="eastAsia"/>
                <w:sz w:val="24"/>
                <w:szCs w:val="24"/>
              </w:rPr>
              <w:t>废漆桶</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559" w:type="dxa"/>
            <w:noWrap w:val="0"/>
            <w:vAlign w:val="center"/>
          </w:tcPr>
          <w:p>
            <w:pPr>
              <w:pStyle w:val="25"/>
              <w:ind w:firstLine="0" w:firstLineChars="0"/>
              <w:rPr>
                <w:rFonts w:hint="eastAsia" w:ascii="Times New Roman" w:hAnsi="Times New Roman" w:eastAsia="宋体" w:cs="Times New Roman"/>
                <w:kern w:val="2"/>
                <w:sz w:val="24"/>
                <w:szCs w:val="24"/>
                <w:lang w:val="en-US" w:eastAsia="zh-CN" w:bidi="ar-SA"/>
              </w:rPr>
            </w:pPr>
            <w:r>
              <w:rPr>
                <w:rFonts w:hint="eastAsia"/>
                <w:sz w:val="24"/>
                <w:szCs w:val="24"/>
              </w:rPr>
              <w:t>0.36</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noWrap w:val="0"/>
            <w:vAlign w:val="center"/>
          </w:tcPr>
          <w:p>
            <w:pPr>
              <w:pStyle w:val="25"/>
              <w:ind w:firstLine="0" w:firstLineChars="0"/>
              <w:rPr>
                <w:rFonts w:hAnsi="宋体" w:cs="宋体"/>
                <w:snapToGrid w:val="0"/>
                <w:color w:val="000000"/>
                <w:kern w:val="21"/>
                <w:szCs w:val="21"/>
              </w:rPr>
            </w:pPr>
            <w:r>
              <w:rPr>
                <w:rFonts w:hint="eastAsia"/>
                <w:sz w:val="24"/>
                <w:szCs w:val="24"/>
              </w:rPr>
              <w:t>0.36</w:t>
            </w:r>
          </w:p>
        </w:tc>
        <w:tc>
          <w:tcPr>
            <w:tcW w:w="1064" w:type="dxa"/>
            <w:noWrap w:val="0"/>
            <w:vAlign w:val="center"/>
          </w:tcPr>
          <w:p>
            <w:pPr>
              <w:pStyle w:val="25"/>
              <w:ind w:firstLine="0" w:firstLineChars="0"/>
              <w:rPr>
                <w:rFonts w:hAnsi="宋体" w:cs="宋体"/>
                <w:snapToGrid w:val="0"/>
                <w:color w:val="000000"/>
                <w:kern w:val="21"/>
                <w:szCs w:val="21"/>
              </w:rPr>
            </w:pPr>
            <w:r>
              <w:rPr>
                <w:rFonts w:hint="eastAsia"/>
                <w:sz w:val="24"/>
                <w:szCs w:val="24"/>
                <w:lang w:val="en-US" w:eastAsia="zh-CN"/>
              </w:rPr>
              <w:t>+</w:t>
            </w:r>
            <w:r>
              <w:rPr>
                <w:rFonts w:hint="eastAsia"/>
                <w:sz w:val="24"/>
                <w:szCs w:val="24"/>
              </w:rPr>
              <w:t>0.36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Ansi="宋体" w:cs="宋体"/>
                <w:snapToGrid w:val="0"/>
                <w:color w:val="000000"/>
                <w:kern w:val="21"/>
                <w:szCs w:val="21"/>
              </w:rPr>
            </w:pPr>
          </w:p>
        </w:tc>
        <w:tc>
          <w:tcPr>
            <w:tcW w:w="0" w:type="auto"/>
            <w:vAlign w:val="center"/>
          </w:tcPr>
          <w:p>
            <w:pPr>
              <w:pStyle w:val="25"/>
              <w:ind w:firstLine="0" w:firstLineChars="0"/>
              <w:rPr>
                <w:rFonts w:hint="eastAsia" w:ascii="Times New Roman" w:hAnsi="Times New Roman" w:eastAsia="宋体" w:cs="Times New Roman"/>
                <w:kern w:val="2"/>
                <w:sz w:val="24"/>
                <w:szCs w:val="24"/>
                <w:lang w:val="en-US" w:eastAsia="zh-CN" w:bidi="ar-SA"/>
              </w:rPr>
            </w:pPr>
            <w:r>
              <w:rPr>
                <w:rFonts w:hint="eastAsia"/>
                <w:sz w:val="24"/>
                <w:szCs w:val="24"/>
              </w:rPr>
              <w:t>含漆粉尘</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0" w:type="auto"/>
            <w:vAlign w:val="center"/>
          </w:tcPr>
          <w:p>
            <w:pPr>
              <w:pStyle w:val="25"/>
              <w:ind w:firstLine="0" w:firstLineChars="0"/>
              <w:rPr>
                <w:rFonts w:hint="eastAsia" w:ascii="Times New Roman" w:hAnsi="Times New Roman" w:eastAsia="宋体" w:cs="Times New Roman"/>
                <w:kern w:val="2"/>
                <w:sz w:val="24"/>
                <w:szCs w:val="24"/>
                <w:lang w:val="en-US" w:eastAsia="zh-CN" w:bidi="ar-SA"/>
              </w:rPr>
            </w:pPr>
            <w:r>
              <w:rPr>
                <w:rFonts w:hint="eastAsia"/>
                <w:sz w:val="24"/>
                <w:szCs w:val="24"/>
              </w:rPr>
              <w:t>0.14</w:t>
            </w:r>
            <w:r>
              <w:rPr>
                <w:rFonts w:hint="eastAsia"/>
                <w:sz w:val="24"/>
                <w:szCs w:val="24"/>
                <w:lang w:val="en-US" w:eastAsia="zh-CN"/>
              </w:rPr>
              <w:t>1</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vAlign w:val="center"/>
          </w:tcPr>
          <w:p>
            <w:pPr>
              <w:pStyle w:val="25"/>
              <w:ind w:firstLine="0" w:firstLineChars="0"/>
              <w:rPr>
                <w:rFonts w:hAnsi="宋体" w:cs="宋体"/>
                <w:snapToGrid w:val="0"/>
                <w:color w:val="000000"/>
                <w:kern w:val="21"/>
                <w:szCs w:val="21"/>
              </w:rPr>
            </w:pPr>
            <w:r>
              <w:rPr>
                <w:rFonts w:hint="eastAsia"/>
                <w:sz w:val="24"/>
                <w:szCs w:val="24"/>
              </w:rPr>
              <w:t>0.14</w:t>
            </w:r>
            <w:r>
              <w:rPr>
                <w:rFonts w:hint="eastAsia"/>
                <w:sz w:val="24"/>
                <w:szCs w:val="24"/>
                <w:lang w:val="en-US" w:eastAsia="zh-CN"/>
              </w:rPr>
              <w:t>1</w:t>
            </w:r>
          </w:p>
        </w:tc>
        <w:tc>
          <w:tcPr>
            <w:tcW w:w="1064" w:type="dxa"/>
            <w:vAlign w:val="center"/>
          </w:tcPr>
          <w:p>
            <w:pPr>
              <w:pStyle w:val="25"/>
              <w:ind w:firstLine="0" w:firstLineChars="0"/>
              <w:rPr>
                <w:rFonts w:hAnsi="宋体" w:cs="宋体"/>
                <w:snapToGrid w:val="0"/>
                <w:color w:val="000000"/>
                <w:kern w:val="21"/>
                <w:szCs w:val="21"/>
              </w:rPr>
            </w:pPr>
            <w:r>
              <w:rPr>
                <w:rFonts w:hint="eastAsia"/>
                <w:sz w:val="24"/>
                <w:szCs w:val="24"/>
                <w:lang w:val="en-US" w:eastAsia="zh-CN"/>
              </w:rPr>
              <w:t>+</w:t>
            </w:r>
            <w:r>
              <w:rPr>
                <w:rFonts w:hint="eastAsia"/>
                <w:sz w:val="24"/>
                <w:szCs w:val="24"/>
              </w:rPr>
              <w:t>0.14</w:t>
            </w:r>
            <w:r>
              <w:rPr>
                <w:rFonts w:hint="eastAsia"/>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Ansi="宋体" w:cs="宋体"/>
                <w:snapToGrid w:val="0"/>
                <w:color w:val="000000"/>
                <w:kern w:val="21"/>
                <w:szCs w:val="21"/>
              </w:rPr>
            </w:pPr>
          </w:p>
        </w:tc>
        <w:tc>
          <w:tcPr>
            <w:tcW w:w="0" w:type="auto"/>
            <w:vAlign w:val="center"/>
          </w:tcPr>
          <w:p>
            <w:pPr>
              <w:pStyle w:val="25"/>
              <w:ind w:firstLine="0" w:firstLineChars="0"/>
              <w:rPr>
                <w:rFonts w:hint="eastAsia" w:ascii="Times New Roman" w:hAnsi="Times New Roman" w:eastAsia="宋体" w:cs="Times New Roman"/>
                <w:kern w:val="2"/>
                <w:sz w:val="24"/>
                <w:szCs w:val="24"/>
                <w:lang w:val="en-US" w:eastAsia="zh-CN" w:bidi="ar-SA"/>
              </w:rPr>
            </w:pPr>
            <w:r>
              <w:rPr>
                <w:rFonts w:hint="eastAsia"/>
                <w:sz w:val="24"/>
                <w:szCs w:val="24"/>
              </w:rPr>
              <w:t>废活性炭</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0" w:type="auto"/>
            <w:vAlign w:val="center"/>
          </w:tcPr>
          <w:p>
            <w:pPr>
              <w:pStyle w:val="25"/>
              <w:ind w:firstLine="0" w:firstLineChars="0"/>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6.652</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vAlign w:val="center"/>
          </w:tcPr>
          <w:p>
            <w:pPr>
              <w:pStyle w:val="25"/>
              <w:ind w:firstLine="0" w:firstLineChars="0"/>
              <w:rPr>
                <w:rFonts w:hAnsi="宋体" w:cs="宋体"/>
                <w:snapToGrid w:val="0"/>
                <w:color w:val="000000"/>
                <w:kern w:val="21"/>
                <w:szCs w:val="21"/>
              </w:rPr>
            </w:pPr>
            <w:r>
              <w:rPr>
                <w:rFonts w:hint="eastAsia"/>
                <w:sz w:val="24"/>
                <w:szCs w:val="24"/>
                <w:lang w:val="en-US" w:eastAsia="zh-CN"/>
              </w:rPr>
              <w:t>6.652</w:t>
            </w:r>
          </w:p>
        </w:tc>
        <w:tc>
          <w:tcPr>
            <w:tcW w:w="1064" w:type="dxa"/>
            <w:vAlign w:val="center"/>
          </w:tcPr>
          <w:p>
            <w:pPr>
              <w:pStyle w:val="25"/>
              <w:ind w:firstLine="0" w:firstLineChars="0"/>
              <w:rPr>
                <w:rFonts w:hAnsi="宋体" w:cs="宋体"/>
                <w:snapToGrid w:val="0"/>
                <w:color w:val="000000"/>
                <w:kern w:val="21"/>
                <w:szCs w:val="21"/>
              </w:rPr>
            </w:pPr>
            <w:r>
              <w:rPr>
                <w:rFonts w:hint="eastAsia"/>
                <w:sz w:val="24"/>
                <w:szCs w:val="24"/>
                <w:lang w:val="en-US" w:eastAsia="zh-CN"/>
              </w:rPr>
              <w:t>+6.652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Ansi="宋体" w:cs="宋体"/>
                <w:snapToGrid w:val="0"/>
                <w:color w:val="000000"/>
                <w:kern w:val="21"/>
                <w:szCs w:val="21"/>
              </w:rPr>
            </w:pPr>
          </w:p>
        </w:tc>
        <w:tc>
          <w:tcPr>
            <w:tcW w:w="0" w:type="auto"/>
            <w:vAlign w:val="center"/>
          </w:tcPr>
          <w:p>
            <w:pPr>
              <w:pStyle w:val="25"/>
              <w:ind w:firstLine="0" w:firstLineChars="0"/>
              <w:rPr>
                <w:rFonts w:hint="eastAsia" w:ascii="Times New Roman" w:hAnsi="Times New Roman" w:eastAsia="宋体" w:cs="Times New Roman"/>
                <w:kern w:val="2"/>
                <w:sz w:val="24"/>
                <w:szCs w:val="24"/>
                <w:lang w:val="en-US" w:eastAsia="zh-CN" w:bidi="ar-SA"/>
              </w:rPr>
            </w:pPr>
            <w:r>
              <w:rPr>
                <w:rFonts w:hint="eastAsia"/>
                <w:sz w:val="24"/>
                <w:szCs w:val="24"/>
              </w:rPr>
              <w:t>废过滤棉</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0" w:type="auto"/>
            <w:vAlign w:val="center"/>
          </w:tcPr>
          <w:p>
            <w:pPr>
              <w:pStyle w:val="25"/>
              <w:ind w:firstLine="0" w:firstLineChars="0"/>
              <w:rPr>
                <w:rFonts w:ascii="Times New Roman" w:hAnsi="Times New Roman" w:eastAsia="宋体" w:cs="Times New Roman"/>
                <w:kern w:val="2"/>
                <w:sz w:val="24"/>
                <w:szCs w:val="24"/>
                <w:lang w:val="en-US" w:eastAsia="zh-CN" w:bidi="ar-SA"/>
              </w:rPr>
            </w:pPr>
            <w:r>
              <w:rPr>
                <w:rFonts w:hint="eastAsia"/>
                <w:sz w:val="24"/>
                <w:szCs w:val="24"/>
              </w:rPr>
              <w:t>0.1</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vAlign w:val="center"/>
          </w:tcPr>
          <w:p>
            <w:pPr>
              <w:pStyle w:val="25"/>
              <w:ind w:firstLine="0" w:firstLineChars="0"/>
              <w:rPr>
                <w:rFonts w:hAnsi="宋体" w:cs="宋体"/>
                <w:snapToGrid w:val="0"/>
                <w:color w:val="000000"/>
                <w:kern w:val="21"/>
                <w:szCs w:val="21"/>
              </w:rPr>
            </w:pPr>
            <w:r>
              <w:rPr>
                <w:rFonts w:hint="eastAsia"/>
                <w:sz w:val="24"/>
                <w:szCs w:val="24"/>
              </w:rPr>
              <w:t>0.1</w:t>
            </w:r>
          </w:p>
        </w:tc>
        <w:tc>
          <w:tcPr>
            <w:tcW w:w="1064" w:type="dxa"/>
            <w:vAlign w:val="center"/>
          </w:tcPr>
          <w:p>
            <w:pPr>
              <w:pStyle w:val="25"/>
              <w:ind w:firstLine="0" w:firstLineChars="0"/>
              <w:rPr>
                <w:rFonts w:hAnsi="宋体" w:cs="宋体"/>
                <w:snapToGrid w:val="0"/>
                <w:color w:val="000000"/>
                <w:kern w:val="21"/>
                <w:szCs w:val="21"/>
              </w:rPr>
            </w:pPr>
            <w:r>
              <w:rPr>
                <w:rFonts w:hint="eastAsia"/>
                <w:sz w:val="24"/>
                <w:szCs w:val="24"/>
                <w:lang w:val="en-US" w:eastAsia="zh-CN"/>
              </w:rPr>
              <w:t>+</w:t>
            </w:r>
            <w:r>
              <w:rPr>
                <w:rFonts w:hint="eastAsia"/>
                <w:sz w:val="24"/>
                <w:szCs w:val="24"/>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Ansi="宋体" w:cs="宋体"/>
                <w:snapToGrid w:val="0"/>
                <w:color w:val="000000"/>
                <w:kern w:val="21"/>
                <w:szCs w:val="21"/>
              </w:rPr>
            </w:pPr>
          </w:p>
        </w:tc>
        <w:tc>
          <w:tcPr>
            <w:tcW w:w="0" w:type="auto"/>
            <w:vAlign w:val="center"/>
          </w:tcPr>
          <w:p>
            <w:pPr>
              <w:pStyle w:val="25"/>
              <w:ind w:firstLine="0" w:firstLineChars="0"/>
              <w:rPr>
                <w:rFonts w:hint="eastAsia" w:ascii="Times New Roman" w:hAnsi="Times New Roman" w:eastAsia="宋体" w:cs="Times New Roman"/>
                <w:kern w:val="2"/>
                <w:sz w:val="24"/>
                <w:szCs w:val="24"/>
                <w:lang w:val="en-US" w:eastAsia="zh-CN" w:bidi="ar-SA"/>
              </w:rPr>
            </w:pPr>
            <w:r>
              <w:rPr>
                <w:rFonts w:hint="eastAsia"/>
                <w:sz w:val="24"/>
                <w:szCs w:val="24"/>
              </w:rPr>
              <w:t>废</w:t>
            </w:r>
            <w:r>
              <w:rPr>
                <w:rFonts w:hint="eastAsia"/>
                <w:sz w:val="24"/>
                <w:szCs w:val="24"/>
                <w:lang w:eastAsia="zh-CN"/>
              </w:rPr>
              <w:t>润滑</w:t>
            </w:r>
            <w:r>
              <w:rPr>
                <w:rFonts w:hint="eastAsia"/>
                <w:sz w:val="24"/>
                <w:szCs w:val="24"/>
              </w:rPr>
              <w:t>油</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0" w:type="auto"/>
            <w:vAlign w:val="center"/>
          </w:tcPr>
          <w:p>
            <w:pPr>
              <w:pStyle w:val="25"/>
              <w:ind w:firstLine="0" w:firstLineChars="0"/>
              <w:rPr>
                <w:rFonts w:ascii="Times New Roman" w:hAnsi="Times New Roman" w:eastAsia="宋体" w:cs="Times New Roman"/>
                <w:kern w:val="2"/>
                <w:sz w:val="24"/>
                <w:szCs w:val="24"/>
                <w:lang w:val="en-US" w:eastAsia="zh-CN" w:bidi="ar-SA"/>
              </w:rPr>
            </w:pPr>
            <w:r>
              <w:rPr>
                <w:rFonts w:hint="eastAsia"/>
                <w:sz w:val="24"/>
                <w:szCs w:val="24"/>
              </w:rPr>
              <w:t>0.03</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vAlign w:val="center"/>
          </w:tcPr>
          <w:p>
            <w:pPr>
              <w:pStyle w:val="25"/>
              <w:ind w:firstLine="0" w:firstLineChars="0"/>
              <w:rPr>
                <w:rFonts w:hAnsi="宋体" w:cs="宋体"/>
                <w:snapToGrid w:val="0"/>
                <w:color w:val="000000"/>
                <w:kern w:val="21"/>
                <w:szCs w:val="21"/>
              </w:rPr>
            </w:pPr>
            <w:r>
              <w:rPr>
                <w:rFonts w:hint="eastAsia"/>
                <w:sz w:val="24"/>
                <w:szCs w:val="24"/>
              </w:rPr>
              <w:t>0.03</w:t>
            </w:r>
          </w:p>
        </w:tc>
        <w:tc>
          <w:tcPr>
            <w:tcW w:w="1064" w:type="dxa"/>
            <w:vAlign w:val="center"/>
          </w:tcPr>
          <w:p>
            <w:pPr>
              <w:pStyle w:val="25"/>
              <w:ind w:firstLine="0" w:firstLineChars="0"/>
              <w:rPr>
                <w:rFonts w:hAnsi="宋体" w:cs="宋体"/>
                <w:snapToGrid w:val="0"/>
                <w:color w:val="000000"/>
                <w:kern w:val="21"/>
                <w:szCs w:val="21"/>
              </w:rPr>
            </w:pPr>
            <w:r>
              <w:rPr>
                <w:rFonts w:hint="eastAsia"/>
                <w:sz w:val="24"/>
                <w:szCs w:val="24"/>
                <w:lang w:val="en-US" w:eastAsia="zh-CN"/>
              </w:rPr>
              <w:t>+</w:t>
            </w:r>
            <w:r>
              <w:rPr>
                <w:rFonts w:hint="eastAsia"/>
                <w:sz w:val="24"/>
                <w:szCs w:val="24"/>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Ansi="宋体" w:cs="宋体"/>
                <w:snapToGrid w:val="0"/>
                <w:color w:val="000000"/>
                <w:kern w:val="21"/>
                <w:szCs w:val="21"/>
              </w:rPr>
            </w:pPr>
          </w:p>
        </w:tc>
        <w:tc>
          <w:tcPr>
            <w:tcW w:w="0" w:type="auto"/>
            <w:vAlign w:val="center"/>
          </w:tcPr>
          <w:p>
            <w:pPr>
              <w:pStyle w:val="25"/>
              <w:ind w:firstLine="0" w:firstLineChars="0"/>
              <w:rPr>
                <w:rFonts w:hint="eastAsia" w:ascii="Times New Roman" w:hAnsi="Times New Roman" w:eastAsia="宋体" w:cs="Times New Roman"/>
                <w:kern w:val="2"/>
                <w:sz w:val="24"/>
                <w:szCs w:val="24"/>
                <w:lang w:val="en-US" w:eastAsia="zh-CN" w:bidi="ar-SA"/>
              </w:rPr>
            </w:pPr>
            <w:r>
              <w:rPr>
                <w:rFonts w:hint="eastAsia"/>
                <w:sz w:val="24"/>
                <w:szCs w:val="24"/>
              </w:rPr>
              <w:t>光固化机废灯管</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0" w:type="auto"/>
            <w:vAlign w:val="center"/>
          </w:tcPr>
          <w:p>
            <w:pPr>
              <w:pStyle w:val="25"/>
              <w:ind w:firstLine="0" w:firstLineChars="0"/>
              <w:rPr>
                <w:rFonts w:ascii="Times New Roman" w:hAnsi="Times New Roman" w:eastAsia="宋体" w:cs="Times New Roman"/>
                <w:kern w:val="2"/>
                <w:sz w:val="24"/>
                <w:szCs w:val="24"/>
                <w:lang w:val="en-US" w:eastAsia="zh-CN" w:bidi="ar-SA"/>
              </w:rPr>
            </w:pPr>
            <w:r>
              <w:rPr>
                <w:rFonts w:hint="eastAsia"/>
                <w:sz w:val="24"/>
                <w:szCs w:val="24"/>
              </w:rPr>
              <w:t>0.0004</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c>
          <w:tcPr>
            <w:tcW w:w="1721" w:type="dxa"/>
            <w:vAlign w:val="center"/>
          </w:tcPr>
          <w:p>
            <w:pPr>
              <w:pStyle w:val="25"/>
              <w:ind w:firstLine="0" w:firstLineChars="0"/>
              <w:rPr>
                <w:rFonts w:hAnsi="宋体" w:cs="宋体"/>
                <w:snapToGrid w:val="0"/>
                <w:color w:val="000000"/>
                <w:kern w:val="21"/>
                <w:szCs w:val="21"/>
              </w:rPr>
            </w:pPr>
            <w:r>
              <w:rPr>
                <w:rFonts w:hint="eastAsia"/>
                <w:sz w:val="24"/>
                <w:szCs w:val="24"/>
              </w:rPr>
              <w:t>0.0004</w:t>
            </w:r>
          </w:p>
        </w:tc>
        <w:tc>
          <w:tcPr>
            <w:tcW w:w="1064" w:type="dxa"/>
            <w:vAlign w:val="center"/>
          </w:tcPr>
          <w:p>
            <w:pPr>
              <w:pStyle w:val="25"/>
              <w:ind w:firstLine="0" w:firstLineChars="0"/>
              <w:rPr>
                <w:rFonts w:hAnsi="宋体" w:cs="宋体"/>
                <w:snapToGrid w:val="0"/>
                <w:color w:val="000000"/>
                <w:kern w:val="21"/>
                <w:szCs w:val="21"/>
              </w:rPr>
            </w:pPr>
            <w:r>
              <w:rPr>
                <w:rFonts w:hint="eastAsia"/>
                <w:sz w:val="24"/>
                <w:szCs w:val="24"/>
                <w:lang w:val="en-US" w:eastAsia="zh-CN"/>
              </w:rPr>
              <w:t>+</w:t>
            </w:r>
            <w:r>
              <w:rPr>
                <w:rFonts w:hint="eastAsia"/>
                <w:sz w:val="24"/>
                <w:szCs w:val="24"/>
              </w:rPr>
              <w:t>0.0004</w:t>
            </w:r>
          </w:p>
        </w:tc>
      </w:tr>
    </w:tbl>
    <w:p>
      <w:pPr>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sectPr>
      <w:pgSz w:w="16838" w:h="11905" w:orient="landscape"/>
      <w:pgMar w:top="1417" w:right="1440" w:bottom="1417" w:left="1440" w:header="851" w:footer="85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eastAsia="宋体"/>
                              <w:sz w:val="24"/>
                              <w:szCs w:val="28"/>
                              <w:lang w:val="en-US" w:eastAsia="zh-CN"/>
                            </w:rPr>
                          </w:pPr>
                          <w:r>
                            <w:rPr>
                              <w:rFonts w:hint="eastAsia"/>
                              <w:sz w:val="24"/>
                              <w:szCs w:val="28"/>
                              <w:lang w:val="en-US" w:eastAsia="zh-CN"/>
                            </w:rPr>
                            <w:t xml:space="preserve">—  </w:t>
                          </w:r>
                          <w:r>
                            <w:rPr>
                              <w:sz w:val="24"/>
                              <w:szCs w:val="28"/>
                            </w:rPr>
                            <w:fldChar w:fldCharType="begin"/>
                          </w:r>
                          <w:r>
                            <w:rPr>
                              <w:sz w:val="24"/>
                              <w:szCs w:val="28"/>
                            </w:rPr>
                            <w:instrText xml:space="preserve"> PAGE  \* MERGEFORMAT </w:instrText>
                          </w:r>
                          <w:r>
                            <w:rPr>
                              <w:sz w:val="24"/>
                              <w:szCs w:val="28"/>
                            </w:rPr>
                            <w:fldChar w:fldCharType="separate"/>
                          </w:r>
                          <w:r>
                            <w:rPr>
                              <w:sz w:val="24"/>
                              <w:szCs w:val="28"/>
                            </w:rPr>
                            <w:t>4</w:t>
                          </w:r>
                          <w:r>
                            <w:rPr>
                              <w:sz w:val="24"/>
                              <w:szCs w:val="28"/>
                            </w:rPr>
                            <w:fldChar w:fldCharType="end"/>
                          </w:r>
                          <w:r>
                            <w:rPr>
                              <w:rFonts w:hint="eastAsia"/>
                              <w:sz w:val="24"/>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5"/>
                      <w:rPr>
                        <w:rFonts w:hint="default" w:eastAsia="宋体"/>
                        <w:sz w:val="24"/>
                        <w:szCs w:val="28"/>
                        <w:lang w:val="en-US" w:eastAsia="zh-CN"/>
                      </w:rPr>
                    </w:pPr>
                    <w:r>
                      <w:rPr>
                        <w:rFonts w:hint="eastAsia"/>
                        <w:sz w:val="24"/>
                        <w:szCs w:val="28"/>
                        <w:lang w:val="en-US" w:eastAsia="zh-CN"/>
                      </w:rPr>
                      <w:t xml:space="preserve">—  </w:t>
                    </w:r>
                    <w:r>
                      <w:rPr>
                        <w:sz w:val="24"/>
                        <w:szCs w:val="28"/>
                      </w:rPr>
                      <w:fldChar w:fldCharType="begin"/>
                    </w:r>
                    <w:r>
                      <w:rPr>
                        <w:sz w:val="24"/>
                        <w:szCs w:val="28"/>
                      </w:rPr>
                      <w:instrText xml:space="preserve"> PAGE  \* MERGEFORMAT </w:instrText>
                    </w:r>
                    <w:r>
                      <w:rPr>
                        <w:sz w:val="24"/>
                        <w:szCs w:val="28"/>
                      </w:rPr>
                      <w:fldChar w:fldCharType="separate"/>
                    </w:r>
                    <w:r>
                      <w:rPr>
                        <w:sz w:val="24"/>
                        <w:szCs w:val="28"/>
                      </w:rPr>
                      <w:t>4</w:t>
                    </w:r>
                    <w:r>
                      <w:rPr>
                        <w:sz w:val="24"/>
                        <w:szCs w:val="28"/>
                      </w:rPr>
                      <w:fldChar w:fldCharType="end"/>
                    </w:r>
                    <w:r>
                      <w:rPr>
                        <w:rFonts w:hint="eastAsia"/>
                        <w:sz w:val="24"/>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77CD2"/>
    <w:multiLevelType w:val="singleLevel"/>
    <w:tmpl w:val="08977CD2"/>
    <w:lvl w:ilvl="0" w:tentative="0">
      <w:start w:val="2"/>
      <w:numFmt w:val="decimal"/>
      <w:suff w:val="nothing"/>
      <w:lvlText w:val="%1、"/>
      <w:lvlJc w:val="left"/>
    </w:lvl>
  </w:abstractNum>
  <w:abstractNum w:abstractNumId="1">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32"/>
      <w:suff w:val="space"/>
      <w:lvlText w:val="%1.%2"/>
      <w:lvlJc w:val="left"/>
      <w:pPr>
        <w:ind w:left="1701"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mVlODY2ZWFlMTM2NzAyNTQ3MDNhYjBmMDc2ZjcifQ=="/>
  </w:docVars>
  <w:rsids>
    <w:rsidRoot w:val="42F81191"/>
    <w:rsid w:val="0031380D"/>
    <w:rsid w:val="007C777E"/>
    <w:rsid w:val="09526CCE"/>
    <w:rsid w:val="0960619B"/>
    <w:rsid w:val="09DB0A2A"/>
    <w:rsid w:val="0A02380F"/>
    <w:rsid w:val="0C4F5747"/>
    <w:rsid w:val="0D9F09BC"/>
    <w:rsid w:val="103510F8"/>
    <w:rsid w:val="10CF2D22"/>
    <w:rsid w:val="11333675"/>
    <w:rsid w:val="11D24E50"/>
    <w:rsid w:val="13ED41C3"/>
    <w:rsid w:val="156C736A"/>
    <w:rsid w:val="15F63937"/>
    <w:rsid w:val="167C35DD"/>
    <w:rsid w:val="167D7355"/>
    <w:rsid w:val="1C63631D"/>
    <w:rsid w:val="1E13612B"/>
    <w:rsid w:val="245867FF"/>
    <w:rsid w:val="246A1B43"/>
    <w:rsid w:val="264B4A57"/>
    <w:rsid w:val="28551EE0"/>
    <w:rsid w:val="2B65068C"/>
    <w:rsid w:val="2B764647"/>
    <w:rsid w:val="2C1666BC"/>
    <w:rsid w:val="2D4E5A12"/>
    <w:rsid w:val="2EDE5B8E"/>
    <w:rsid w:val="316E7B6E"/>
    <w:rsid w:val="32D22F57"/>
    <w:rsid w:val="34A226B7"/>
    <w:rsid w:val="367125DA"/>
    <w:rsid w:val="381C47C8"/>
    <w:rsid w:val="3C23566A"/>
    <w:rsid w:val="3C860462"/>
    <w:rsid w:val="3EB63333"/>
    <w:rsid w:val="3EFD0EAF"/>
    <w:rsid w:val="419503C2"/>
    <w:rsid w:val="4273280E"/>
    <w:rsid w:val="42F81191"/>
    <w:rsid w:val="436531E2"/>
    <w:rsid w:val="43AB7834"/>
    <w:rsid w:val="451E69C8"/>
    <w:rsid w:val="47086F31"/>
    <w:rsid w:val="471F668F"/>
    <w:rsid w:val="49BA799D"/>
    <w:rsid w:val="4A1F2B77"/>
    <w:rsid w:val="4BC93EC7"/>
    <w:rsid w:val="4BE549ED"/>
    <w:rsid w:val="4CC1711A"/>
    <w:rsid w:val="4CEC2448"/>
    <w:rsid w:val="4D51472A"/>
    <w:rsid w:val="4E3155E9"/>
    <w:rsid w:val="50447FC0"/>
    <w:rsid w:val="51B62A10"/>
    <w:rsid w:val="53746E0E"/>
    <w:rsid w:val="53C658BC"/>
    <w:rsid w:val="552C5511"/>
    <w:rsid w:val="57680A38"/>
    <w:rsid w:val="578511A4"/>
    <w:rsid w:val="57C72DB4"/>
    <w:rsid w:val="58BB4D50"/>
    <w:rsid w:val="5C2B1542"/>
    <w:rsid w:val="5DA14CA4"/>
    <w:rsid w:val="5DF52C4B"/>
    <w:rsid w:val="5E0771FD"/>
    <w:rsid w:val="5E631F59"/>
    <w:rsid w:val="60D45FC7"/>
    <w:rsid w:val="63591D20"/>
    <w:rsid w:val="654A5C21"/>
    <w:rsid w:val="65F362B8"/>
    <w:rsid w:val="66EA3218"/>
    <w:rsid w:val="69D90E97"/>
    <w:rsid w:val="6ACB3360"/>
    <w:rsid w:val="6AE10DD5"/>
    <w:rsid w:val="6D1E2A62"/>
    <w:rsid w:val="6FC47DA2"/>
    <w:rsid w:val="6FE56C72"/>
    <w:rsid w:val="71F96A05"/>
    <w:rsid w:val="720449D1"/>
    <w:rsid w:val="72395053"/>
    <w:rsid w:val="72DF3E4C"/>
    <w:rsid w:val="73E9014B"/>
    <w:rsid w:val="745C71D0"/>
    <w:rsid w:val="76375D4D"/>
    <w:rsid w:val="76B860A7"/>
    <w:rsid w:val="7D645743"/>
    <w:rsid w:val="7E9401E1"/>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tabs>
        <w:tab w:val="left" w:pos="5400"/>
      </w:tabs>
      <w:spacing w:before="50" w:beforeLines="50" w:after="50" w:afterLines="50"/>
      <w:ind w:firstLine="0" w:firstLineChars="0"/>
      <w:outlineLvl w:val="1"/>
    </w:pPr>
    <w:rPr>
      <w:b/>
      <w:bCs/>
      <w:kern w:val="0"/>
      <w:sz w:val="30"/>
      <w:szCs w:val="30"/>
    </w:rPr>
  </w:style>
  <w:style w:type="paragraph" w:styleId="4">
    <w:name w:val="heading 3"/>
    <w:next w:val="1"/>
    <w:qFormat/>
    <w:uiPriority w:val="0"/>
    <w:pPr>
      <w:tabs>
        <w:tab w:val="left" w:pos="5400"/>
      </w:tabs>
      <w:spacing w:before="50" w:beforeLines="50" w:after="50" w:afterLines="50"/>
      <w:ind w:firstLine="0" w:firstLineChars="0"/>
      <w:outlineLvl w:val="2"/>
    </w:pPr>
    <w:rPr>
      <w:rFonts w:ascii="Times New Roman" w:hAnsi="Times New Roman" w:eastAsia="宋体" w:cs="Times New Roman"/>
      <w:b/>
      <w:bCs/>
      <w:sz w:val="28"/>
    </w:rPr>
  </w:style>
  <w:style w:type="paragraph" w:styleId="5">
    <w:name w:val="heading 4"/>
    <w:basedOn w:val="1"/>
    <w:next w:val="1"/>
    <w:qFormat/>
    <w:uiPriority w:val="0"/>
    <w:pPr>
      <w:tabs>
        <w:tab w:val="left" w:pos="5400"/>
      </w:tabs>
      <w:ind w:firstLine="0" w:firstLineChars="0"/>
      <w:outlineLvl w:val="3"/>
    </w:pPr>
    <w:rPr>
      <w:b/>
      <w:bCs/>
    </w:rPr>
  </w:style>
  <w:style w:type="paragraph" w:styleId="6">
    <w:name w:val="heading 5"/>
    <w:basedOn w:val="1"/>
    <w:next w:val="1"/>
    <w:unhideWhenUsed/>
    <w:qFormat/>
    <w:uiPriority w:val="0"/>
    <w:pPr>
      <w:keepLines/>
      <w:adjustRightInd w:val="0"/>
      <w:snapToGrid w:val="0"/>
      <w:jc w:val="center"/>
      <w:outlineLvl w:val="4"/>
    </w:pPr>
    <w:rPr>
      <w:b/>
      <w:bCs/>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200"/>
    </w:pPr>
    <w:rPr>
      <w:rFonts w:ascii="Calibri" w:hAnsi="Calibri"/>
      <w:sz w:val="28"/>
    </w:rPr>
  </w:style>
  <w:style w:type="paragraph" w:styleId="8">
    <w:name w:val="Body Text First Indent 2"/>
    <w:basedOn w:val="9"/>
    <w:next w:val="1"/>
    <w:qFormat/>
    <w:uiPriority w:val="0"/>
    <w:pPr>
      <w:ind w:firstLine="420"/>
    </w:pPr>
  </w:style>
  <w:style w:type="paragraph" w:styleId="9">
    <w:name w:val="Body Text Indent"/>
    <w:basedOn w:val="1"/>
    <w:qFormat/>
    <w:uiPriority w:val="0"/>
    <w:pPr>
      <w:spacing w:after="120"/>
      <w:ind w:left="420" w:leftChars="200"/>
    </w:pPr>
    <w:rPr>
      <w:rFonts w:cs="Times New Roman"/>
      <w:kern w:val="0"/>
      <w:szCs w:val="20"/>
    </w:rPr>
  </w:style>
  <w:style w:type="paragraph" w:styleId="10">
    <w:name w:val="annotation text"/>
    <w:basedOn w:val="1"/>
    <w:semiHidden/>
    <w:qFormat/>
    <w:uiPriority w:val="0"/>
    <w:pPr>
      <w:jc w:val="left"/>
    </w:pPr>
    <w:rPr>
      <w:kern w:val="0"/>
      <w:sz w:val="24"/>
      <w:szCs w:val="20"/>
    </w:rPr>
  </w:style>
  <w:style w:type="paragraph" w:styleId="11">
    <w:name w:val="Salutation"/>
    <w:basedOn w:val="1"/>
    <w:next w:val="1"/>
    <w:qFormat/>
    <w:uiPriority w:val="0"/>
  </w:style>
  <w:style w:type="paragraph" w:styleId="12">
    <w:name w:val="Body Text"/>
    <w:basedOn w:val="1"/>
    <w:qFormat/>
    <w:uiPriority w:val="0"/>
    <w:pPr>
      <w:spacing w:after="120"/>
    </w:pPr>
  </w:style>
  <w:style w:type="paragraph" w:styleId="13">
    <w:name w:val="Plain Text"/>
    <w:basedOn w:val="1"/>
    <w:next w:val="11"/>
    <w:qFormat/>
    <w:uiPriority w:val="0"/>
    <w:rPr>
      <w:rFonts w:ascii="宋体" w:hAnsi="Courier New"/>
    </w:rPr>
  </w:style>
  <w:style w:type="paragraph" w:styleId="14">
    <w:name w:val="Body Text Indent 2"/>
    <w:basedOn w:val="1"/>
    <w:next w:val="8"/>
    <w:qFormat/>
    <w:uiPriority w:val="0"/>
    <w:pPr>
      <w:spacing w:line="500" w:lineRule="exact"/>
      <w:ind w:firstLine="556"/>
    </w:pPr>
    <w:rPr>
      <w:bCs/>
      <w:sz w:val="28"/>
    </w:rPr>
  </w:style>
  <w:style w:type="paragraph" w:styleId="15">
    <w:name w:val="footer"/>
    <w:basedOn w:val="1"/>
    <w:qFormat/>
    <w:uiPriority w:val="99"/>
    <w:pPr>
      <w:tabs>
        <w:tab w:val="center" w:pos="4153"/>
        <w:tab w:val="right" w:pos="8306"/>
      </w:tabs>
      <w:snapToGrid w:val="0"/>
      <w:jc w:val="left"/>
    </w:pPr>
    <w:rPr>
      <w:kern w:val="0"/>
      <w:sz w:val="18"/>
      <w:szCs w:val="20"/>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Subtitle"/>
    <w:basedOn w:val="1"/>
    <w:next w:val="1"/>
    <w:qFormat/>
    <w:uiPriority w:val="0"/>
    <w:pPr>
      <w:adjustRightInd w:val="0"/>
      <w:snapToGrid w:val="0"/>
      <w:jc w:val="center"/>
    </w:pPr>
    <w:rPr>
      <w:rFonts w:eastAsia="仿宋"/>
      <w:szCs w:val="22"/>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next w:val="1"/>
    <w:qFormat/>
    <w:uiPriority w:val="0"/>
    <w:pPr>
      <w:spacing w:line="360" w:lineRule="auto"/>
      <w:ind w:firstLine="200" w:firstLineChars="200"/>
    </w:pPr>
    <w:rPr>
      <w:rFonts w:cs="Times New Roman"/>
      <w:bCs/>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paragraph" w:customStyle="1" w:styleId="24">
    <w:name w:val="表格标题"/>
    <w:basedOn w:val="1"/>
    <w:link w:val="27"/>
    <w:qFormat/>
    <w:uiPriority w:val="0"/>
    <w:pPr>
      <w:spacing w:line="240" w:lineRule="auto"/>
      <w:ind w:firstLine="0" w:firstLineChars="0"/>
      <w:jc w:val="center"/>
      <w:outlineLvl w:val="4"/>
    </w:pPr>
    <w:rPr>
      <w:rFonts w:ascii="Times New Roman" w:hAnsi="Times New Roman" w:eastAsia="宋体"/>
      <w:b/>
      <w:sz w:val="21"/>
    </w:rPr>
  </w:style>
  <w:style w:type="paragraph" w:customStyle="1" w:styleId="25">
    <w:name w:val="表格内容"/>
    <w:basedOn w:val="1"/>
    <w:qFormat/>
    <w:uiPriority w:val="0"/>
    <w:pPr>
      <w:spacing w:line="240" w:lineRule="auto"/>
      <w:ind w:firstLine="0" w:firstLineChars="0"/>
      <w:jc w:val="center"/>
    </w:pPr>
    <w:rPr>
      <w:rFonts w:ascii="Times New Roman" w:hAnsi="Times New Roman" w:eastAsia="宋体"/>
      <w:sz w:val="21"/>
      <w:szCs w:val="21"/>
    </w:rPr>
  </w:style>
  <w:style w:type="table" w:customStyle="1" w:styleId="26">
    <w:name w:val="网格型7"/>
    <w:basedOn w:val="20"/>
    <w:qFormat/>
    <w:uiPriority w:val="0"/>
    <w:pPr>
      <w:widowControl w:val="0"/>
      <w:jc w:val="both"/>
    </w:pPr>
    <w:rPr>
      <w:sz w:val="21"/>
    </w:rPr>
    <w:tblPr>
      <w:jc w:val="center"/>
      <w:tblBorders>
        <w:top w:val="single" w:color="auto" w:sz="18" w:space="0"/>
        <w:bottom w:val="single" w:color="auto" w:sz="18" w:space="0"/>
        <w:insideH w:val="single" w:color="auto" w:sz="4" w:space="0"/>
        <w:insideV w:val="single" w:color="auto" w:sz="4" w:space="0"/>
      </w:tblBorders>
    </w:tblPr>
    <w:trPr>
      <w:jc w:val="center"/>
    </w:trPr>
    <w:tcPr>
      <w:vAlign w:val="center"/>
    </w:tcPr>
  </w:style>
  <w:style w:type="character" w:customStyle="1" w:styleId="27">
    <w:name w:val="表格标题QQ Char"/>
    <w:link w:val="24"/>
    <w:qFormat/>
    <w:uiPriority w:val="0"/>
    <w:rPr>
      <w:rFonts w:ascii="Times New Roman" w:hAnsi="Times New Roman" w:eastAsia="宋体"/>
      <w:b/>
      <w:sz w:val="21"/>
    </w:rPr>
  </w:style>
  <w:style w:type="table" w:customStyle="1" w:styleId="28">
    <w:name w:val="三线表2"/>
    <w:basedOn w:val="20"/>
    <w:qFormat/>
    <w:uiPriority w:val="99"/>
    <w:pPr>
      <w:jc w:val="center"/>
    </w:pPr>
    <w:rPr>
      <w:rFonts w:asciiTheme="minorHAnsi" w:hAnsiTheme="minorHAnsi" w:cstheme="minorBidi"/>
      <w:kern w:val="2"/>
      <w:sz w:val="21"/>
      <w:szCs w:val="22"/>
    </w:r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29">
    <w:name w:val="表头、图名"/>
    <w:basedOn w:val="1"/>
    <w:next w:val="1"/>
    <w:qFormat/>
    <w:uiPriority w:val="0"/>
    <w:pPr>
      <w:spacing w:line="240" w:lineRule="auto"/>
      <w:ind w:firstLine="0" w:firstLineChars="0"/>
      <w:jc w:val="center"/>
    </w:pPr>
    <w:rPr>
      <w:b/>
      <w:sz w:val="24"/>
    </w:rPr>
  </w:style>
  <w:style w:type="paragraph" w:customStyle="1" w:styleId="30">
    <w:name w:val="表格内文字"/>
    <w:basedOn w:val="1"/>
    <w:qFormat/>
    <w:uiPriority w:val="0"/>
    <w:pPr>
      <w:keepNext w:val="0"/>
      <w:keepLines w:val="0"/>
      <w:widowControl w:val="0"/>
      <w:suppressLineNumbers w:val="0"/>
      <w:adjustRightInd w:val="0"/>
      <w:snapToGrid w:val="0"/>
      <w:spacing w:before="0" w:beforeAutospacing="0" w:after="0" w:afterAutospacing="0" w:line="240" w:lineRule="auto"/>
      <w:ind w:left="0" w:right="0" w:firstLine="0" w:firstLineChars="0"/>
      <w:jc w:val="center"/>
    </w:pPr>
    <w:rPr>
      <w:rFonts w:hint="eastAsia" w:ascii="Times New Roman" w:hAnsi="Times New Roman" w:eastAsia="宋体" w:cs="Times New Roman"/>
      <w:kern w:val="2"/>
      <w:sz w:val="21"/>
      <w:szCs w:val="21"/>
      <w:lang w:val="en-US" w:eastAsia="zh-CN" w:bidi="ar"/>
    </w:rPr>
  </w:style>
  <w:style w:type="paragraph" w:customStyle="1" w:styleId="31">
    <w:name w:val="Default"/>
    <w:basedOn w:val="32"/>
    <w:next w:val="33"/>
    <w:qFormat/>
    <w:uiPriority w:val="0"/>
    <w:pPr>
      <w:tabs>
        <w:tab w:val="left" w:pos="5400"/>
      </w:tabs>
      <w:autoSpaceDE w:val="0"/>
      <w:autoSpaceDN w:val="0"/>
      <w:adjustRightInd w:val="0"/>
    </w:pPr>
    <w:rPr>
      <w:rFonts w:ascii="宋体" w:hAnsi="Calibri"/>
      <w:color w:val="000000"/>
      <w:sz w:val="24"/>
    </w:rPr>
  </w:style>
  <w:style w:type="paragraph" w:customStyle="1" w:styleId="32">
    <w:name w:val="标题2"/>
    <w:basedOn w:val="2"/>
    <w:qFormat/>
    <w:uiPriority w:val="0"/>
    <w:pPr>
      <w:numPr>
        <w:ilvl w:val="1"/>
        <w:numId w:val="1"/>
      </w:numPr>
      <w:spacing w:line="440" w:lineRule="exact"/>
    </w:pPr>
    <w:rPr>
      <w:kern w:val="0"/>
    </w:rPr>
  </w:style>
  <w:style w:type="paragraph" w:customStyle="1" w:styleId="33">
    <w:name w:val="1正文段落"/>
    <w:basedOn w:val="1"/>
    <w:qFormat/>
    <w:uiPriority w:val="0"/>
    <w:pPr>
      <w:widowControl/>
      <w:spacing w:line="360" w:lineRule="auto"/>
      <w:ind w:firstLine="480" w:firstLineChars="200"/>
      <w:jc w:val="left"/>
    </w:pPr>
    <w:rPr>
      <w:rFonts w:ascii="宋体" w:hAnsi="宋体"/>
      <w:snapToGrid w:val="0"/>
      <w:kern w:val="0"/>
      <w:sz w:val="24"/>
    </w:rPr>
  </w:style>
  <w:style w:type="paragraph" w:customStyle="1" w:styleId="34">
    <w:name w:val="表头、图号"/>
    <w:basedOn w:val="1"/>
    <w:next w:val="1"/>
    <w:qFormat/>
    <w:uiPriority w:val="0"/>
    <w:pPr>
      <w:adjustRightInd w:val="0"/>
      <w:snapToGrid w:val="0"/>
      <w:spacing w:line="240" w:lineRule="auto"/>
      <w:ind w:firstLine="0" w:firstLineChars="0"/>
      <w:jc w:val="center"/>
    </w:pPr>
    <w:rPr>
      <w:rFonts w:ascii="Times New Roman" w:hAnsi="Times New Roman" w:eastAsia="宋体"/>
      <w:b/>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8.jpe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emf"/><Relationship Id="rId14" Type="http://schemas.openxmlformats.org/officeDocument/2006/relationships/oleObject" Target="embeddings/oleObject3.bin"/><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24851</Words>
  <Characters>28531</Characters>
  <Lines>0</Lines>
  <Paragraphs>0</Paragraphs>
  <TotalTime>197</TotalTime>
  <ScaleCrop>false</ScaleCrop>
  <LinksUpToDate>false</LinksUpToDate>
  <CharactersWithSpaces>28692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2022-11-09T01:41:00Z</dcterms:created>
  <dc:creator>詹诗旺</dc:creator>
  <cp:lastModifiedBy>Administrator</cp:lastModifiedBy>
  <cp:lastPrinted>2023-11-03T03:08:00Z</cp:lastPrinted>
  <dcterms:modified xsi:type="dcterms:W3CDTF">2023-11-28T02:23:34Z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8EC0C180B3B946C9853C5A071BB11DA6_13</vt:lpwstr>
  </property>
</Properties>
</file>