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1479" w:leftChars="385" w:hanging="694" w:hangingChars="196"/>
        <w:rPr>
          <w:rFonts w:hint="eastAsia" w:ascii="宋体" w:hAnsi="宋体"/>
          <w:b/>
          <w:sz w:val="36"/>
          <w:szCs w:val="36"/>
        </w:rPr>
      </w:pPr>
      <w:r>
        <w:rPr>
          <w:rFonts w:hint="eastAsia" w:ascii="宋体" w:hAnsi="宋体"/>
          <w:b/>
          <w:sz w:val="36"/>
          <w:szCs w:val="36"/>
        </w:rPr>
        <w:t>泗县山头镇财政所2022</w:t>
      </w:r>
      <w:r>
        <w:rPr>
          <w:rFonts w:ascii="宋体" w:hAnsi="宋体"/>
          <w:b/>
          <w:sz w:val="36"/>
          <w:szCs w:val="36"/>
        </w:rPr>
        <w:t>年</w:t>
      </w:r>
      <w:r>
        <w:rPr>
          <w:rFonts w:hint="eastAsia" w:ascii="宋体" w:hAnsi="宋体"/>
          <w:b/>
          <w:sz w:val="36"/>
          <w:szCs w:val="36"/>
        </w:rPr>
        <w:t>度一般公共预算财政拨款</w:t>
      </w:r>
      <w:r>
        <w:rPr>
          <w:rFonts w:ascii="宋体" w:hAnsi="宋体"/>
          <w:b/>
          <w:sz w:val="36"/>
          <w:szCs w:val="36"/>
        </w:rPr>
        <w:t>“三公</w:t>
      </w:r>
      <w:r>
        <w:rPr>
          <w:rFonts w:hint="eastAsia" w:ascii="宋体" w:hAnsi="宋体"/>
          <w:b/>
          <w:sz w:val="36"/>
          <w:szCs w:val="36"/>
        </w:rPr>
        <w:t>”</w:t>
      </w:r>
      <w:r>
        <w:rPr>
          <w:rFonts w:ascii="宋体" w:hAnsi="宋体"/>
          <w:b/>
          <w:sz w:val="36"/>
          <w:szCs w:val="36"/>
        </w:rPr>
        <w:t>经费</w:t>
      </w:r>
      <w:r>
        <w:rPr>
          <w:rFonts w:hint="eastAsia" w:ascii="宋体" w:hAnsi="宋体"/>
          <w:b/>
          <w:sz w:val="36"/>
          <w:szCs w:val="36"/>
        </w:rPr>
        <w:t>支出决算</w:t>
      </w:r>
    </w:p>
    <w:p>
      <w:pPr>
        <w:jc w:val="center"/>
        <w:rPr>
          <w:rFonts w:hint="eastAsia" w:ascii="楷体_GB2312" w:eastAsia="楷体_GB2312"/>
          <w:szCs w:val="32"/>
        </w:rPr>
      </w:pPr>
    </w:p>
    <w:p>
      <w:pPr>
        <w:rPr>
          <w:rFonts w:hint="eastAsia" w:ascii="黑体" w:hAnsi="黑体" w:eastAsia="黑体"/>
          <w:sz w:val="32"/>
          <w:szCs w:val="32"/>
        </w:rPr>
      </w:pPr>
      <w:r>
        <w:rPr>
          <w:rFonts w:hint="eastAsia" w:ascii="黑体" w:hAnsi="黑体" w:eastAsia="黑体"/>
          <w:szCs w:val="32"/>
        </w:rPr>
        <w:t xml:space="preserve">   </w:t>
      </w:r>
      <w:r>
        <w:rPr>
          <w:rFonts w:hint="eastAsia" w:ascii="黑体" w:hAnsi="黑体" w:eastAsia="黑体"/>
          <w:sz w:val="32"/>
          <w:szCs w:val="32"/>
        </w:rPr>
        <w:t xml:space="preserve"> 一、2022年度一般公共预算财政拨款“三公”经费支出决算表</w:t>
      </w:r>
    </w:p>
    <w:p>
      <w:pPr>
        <w:ind w:firstLine="7216" w:firstLineChars="2298"/>
        <w:rPr>
          <w:rFonts w:hint="eastAsia" w:ascii="黑体" w:hAnsi="黑体" w:eastAsia="黑体"/>
          <w:sz w:val="32"/>
          <w:szCs w:val="32"/>
        </w:rPr>
      </w:pPr>
      <w:r>
        <w:rPr>
          <w:rFonts w:hint="eastAsia" w:ascii="仿宋_GB2312" w:hAnsi="仿宋_GB2312" w:cs="仿宋_GB2312"/>
          <w:sz w:val="32"/>
          <w:szCs w:val="32"/>
        </w:rPr>
        <w:t>单位：万元</w:t>
      </w:r>
    </w:p>
    <w:tbl>
      <w:tblPr>
        <w:tblStyle w:val="5"/>
        <w:tblpPr w:leftFromText="180" w:rightFromText="180" w:vertAnchor="text" w:horzAnchor="margin" w:tblpY="454"/>
        <w:tblOverlap w:val="never"/>
        <w:tblW w:w="8756" w:type="dxa"/>
        <w:tblInd w:w="0" w:type="dxa"/>
        <w:tblLayout w:type="fixed"/>
        <w:tblCellMar>
          <w:top w:w="0" w:type="dxa"/>
          <w:left w:w="108" w:type="dxa"/>
          <w:bottom w:w="0" w:type="dxa"/>
          <w:right w:w="108" w:type="dxa"/>
        </w:tblCellMar>
      </w:tblPr>
      <w:tblGrid>
        <w:gridCol w:w="4379"/>
        <w:gridCol w:w="2157"/>
        <w:gridCol w:w="2220"/>
      </w:tblGrid>
      <w:tr>
        <w:tblPrEx>
          <w:tblCellMar>
            <w:top w:w="0" w:type="dxa"/>
            <w:left w:w="108" w:type="dxa"/>
            <w:bottom w:w="0" w:type="dxa"/>
            <w:right w:w="108" w:type="dxa"/>
          </w:tblCellMar>
        </w:tblPrEx>
        <w:trPr>
          <w:trHeight w:val="397" w:hRule="atLeast"/>
        </w:trPr>
        <w:tc>
          <w:tcPr>
            <w:tcW w:w="437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b/>
                <w:bCs/>
                <w:kern w:val="0"/>
                <w:sz w:val="32"/>
                <w:szCs w:val="32"/>
              </w:rPr>
            </w:pPr>
            <w:r>
              <w:rPr>
                <w:rFonts w:hint="eastAsia" w:ascii="宋体" w:hAnsi="宋体" w:cs="宋体"/>
                <w:b/>
                <w:bCs/>
                <w:kern w:val="0"/>
                <w:sz w:val="32"/>
                <w:szCs w:val="32"/>
              </w:rPr>
              <w:t>项  目</w:t>
            </w:r>
          </w:p>
        </w:tc>
        <w:tc>
          <w:tcPr>
            <w:tcW w:w="2157" w:type="dxa"/>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b/>
                <w:bCs/>
                <w:kern w:val="0"/>
                <w:sz w:val="32"/>
                <w:szCs w:val="32"/>
              </w:rPr>
            </w:pPr>
            <w:r>
              <w:rPr>
                <w:rFonts w:hint="eastAsia" w:ascii="宋体" w:hAnsi="宋体" w:cs="宋体"/>
                <w:b/>
                <w:bCs/>
                <w:kern w:val="0"/>
                <w:sz w:val="32"/>
                <w:szCs w:val="32"/>
              </w:rPr>
              <w:t>预 算 数</w:t>
            </w:r>
          </w:p>
        </w:tc>
        <w:tc>
          <w:tcPr>
            <w:tcW w:w="2220" w:type="dxa"/>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b/>
                <w:bCs/>
                <w:kern w:val="0"/>
                <w:sz w:val="32"/>
                <w:szCs w:val="32"/>
              </w:rPr>
            </w:pPr>
            <w:r>
              <w:rPr>
                <w:rFonts w:hint="eastAsia" w:ascii="宋体" w:hAnsi="宋体" w:cs="宋体"/>
                <w:b/>
                <w:bCs/>
                <w:kern w:val="0"/>
                <w:sz w:val="32"/>
                <w:szCs w:val="32"/>
              </w:rPr>
              <w:t>决 算 数</w:t>
            </w:r>
          </w:p>
        </w:tc>
      </w:tr>
      <w:tr>
        <w:tblPrEx>
          <w:tblCellMar>
            <w:top w:w="0" w:type="dxa"/>
            <w:left w:w="108" w:type="dxa"/>
            <w:bottom w:w="0" w:type="dxa"/>
            <w:right w:w="108" w:type="dxa"/>
          </w:tblCellMar>
        </w:tblPrEx>
        <w:trPr>
          <w:trHeight w:val="397" w:hRule="atLeast"/>
        </w:trPr>
        <w:tc>
          <w:tcPr>
            <w:tcW w:w="4379" w:type="dxa"/>
            <w:tcBorders>
              <w:top w:val="nil"/>
              <w:left w:val="single" w:color="auto" w:sz="4" w:space="0"/>
              <w:bottom w:val="single" w:color="auto" w:sz="4" w:space="0"/>
              <w:right w:val="single" w:color="auto" w:sz="4" w:space="0"/>
            </w:tcBorders>
            <w:noWrap w:val="0"/>
            <w:vAlign w:val="center"/>
          </w:tcPr>
          <w:p>
            <w:pPr>
              <w:widowControl/>
              <w:jc w:val="center"/>
              <w:rPr>
                <w:rFonts w:ascii="宋体" w:hAnsi="宋体" w:cs="宋体"/>
                <w:b/>
                <w:bCs/>
                <w:kern w:val="0"/>
                <w:sz w:val="32"/>
                <w:szCs w:val="32"/>
              </w:rPr>
            </w:pPr>
            <w:r>
              <w:rPr>
                <w:rFonts w:hint="eastAsia" w:ascii="宋体" w:hAnsi="宋体" w:cs="宋体"/>
                <w:b/>
                <w:bCs/>
                <w:kern w:val="0"/>
                <w:sz w:val="32"/>
                <w:szCs w:val="32"/>
              </w:rPr>
              <w:t>合  计</w:t>
            </w:r>
          </w:p>
        </w:tc>
        <w:tc>
          <w:tcPr>
            <w:tcW w:w="2157" w:type="dxa"/>
            <w:tcBorders>
              <w:top w:val="nil"/>
              <w:left w:val="nil"/>
              <w:bottom w:val="single" w:color="auto" w:sz="4" w:space="0"/>
              <w:right w:val="single" w:color="auto" w:sz="4" w:space="0"/>
            </w:tcBorders>
            <w:noWrap w:val="0"/>
            <w:vAlign w:val="center"/>
          </w:tcPr>
          <w:p>
            <w:pPr>
              <w:widowControl/>
              <w:jc w:val="center"/>
              <w:rPr>
                <w:rFonts w:ascii="宋体" w:hAnsi="宋体" w:cs="宋体"/>
                <w:b/>
                <w:bCs/>
                <w:kern w:val="0"/>
                <w:sz w:val="32"/>
                <w:szCs w:val="32"/>
              </w:rPr>
            </w:pPr>
            <w:r>
              <w:rPr>
                <w:rFonts w:hint="eastAsia" w:ascii="宋体" w:hAnsi="宋体" w:cs="宋体"/>
                <w:b/>
                <w:bCs/>
                <w:kern w:val="0"/>
                <w:sz w:val="32"/>
                <w:szCs w:val="32"/>
              </w:rPr>
              <w:t>1.50</w:t>
            </w:r>
          </w:p>
        </w:tc>
        <w:tc>
          <w:tcPr>
            <w:tcW w:w="2220" w:type="dxa"/>
            <w:tcBorders>
              <w:top w:val="nil"/>
              <w:left w:val="nil"/>
              <w:bottom w:val="single" w:color="auto" w:sz="4" w:space="0"/>
              <w:right w:val="single" w:color="auto" w:sz="4" w:space="0"/>
            </w:tcBorders>
            <w:noWrap w:val="0"/>
            <w:vAlign w:val="center"/>
          </w:tcPr>
          <w:p>
            <w:pPr>
              <w:widowControl/>
              <w:jc w:val="center"/>
              <w:rPr>
                <w:rFonts w:ascii="宋体" w:hAnsi="宋体" w:cs="宋体"/>
                <w:b/>
                <w:bCs/>
                <w:kern w:val="0"/>
                <w:sz w:val="32"/>
                <w:szCs w:val="32"/>
              </w:rPr>
            </w:pPr>
            <w:r>
              <w:rPr>
                <w:rFonts w:hint="eastAsia" w:ascii="宋体" w:hAnsi="宋体" w:cs="宋体"/>
                <w:b/>
                <w:bCs/>
                <w:kern w:val="0"/>
                <w:sz w:val="32"/>
                <w:szCs w:val="32"/>
              </w:rPr>
              <w:t>1.30</w:t>
            </w:r>
          </w:p>
        </w:tc>
      </w:tr>
      <w:tr>
        <w:tblPrEx>
          <w:tblCellMar>
            <w:top w:w="0" w:type="dxa"/>
            <w:left w:w="108" w:type="dxa"/>
            <w:bottom w:w="0" w:type="dxa"/>
            <w:right w:w="108" w:type="dxa"/>
          </w:tblCellMar>
        </w:tblPrEx>
        <w:trPr>
          <w:trHeight w:val="397" w:hRule="atLeast"/>
        </w:trPr>
        <w:tc>
          <w:tcPr>
            <w:tcW w:w="4379"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因公出国（境）费</w:t>
            </w:r>
          </w:p>
        </w:tc>
        <w:tc>
          <w:tcPr>
            <w:tcW w:w="2157" w:type="dxa"/>
            <w:tcBorders>
              <w:top w:val="nil"/>
              <w:left w:val="nil"/>
              <w:bottom w:val="single" w:color="auto" w:sz="4" w:space="0"/>
              <w:right w:val="single" w:color="auto" w:sz="4" w:space="0"/>
            </w:tcBorders>
            <w:noWrap w:val="0"/>
            <w:vAlign w:val="bottom"/>
          </w:tcPr>
          <w:p>
            <w:pPr>
              <w:widowControl/>
              <w:jc w:val="center"/>
              <w:rPr>
                <w:rFonts w:ascii="宋体" w:hAnsi="宋体" w:cs="宋体"/>
                <w:kern w:val="0"/>
                <w:sz w:val="32"/>
                <w:szCs w:val="32"/>
              </w:rPr>
            </w:pPr>
            <w:r>
              <w:rPr>
                <w:rFonts w:hint="eastAsia" w:ascii="宋体" w:hAnsi="宋体" w:cs="宋体"/>
                <w:kern w:val="0"/>
                <w:sz w:val="32"/>
                <w:szCs w:val="32"/>
              </w:rPr>
              <w:t>0.00</w:t>
            </w:r>
          </w:p>
        </w:tc>
        <w:tc>
          <w:tcPr>
            <w:tcW w:w="2220" w:type="dxa"/>
            <w:tcBorders>
              <w:top w:val="nil"/>
              <w:left w:val="nil"/>
              <w:bottom w:val="single" w:color="auto" w:sz="4" w:space="0"/>
              <w:right w:val="single" w:color="auto" w:sz="4" w:space="0"/>
            </w:tcBorders>
            <w:noWrap w:val="0"/>
            <w:vAlign w:val="bottom"/>
          </w:tcPr>
          <w:p>
            <w:pPr>
              <w:widowControl/>
              <w:jc w:val="center"/>
              <w:rPr>
                <w:rFonts w:ascii="宋体" w:hAnsi="宋体" w:cs="宋体"/>
                <w:kern w:val="0"/>
                <w:sz w:val="32"/>
                <w:szCs w:val="32"/>
              </w:rPr>
            </w:pPr>
            <w:r>
              <w:rPr>
                <w:rFonts w:hint="eastAsia" w:ascii="宋体" w:hAnsi="宋体" w:cs="宋体"/>
                <w:kern w:val="0"/>
                <w:sz w:val="32"/>
                <w:szCs w:val="32"/>
              </w:rPr>
              <w:t>0.00</w:t>
            </w:r>
          </w:p>
        </w:tc>
      </w:tr>
      <w:tr>
        <w:tblPrEx>
          <w:tblCellMar>
            <w:top w:w="0" w:type="dxa"/>
            <w:left w:w="108" w:type="dxa"/>
            <w:bottom w:w="0" w:type="dxa"/>
            <w:right w:w="108" w:type="dxa"/>
          </w:tblCellMar>
        </w:tblPrEx>
        <w:trPr>
          <w:trHeight w:val="397" w:hRule="atLeast"/>
        </w:trPr>
        <w:tc>
          <w:tcPr>
            <w:tcW w:w="4379"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公务接待费</w:t>
            </w:r>
          </w:p>
        </w:tc>
        <w:tc>
          <w:tcPr>
            <w:tcW w:w="2157" w:type="dxa"/>
            <w:tcBorders>
              <w:top w:val="nil"/>
              <w:left w:val="nil"/>
              <w:bottom w:val="single" w:color="auto" w:sz="4" w:space="0"/>
              <w:right w:val="single" w:color="auto" w:sz="4" w:space="0"/>
            </w:tcBorders>
            <w:noWrap w:val="0"/>
            <w:vAlign w:val="bottom"/>
          </w:tcPr>
          <w:p>
            <w:pPr>
              <w:widowControl/>
              <w:jc w:val="center"/>
              <w:rPr>
                <w:rFonts w:ascii="宋体" w:hAnsi="宋体" w:cs="宋体"/>
                <w:kern w:val="0"/>
                <w:sz w:val="32"/>
                <w:szCs w:val="32"/>
              </w:rPr>
            </w:pPr>
            <w:r>
              <w:rPr>
                <w:rFonts w:hint="eastAsia" w:ascii="宋体" w:hAnsi="宋体" w:cs="宋体"/>
                <w:kern w:val="0"/>
                <w:sz w:val="32"/>
                <w:szCs w:val="32"/>
              </w:rPr>
              <w:t>1.50</w:t>
            </w:r>
          </w:p>
        </w:tc>
        <w:tc>
          <w:tcPr>
            <w:tcW w:w="2220" w:type="dxa"/>
            <w:tcBorders>
              <w:top w:val="nil"/>
              <w:left w:val="nil"/>
              <w:bottom w:val="single" w:color="auto" w:sz="4" w:space="0"/>
              <w:right w:val="single" w:color="auto" w:sz="4" w:space="0"/>
            </w:tcBorders>
            <w:noWrap w:val="0"/>
            <w:vAlign w:val="bottom"/>
          </w:tcPr>
          <w:p>
            <w:pPr>
              <w:widowControl/>
              <w:jc w:val="center"/>
              <w:rPr>
                <w:rFonts w:ascii="宋体" w:hAnsi="宋体" w:cs="宋体"/>
                <w:kern w:val="0"/>
                <w:sz w:val="32"/>
                <w:szCs w:val="32"/>
              </w:rPr>
            </w:pPr>
            <w:r>
              <w:rPr>
                <w:rFonts w:hint="eastAsia" w:ascii="宋体" w:hAnsi="宋体" w:cs="宋体"/>
                <w:kern w:val="0"/>
                <w:sz w:val="32"/>
                <w:szCs w:val="32"/>
              </w:rPr>
              <w:t>1.30</w:t>
            </w:r>
          </w:p>
        </w:tc>
      </w:tr>
      <w:tr>
        <w:tblPrEx>
          <w:tblCellMar>
            <w:top w:w="0" w:type="dxa"/>
            <w:left w:w="108" w:type="dxa"/>
            <w:bottom w:w="0" w:type="dxa"/>
            <w:right w:w="108" w:type="dxa"/>
          </w:tblCellMar>
        </w:tblPrEx>
        <w:trPr>
          <w:trHeight w:val="397" w:hRule="atLeast"/>
        </w:trPr>
        <w:tc>
          <w:tcPr>
            <w:tcW w:w="4379"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公务用车购置及运行维护费</w:t>
            </w:r>
          </w:p>
        </w:tc>
        <w:tc>
          <w:tcPr>
            <w:tcW w:w="2157" w:type="dxa"/>
            <w:tcBorders>
              <w:top w:val="nil"/>
              <w:left w:val="nil"/>
              <w:bottom w:val="single" w:color="auto" w:sz="4" w:space="0"/>
              <w:right w:val="single" w:color="auto" w:sz="4" w:space="0"/>
            </w:tcBorders>
            <w:noWrap w:val="0"/>
            <w:vAlign w:val="bottom"/>
          </w:tcPr>
          <w:p>
            <w:pPr>
              <w:widowControl/>
              <w:jc w:val="center"/>
              <w:rPr>
                <w:rFonts w:ascii="宋体" w:hAnsi="宋体" w:cs="宋体"/>
                <w:kern w:val="0"/>
                <w:sz w:val="32"/>
                <w:szCs w:val="32"/>
              </w:rPr>
            </w:pPr>
            <w:r>
              <w:rPr>
                <w:rFonts w:hint="eastAsia" w:ascii="宋体" w:hAnsi="宋体" w:cs="宋体"/>
                <w:kern w:val="0"/>
                <w:sz w:val="32"/>
                <w:szCs w:val="32"/>
              </w:rPr>
              <w:t>0.00</w:t>
            </w:r>
          </w:p>
        </w:tc>
        <w:tc>
          <w:tcPr>
            <w:tcW w:w="2220" w:type="dxa"/>
            <w:tcBorders>
              <w:top w:val="nil"/>
              <w:left w:val="nil"/>
              <w:bottom w:val="single" w:color="auto" w:sz="4" w:space="0"/>
              <w:right w:val="single" w:color="auto" w:sz="4" w:space="0"/>
            </w:tcBorders>
            <w:noWrap w:val="0"/>
            <w:vAlign w:val="bottom"/>
          </w:tcPr>
          <w:p>
            <w:pPr>
              <w:widowControl/>
              <w:jc w:val="center"/>
              <w:rPr>
                <w:rFonts w:ascii="宋体" w:hAnsi="宋体" w:cs="宋体"/>
                <w:kern w:val="0"/>
                <w:sz w:val="32"/>
                <w:szCs w:val="32"/>
              </w:rPr>
            </w:pPr>
            <w:r>
              <w:rPr>
                <w:rFonts w:hint="eastAsia" w:ascii="宋体" w:hAnsi="宋体" w:cs="宋体"/>
                <w:kern w:val="0"/>
                <w:sz w:val="32"/>
                <w:szCs w:val="32"/>
              </w:rPr>
              <w:t>0.00</w:t>
            </w:r>
          </w:p>
        </w:tc>
      </w:tr>
      <w:tr>
        <w:tblPrEx>
          <w:tblCellMar>
            <w:top w:w="0" w:type="dxa"/>
            <w:left w:w="108" w:type="dxa"/>
            <w:bottom w:w="0" w:type="dxa"/>
            <w:right w:w="108" w:type="dxa"/>
          </w:tblCellMar>
        </w:tblPrEx>
        <w:trPr>
          <w:trHeight w:val="397" w:hRule="atLeast"/>
        </w:trPr>
        <w:tc>
          <w:tcPr>
            <w:tcW w:w="4379"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其中：公务用车购置费</w:t>
            </w:r>
          </w:p>
        </w:tc>
        <w:tc>
          <w:tcPr>
            <w:tcW w:w="2157" w:type="dxa"/>
            <w:tcBorders>
              <w:top w:val="nil"/>
              <w:left w:val="nil"/>
              <w:bottom w:val="single" w:color="auto" w:sz="4" w:space="0"/>
              <w:right w:val="single" w:color="auto" w:sz="4" w:space="0"/>
            </w:tcBorders>
            <w:noWrap w:val="0"/>
            <w:vAlign w:val="bottom"/>
          </w:tcPr>
          <w:p>
            <w:pPr>
              <w:widowControl/>
              <w:jc w:val="center"/>
              <w:rPr>
                <w:rFonts w:ascii="宋体" w:hAnsi="宋体" w:cs="宋体"/>
                <w:kern w:val="0"/>
                <w:sz w:val="32"/>
                <w:szCs w:val="32"/>
              </w:rPr>
            </w:pPr>
            <w:r>
              <w:rPr>
                <w:rFonts w:hint="eastAsia" w:ascii="宋体" w:hAnsi="宋体" w:cs="宋体"/>
                <w:kern w:val="0"/>
                <w:sz w:val="32"/>
                <w:szCs w:val="32"/>
              </w:rPr>
              <w:t>0.00</w:t>
            </w:r>
          </w:p>
        </w:tc>
        <w:tc>
          <w:tcPr>
            <w:tcW w:w="2220" w:type="dxa"/>
            <w:tcBorders>
              <w:top w:val="nil"/>
              <w:left w:val="nil"/>
              <w:bottom w:val="single" w:color="auto" w:sz="4" w:space="0"/>
              <w:right w:val="single" w:color="auto" w:sz="4" w:space="0"/>
            </w:tcBorders>
            <w:noWrap w:val="0"/>
            <w:vAlign w:val="bottom"/>
          </w:tcPr>
          <w:p>
            <w:pPr>
              <w:widowControl/>
              <w:jc w:val="center"/>
              <w:rPr>
                <w:rFonts w:ascii="宋体" w:hAnsi="宋体" w:cs="宋体"/>
                <w:kern w:val="0"/>
                <w:sz w:val="32"/>
                <w:szCs w:val="32"/>
              </w:rPr>
            </w:pPr>
            <w:r>
              <w:rPr>
                <w:rFonts w:hint="eastAsia" w:ascii="宋体" w:hAnsi="宋体" w:cs="宋体"/>
                <w:kern w:val="0"/>
                <w:sz w:val="32"/>
                <w:szCs w:val="32"/>
              </w:rPr>
              <w:t>0.00</w:t>
            </w:r>
          </w:p>
        </w:tc>
      </w:tr>
      <w:tr>
        <w:tblPrEx>
          <w:tblCellMar>
            <w:top w:w="0" w:type="dxa"/>
            <w:left w:w="108" w:type="dxa"/>
            <w:bottom w:w="0" w:type="dxa"/>
            <w:right w:w="108" w:type="dxa"/>
          </w:tblCellMar>
        </w:tblPrEx>
        <w:trPr>
          <w:trHeight w:val="397" w:hRule="atLeast"/>
        </w:trPr>
        <w:tc>
          <w:tcPr>
            <w:tcW w:w="4379"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公务用车运行维护费</w:t>
            </w:r>
          </w:p>
        </w:tc>
        <w:tc>
          <w:tcPr>
            <w:tcW w:w="2157" w:type="dxa"/>
            <w:tcBorders>
              <w:top w:val="nil"/>
              <w:left w:val="nil"/>
              <w:bottom w:val="single" w:color="auto" w:sz="4" w:space="0"/>
              <w:right w:val="single" w:color="auto" w:sz="4" w:space="0"/>
            </w:tcBorders>
            <w:noWrap w:val="0"/>
            <w:vAlign w:val="bottom"/>
          </w:tcPr>
          <w:p>
            <w:pPr>
              <w:widowControl/>
              <w:jc w:val="center"/>
              <w:rPr>
                <w:rFonts w:ascii="宋体" w:hAnsi="宋体" w:cs="宋体"/>
                <w:kern w:val="0"/>
                <w:sz w:val="32"/>
                <w:szCs w:val="32"/>
              </w:rPr>
            </w:pPr>
            <w:r>
              <w:rPr>
                <w:rFonts w:hint="eastAsia" w:ascii="宋体" w:hAnsi="宋体" w:cs="宋体"/>
                <w:kern w:val="0"/>
                <w:sz w:val="32"/>
                <w:szCs w:val="32"/>
              </w:rPr>
              <w:t>0.00</w:t>
            </w:r>
          </w:p>
        </w:tc>
        <w:tc>
          <w:tcPr>
            <w:tcW w:w="2220" w:type="dxa"/>
            <w:tcBorders>
              <w:top w:val="nil"/>
              <w:left w:val="nil"/>
              <w:bottom w:val="single" w:color="auto" w:sz="4" w:space="0"/>
              <w:right w:val="single" w:color="auto" w:sz="4" w:space="0"/>
            </w:tcBorders>
            <w:noWrap w:val="0"/>
            <w:vAlign w:val="bottom"/>
          </w:tcPr>
          <w:p>
            <w:pPr>
              <w:widowControl/>
              <w:jc w:val="center"/>
              <w:rPr>
                <w:rFonts w:ascii="宋体" w:hAnsi="宋体" w:cs="宋体"/>
                <w:kern w:val="0"/>
                <w:sz w:val="32"/>
                <w:szCs w:val="32"/>
              </w:rPr>
            </w:pPr>
            <w:r>
              <w:rPr>
                <w:rFonts w:hint="eastAsia" w:ascii="宋体" w:hAnsi="宋体" w:cs="宋体"/>
                <w:kern w:val="0"/>
                <w:sz w:val="32"/>
                <w:szCs w:val="32"/>
              </w:rPr>
              <w:t>0.00</w:t>
            </w:r>
          </w:p>
        </w:tc>
      </w:tr>
    </w:tbl>
    <w:p>
      <w:pPr>
        <w:spacing w:line="300" w:lineRule="exact"/>
        <w:rPr>
          <w:rFonts w:hint="eastAsia" w:ascii="仿宋_GB2312" w:hAnsi="仿宋"/>
          <w:sz w:val="32"/>
          <w:szCs w:val="32"/>
        </w:rPr>
      </w:pPr>
    </w:p>
    <w:p>
      <w:pPr>
        <w:spacing w:line="300" w:lineRule="exact"/>
        <w:rPr>
          <w:rFonts w:hint="eastAsia" w:ascii="仿宋_GB2312" w:hAnsi="仿宋_GB2312" w:eastAsia="仿宋_GB2312" w:cs="仿宋_GB2312"/>
          <w:sz w:val="32"/>
          <w:szCs w:val="32"/>
        </w:rPr>
      </w:pPr>
    </w:p>
    <w:p>
      <w:pPr>
        <w:spacing w:line="300" w:lineRule="exact"/>
        <w:rPr>
          <w:rFonts w:hint="eastAsia" w:ascii="黑体" w:hAnsi="黑体" w:eastAsia="黑体"/>
          <w:sz w:val="32"/>
          <w:szCs w:val="32"/>
        </w:rPr>
      </w:pPr>
      <w:bookmarkStart w:id="0" w:name="_GoBack"/>
      <w:bookmarkEnd w:id="0"/>
      <w:r>
        <w:rPr>
          <w:rFonts w:hint="eastAsia" w:ascii="仿宋_GB2312" w:hAnsi="仿宋_GB2312" w:eastAsia="仿宋_GB2312" w:cs="仿宋_GB2312"/>
          <w:sz w:val="32"/>
          <w:szCs w:val="32"/>
        </w:rPr>
        <w:t xml:space="preserve">注：本表反映单位本年度一般公共预算财政拨款“三公”经费支出预决算情况。其中，预算数为“三公”经费全年预算数，反映按规定程序调整后的预算数;决算数是包括当年一般公共预算财政拨款和以前年度结转资金安排的实际支出。        </w:t>
      </w:r>
      <w:r>
        <w:rPr>
          <w:rFonts w:hint="eastAsia" w:ascii="黑体" w:hAnsi="黑体" w:eastAsia="黑体"/>
          <w:sz w:val="32"/>
          <w:szCs w:val="32"/>
        </w:rPr>
        <w:t xml:space="preserve">                               </w:t>
      </w:r>
    </w:p>
    <w:p>
      <w:pPr>
        <w:rPr>
          <w:rFonts w:hint="eastAsia" w:ascii="黑体" w:hAnsi="黑体" w:eastAsia="黑体"/>
          <w:sz w:val="32"/>
          <w:szCs w:val="32"/>
        </w:rPr>
      </w:pPr>
      <w:r>
        <w:rPr>
          <w:rFonts w:ascii="黑体" w:hAnsi="黑体" w:eastAsia="黑体"/>
          <w:sz w:val="32"/>
          <w:szCs w:val="32"/>
        </w:rPr>
        <w:t xml:space="preserve">    </w:t>
      </w: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2022</w:t>
      </w:r>
      <w:r>
        <w:rPr>
          <w:rFonts w:ascii="黑体" w:hAnsi="黑体" w:eastAsia="黑体"/>
          <w:sz w:val="32"/>
          <w:szCs w:val="32"/>
        </w:rPr>
        <w:t>年</w:t>
      </w:r>
      <w:r>
        <w:rPr>
          <w:rFonts w:hint="eastAsia" w:ascii="黑体" w:hAnsi="黑体" w:eastAsia="黑体"/>
          <w:sz w:val="32"/>
          <w:szCs w:val="32"/>
        </w:rPr>
        <w:t>度一般公共预算财政拨款“三公”经费支出</w:t>
      </w:r>
      <w:r>
        <w:rPr>
          <w:rFonts w:ascii="黑体" w:hAnsi="黑体" w:eastAsia="黑体"/>
          <w:sz w:val="32"/>
          <w:szCs w:val="32"/>
        </w:rPr>
        <w:t>情况说明</w:t>
      </w:r>
    </w:p>
    <w:p>
      <w:pPr>
        <w:ind w:firstLine="628" w:firstLineChars="200"/>
        <w:rPr>
          <w:rFonts w:hint="eastAsia" w:ascii="仿宋_GB2312" w:hAnsi="仿宋"/>
          <w:b/>
          <w:sz w:val="32"/>
          <w:szCs w:val="32"/>
        </w:rPr>
      </w:pPr>
      <w:r>
        <w:rPr>
          <w:rFonts w:hint="eastAsia" w:ascii="仿宋_GB2312" w:hAnsi="仿宋"/>
          <w:b/>
          <w:sz w:val="32"/>
          <w:szCs w:val="32"/>
        </w:rPr>
        <w:t>（一）一般公共预算财政拨款“三公”经费支出决算总体情况说明。</w:t>
      </w:r>
    </w:p>
    <w:p>
      <w:pPr>
        <w:ind w:firstLine="628"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山头镇财政所2022年度一般公共预算财政拨款“三公”经费支出预算为1.50万元，支出决算为1.30万元，完成预算的86.67%，较上年减少0万元，减少0.00%。</w:t>
      </w:r>
    </w:p>
    <w:p>
      <w:pPr>
        <w:ind w:firstLine="628" w:firstLineChars="200"/>
        <w:rPr>
          <w:rFonts w:hint="eastAsia" w:ascii="仿宋_GB2312" w:hAnsi="仿宋"/>
          <w:b/>
          <w:sz w:val="32"/>
          <w:szCs w:val="32"/>
        </w:rPr>
      </w:pPr>
      <w:r>
        <w:rPr>
          <w:rFonts w:hint="eastAsia" w:ascii="仿宋_GB2312" w:hAnsi="仿宋"/>
          <w:b/>
          <w:bCs/>
          <w:sz w:val="32"/>
          <w:szCs w:val="32"/>
        </w:rPr>
        <w:t>（二）</w:t>
      </w:r>
      <w:r>
        <w:rPr>
          <w:rFonts w:hint="eastAsia" w:ascii="仿宋_GB2312" w:hAnsi="仿宋"/>
          <w:b/>
          <w:sz w:val="32"/>
          <w:szCs w:val="32"/>
        </w:rPr>
        <w:t>一般公共预算财政拨款“三公”经费支出决算具体情况说明。</w:t>
      </w:r>
    </w:p>
    <w:p>
      <w:pPr>
        <w:ind w:firstLine="628"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山头镇财政所2022年度一般公共预算财政拨款“三公”经费支出决算中，因公出国（境）费支出决算0万元，占0.00%;公务接待费支出决算1.30万元，占86.67%；公务用车购置及运行维护费支出决算0.00万元，占0.00%。具体情况如下：</w:t>
      </w:r>
    </w:p>
    <w:p>
      <w:pPr>
        <w:ind w:firstLine="628"/>
        <w:rPr>
          <w:rFonts w:hint="eastAsia" w:ascii="仿宋_GB2312" w:hAnsi="仿宋_GB2312" w:eastAsia="仿宋_GB2312" w:cs="仿宋_GB2312"/>
          <w:sz w:val="32"/>
          <w:szCs w:val="32"/>
        </w:rPr>
      </w:pPr>
      <w:r>
        <w:rPr>
          <w:rFonts w:hint="eastAsia" w:ascii="仿宋_GB2312" w:hAnsi="仿宋"/>
          <w:b/>
          <w:bCs/>
          <w:sz w:val="32"/>
          <w:szCs w:val="32"/>
        </w:rPr>
        <w:t>1.因公出国（境）费</w:t>
      </w:r>
      <w:r>
        <w:rPr>
          <w:rFonts w:hint="eastAsia" w:ascii="仿宋_GB2312" w:hAnsi="仿宋_GB2312" w:eastAsia="仿宋_GB2312" w:cs="仿宋_GB2312"/>
          <w:sz w:val="32"/>
          <w:szCs w:val="32"/>
        </w:rPr>
        <w:t>预算为0万元，支出决算为0万元，完成预算的0.00%；较上年减少（增加）0万元，下降（增长）0.00%。决算数小于（大于）预算数的主要原因是2021年度、2022年度未安排出国境费。</w:t>
      </w:r>
    </w:p>
    <w:p>
      <w:pPr>
        <w:ind w:firstLine="628" w:firstLineChars="200"/>
        <w:rPr>
          <w:rFonts w:hint="eastAsia" w:ascii="仿宋_GB2312" w:hAnsi="仿宋_GB2312" w:eastAsia="仿宋_GB2312" w:cs="仿宋_GB2312"/>
          <w:sz w:val="32"/>
          <w:szCs w:val="32"/>
        </w:rPr>
      </w:pPr>
      <w:r>
        <w:rPr>
          <w:rFonts w:hint="eastAsia" w:ascii="仿宋_GB2312" w:hAnsi="仿宋"/>
          <w:b/>
          <w:bCs/>
          <w:sz w:val="32"/>
          <w:szCs w:val="32"/>
        </w:rPr>
        <w:t>2.公务接待费</w:t>
      </w:r>
      <w:r>
        <w:rPr>
          <w:rFonts w:hint="eastAsia" w:ascii="仿宋_GB2312" w:hAnsi="仿宋_GB2312" w:eastAsia="仿宋_GB2312" w:cs="仿宋_GB2312"/>
          <w:sz w:val="32"/>
          <w:szCs w:val="32"/>
        </w:rPr>
        <w:t>预算为1.50万元，支出决算为1.30万元，完成预算的86.67%；较上年减少0.20万元，下降15.38%。决算数小于预算数的主要原因是压缩支出。2022年山头镇财政所国内公务接待共33批次（其中外事接待0批次）96人次（其中外事接待0人次）。主要是用于接待上级业务指导。经费使用贯彻中央八项规定精神和省委实施细则，严格执行《党政机关厉行节约反对浪费条例》、《安徽省省直机关公务接待管理暂行办法》（财行〔2014〕2066号）、《安徽省财政厅关于调整省直机关公务接待费用餐标准的通知》（财行〔2018〕1096号）等相关规定。</w:t>
      </w:r>
    </w:p>
    <w:p>
      <w:pPr>
        <w:ind w:firstLine="628" w:firstLineChars="200"/>
        <w:rPr>
          <w:rFonts w:hint="eastAsia" w:ascii="仿宋_GB2312" w:hAnsi="仿宋_GB2312" w:eastAsia="仿宋_GB2312" w:cs="仿宋_GB2312"/>
          <w:sz w:val="32"/>
          <w:szCs w:val="32"/>
        </w:rPr>
      </w:pPr>
      <w:r>
        <w:rPr>
          <w:rFonts w:hint="eastAsia" w:ascii="仿宋_GB2312" w:hAnsi="仿宋"/>
          <w:b/>
          <w:bCs/>
          <w:sz w:val="32"/>
          <w:szCs w:val="32"/>
        </w:rPr>
        <w:t>3.公务用车购置及运行维护费</w:t>
      </w:r>
      <w:r>
        <w:rPr>
          <w:rFonts w:hint="eastAsia" w:ascii="仿宋_GB2312" w:hAnsi="仿宋_GB2312" w:eastAsia="仿宋_GB2312" w:cs="仿宋_GB2312"/>
          <w:sz w:val="32"/>
          <w:szCs w:val="32"/>
        </w:rPr>
        <w:t>预算为0元，支出决算为 0万元，完成预算的0.00%；较上年增加0万元，增长0.00%。决算数较上年增加的主要原因是维修费用增加.其中，公务用车购置费预算为0.00万元，支出决算为0.00万元，完成预算的0.00%；较上年减少（增加）0万元，下降（增长）0.00%。。决算数较上年增加的主要原因是维修费用增加。</w:t>
      </w:r>
      <w:r>
        <w:rPr>
          <w:rFonts w:hint="eastAsia" w:ascii="楷体_GB2312" w:hAnsi="仿宋" w:eastAsia="楷体_GB2312"/>
          <w:sz w:val="32"/>
          <w:szCs w:val="32"/>
        </w:rPr>
        <w:t>2022年没有安</w:t>
      </w:r>
      <w:r>
        <w:rPr>
          <w:rFonts w:hint="eastAsia" w:ascii="仿宋_GB2312" w:hAnsi="仿宋_GB2312" w:eastAsia="仿宋_GB2312" w:cs="仿宋_GB2312"/>
          <w:sz w:val="32"/>
          <w:szCs w:val="32"/>
        </w:rPr>
        <w:t>排公务用车购置费。公务用车运行维护费预算为0万元，支出决算为0万元，完成预算的0.00%；较上年减少（增加）0.00万元，下降（增长）0.00%。。决算数较上年增加的主要原因是维修费用增加。公务用车运行维护费，包括车辆燃料费、维修费、过路过桥费、保险费等支出。截至2022年12月31日，山头镇财政所开支财政拨款的公务用车保有量为0辆。</w:t>
      </w:r>
    </w:p>
    <w:p>
      <w:pPr>
        <w:ind w:firstLine="628" w:firstLineChars="200"/>
        <w:rPr>
          <w:rFonts w:hint="eastAsia" w:ascii="仿宋_GB2312" w:hAnsi="仿宋_GB2312" w:eastAsia="仿宋_GB2312" w:cs="仿宋_GB2312"/>
          <w:sz w:val="32"/>
          <w:szCs w:val="32"/>
        </w:rPr>
      </w:pPr>
    </w:p>
    <w:p>
      <w:pPr>
        <w:pStyle w:val="2"/>
        <w:ind w:left="1258" w:hanging="1258"/>
        <w:jc w:val="both"/>
        <w:rPr>
          <w:rFonts w:hint="eastAsia" w:ascii="仿宋_GB2312" w:eastAsia="仿宋_GB2312"/>
          <w:sz w:val="32"/>
          <w:szCs w:val="32"/>
        </w:rPr>
      </w:pPr>
    </w:p>
    <w:p>
      <w:pPr>
        <w:pStyle w:val="2"/>
        <w:jc w:val="both"/>
        <w:rPr>
          <w:rFonts w:hint="eastAsia"/>
          <w:sz w:val="32"/>
          <w:szCs w:val="32"/>
        </w:rPr>
      </w:pPr>
    </w:p>
    <w:p>
      <w:pPr>
        <w:jc w:val="center"/>
        <w:rPr>
          <w:rFonts w:ascii="黑体" w:hAnsi="黑体" w:eastAsia="黑体"/>
          <w:sz w:val="32"/>
          <w:szCs w:val="32"/>
        </w:rPr>
      </w:pPr>
    </w:p>
    <w:sectPr>
      <w:footerReference r:id="rId3" w:type="default"/>
      <w:footerReference r:id="rId4" w:type="even"/>
      <w:pgSz w:w="11906" w:h="16838"/>
      <w:pgMar w:top="2155" w:right="1531" w:bottom="1588" w:left="1588" w:header="0" w:footer="1588" w:gutter="0"/>
      <w:cols w:space="720" w:num="1"/>
      <w:docGrid w:type="linesAndChars" w:linePitch="569" w:charSpace="-126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right" w:y="1"/>
      <w:rPr>
        <w:rStyle w:val="8"/>
        <w:rFonts w:ascii="仿宋_GB2312"/>
        <w:sz w:val="28"/>
      </w:rPr>
    </w:pPr>
    <w:r>
      <w:rPr>
        <w:rStyle w:val="8"/>
        <w:rFonts w:hint="eastAsia" w:ascii="仿宋_GB2312"/>
        <w:sz w:val="28"/>
      </w:rPr>
      <w:t>-</w:t>
    </w:r>
    <w:r>
      <w:rPr>
        <w:rFonts w:hint="eastAsia" w:ascii="仿宋_GB2312"/>
        <w:sz w:val="28"/>
        <w:szCs w:val="28"/>
      </w:rPr>
      <w:fldChar w:fldCharType="begin"/>
    </w:r>
    <w:r>
      <w:rPr>
        <w:rStyle w:val="8"/>
        <w:rFonts w:hint="eastAsia" w:ascii="仿宋_GB2312"/>
        <w:sz w:val="28"/>
        <w:szCs w:val="28"/>
      </w:rPr>
      <w:instrText xml:space="preserve"> PAGE </w:instrText>
    </w:r>
    <w:r>
      <w:rPr>
        <w:rFonts w:hint="eastAsia" w:ascii="仿宋_GB2312"/>
        <w:sz w:val="28"/>
        <w:szCs w:val="28"/>
      </w:rPr>
      <w:fldChar w:fldCharType="separate"/>
    </w:r>
    <w:r>
      <w:rPr>
        <w:rStyle w:val="8"/>
        <w:rFonts w:ascii="仿宋_GB2312"/>
        <w:sz w:val="28"/>
        <w:szCs w:val="28"/>
      </w:rPr>
      <w:t>20</w:t>
    </w:r>
    <w:r>
      <w:rPr>
        <w:rFonts w:hint="eastAsia" w:ascii="仿宋_GB2312"/>
        <w:sz w:val="28"/>
        <w:szCs w:val="28"/>
      </w:rPr>
      <w:fldChar w:fldCharType="end"/>
    </w:r>
    <w:r>
      <w:rPr>
        <w:rStyle w:val="8"/>
        <w:rFonts w:hint="eastAsia" w:ascii="仿宋_GB2312"/>
        <w:sz w:val="28"/>
        <w:szCs w:val="28"/>
      </w:rPr>
      <w:t>-</w:t>
    </w:r>
  </w:p>
  <w:p>
    <w:pPr>
      <w:pStyle w:val="3"/>
      <w:ind w:right="360"/>
      <w:jc w:val="right"/>
      <w:rPr>
        <w:rFonts w:hint="eastAsia" w:ascii="仿宋_GB2312"/>
        <w:sz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right" w:y="1"/>
      <w:rPr>
        <w:rStyle w:val="8"/>
      </w:rPr>
    </w:pPr>
    <w:r>
      <w:fldChar w:fldCharType="begin"/>
    </w:r>
    <w:r>
      <w:rPr>
        <w:rStyle w:val="8"/>
      </w:rPr>
      <w:instrText xml:space="preserve">PAGE  </w:instrText>
    </w:r>
    <w:r>
      <w:fldChar w:fldCharType="separate"/>
    </w:r>
    <w:r>
      <w:rPr>
        <w:rStyle w:val="8"/>
      </w:rPr>
      <w:t>1</w:t>
    </w:r>
    <w:r>
      <w:fldChar w:fldCharType="end"/>
    </w:r>
  </w:p>
  <w:p>
    <w:pPr>
      <w:pStyle w:val="3"/>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57"/>
  <w:drawingGridVerticalSpacing w:val="569"/>
  <w:displayHorizont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1NTc0ODRkNTJiYWE2ZWZiMjUxMDZjMjY1NDAwYjgifQ=="/>
  </w:docVars>
  <w:rsids>
    <w:rsidRoot w:val="00875236"/>
    <w:rsid w:val="000F7507"/>
    <w:rsid w:val="0025193B"/>
    <w:rsid w:val="002C0EDF"/>
    <w:rsid w:val="002F09B2"/>
    <w:rsid w:val="00597F1B"/>
    <w:rsid w:val="00681ACA"/>
    <w:rsid w:val="00875236"/>
    <w:rsid w:val="009239F8"/>
    <w:rsid w:val="009739A5"/>
    <w:rsid w:val="00A418EA"/>
    <w:rsid w:val="00B44F37"/>
    <w:rsid w:val="00B54A99"/>
    <w:rsid w:val="00C342DC"/>
    <w:rsid w:val="00C507D5"/>
    <w:rsid w:val="00C83EE6"/>
    <w:rsid w:val="00CA354B"/>
    <w:rsid w:val="00D369E6"/>
    <w:rsid w:val="00E269B1"/>
    <w:rsid w:val="00E8066A"/>
    <w:rsid w:val="00EA2054"/>
    <w:rsid w:val="00ED030E"/>
    <w:rsid w:val="00F5223E"/>
    <w:rsid w:val="00FA4E1B"/>
    <w:rsid w:val="00FB32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jc w:val="center"/>
    </w:pPr>
    <w:rPr>
      <w:rFonts w:eastAsia="黑体"/>
      <w:sz w:val="36"/>
    </w:r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page number"/>
    <w:qFormat/>
    <w:uiPriority w:val="0"/>
  </w:style>
  <w:style w:type="character" w:customStyle="1" w:styleId="9">
    <w:name w:val="页眉 Char"/>
    <w:basedOn w:val="7"/>
    <w:link w:val="4"/>
    <w:uiPriority w:val="99"/>
    <w:rPr>
      <w:sz w:val="18"/>
      <w:szCs w:val="18"/>
    </w:rPr>
  </w:style>
  <w:style w:type="character" w:customStyle="1" w:styleId="10">
    <w:name w:val="页脚 Char"/>
    <w:basedOn w:val="7"/>
    <w:link w:val="3"/>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2</Pages>
  <Words>113</Words>
  <Characters>646</Characters>
  <Lines>5</Lines>
  <Paragraphs>1</Paragraphs>
  <TotalTime>3</TotalTime>
  <ScaleCrop>false</ScaleCrop>
  <LinksUpToDate>false</LinksUpToDate>
  <CharactersWithSpaces>758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2022-03-07T05:30:00Z</dcterms:created>
  <dc:creator>china</dc:creator>
  <cp:lastModifiedBy>Administrator</cp:lastModifiedBy>
  <dcterms:modified xsi:type="dcterms:W3CDTF">2023-10-07T01:14:16Z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70E66463BEAE449D809A4F2716A01362_12</vt:lpwstr>
  </property>
</Properties>
</file>