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泗县县委</w:t>
      </w:r>
      <w:r>
        <w:rPr>
          <w:rFonts w:hint="eastAsia" w:ascii="方正小标宋简体" w:hAnsi="方正小标宋简体" w:eastAsia="方正小标宋简体" w:cs="方正小标宋简体"/>
          <w:b w:val="0"/>
          <w:bCs/>
          <w:color w:val="auto"/>
          <w:sz w:val="44"/>
          <w:szCs w:val="44"/>
          <w:lang w:eastAsia="zh-CN"/>
        </w:rPr>
        <w:t>宣传部（</w:t>
      </w:r>
      <w:r>
        <w:rPr>
          <w:rFonts w:hint="eastAsia" w:ascii="方正小标宋简体" w:hAnsi="方正小标宋简体" w:eastAsia="方正小标宋简体" w:cs="方正小标宋简体"/>
          <w:b w:val="0"/>
          <w:bCs/>
          <w:color w:val="auto"/>
          <w:sz w:val="44"/>
          <w:szCs w:val="44"/>
          <w:lang w:val="en-US" w:eastAsia="zh-CN"/>
        </w:rPr>
        <w:t>本级</w:t>
      </w:r>
      <w:r>
        <w:rPr>
          <w:rFonts w:hint="eastAsia" w:ascii="方正小标宋简体" w:hAnsi="方正小标宋简体" w:eastAsia="方正小标宋简体" w:cs="方正小标宋简体"/>
          <w:b w:val="0"/>
          <w:bCs/>
          <w:color w:val="auto"/>
          <w:sz w:val="44"/>
          <w:szCs w:val="44"/>
          <w:lang w:eastAsia="zh-CN"/>
        </w:rPr>
        <w:t>）202</w:t>
      </w:r>
      <w:r>
        <w:rPr>
          <w:rFonts w:hint="eastAsia" w:ascii="方正小标宋简体" w:hAnsi="方正小标宋简体" w:eastAsia="方正小标宋简体" w:cs="方正小标宋简体"/>
          <w:b w:val="0"/>
          <w:bCs/>
          <w:color w:val="auto"/>
          <w:sz w:val="44"/>
          <w:szCs w:val="44"/>
          <w:lang w:val="en-US" w:eastAsia="zh-CN"/>
        </w:rPr>
        <w:t>2</w:t>
      </w:r>
      <w:r>
        <w:rPr>
          <w:rFonts w:hint="eastAsia" w:ascii="方正小标宋简体" w:hAnsi="方正小标宋简体" w:eastAsia="方正小标宋简体" w:cs="方正小标宋简体"/>
          <w:b w:val="0"/>
          <w:bCs/>
          <w:color w:val="auto"/>
          <w:sz w:val="44"/>
          <w:szCs w:val="44"/>
        </w:rPr>
        <w:t>年度</w:t>
      </w:r>
      <w:r>
        <w:rPr>
          <w:rFonts w:hint="eastAsia" w:ascii="方正小标宋简体" w:hAnsi="方正小标宋简体" w:eastAsia="方正小标宋简体" w:cs="方正小标宋简体"/>
          <w:b w:val="0"/>
          <w:bCs/>
          <w:color w:val="auto"/>
          <w:sz w:val="44"/>
          <w:szCs w:val="44"/>
          <w:lang w:eastAsia="zh-CN"/>
        </w:rPr>
        <w:t>单位决算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8"/>
        <w:adjustRightInd w:val="0"/>
        <w:snapToGrid w:val="0"/>
        <w:spacing w:before="0" w:beforeAutospacing="0" w:after="0" w:afterAutospacing="0" w:line="360" w:lineRule="auto"/>
        <w:jc w:val="center"/>
        <w:rPr>
          <w:rFonts w:hint="eastAsia" w:ascii="黑体" w:hAnsi="宋体" w:eastAsia="黑体"/>
          <w:bCs/>
          <w:color w:val="auto"/>
          <w:sz w:val="48"/>
          <w:szCs w:val="48"/>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3</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10</w:t>
      </w:r>
      <w:bookmarkStart w:id="0" w:name="_GoBack"/>
      <w:bookmarkEnd w:id="0"/>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泗县</w:t>
      </w:r>
      <w:r>
        <w:rPr>
          <w:rFonts w:hint="eastAsia" w:ascii="宋体" w:hAnsi="宋体"/>
          <w:b/>
          <w:color w:val="auto"/>
          <w:sz w:val="36"/>
          <w:szCs w:val="36"/>
          <w:lang w:eastAsia="zh-CN"/>
        </w:rPr>
        <w:t>县委宣传部（</w:t>
      </w:r>
      <w:r>
        <w:rPr>
          <w:rFonts w:hint="eastAsia" w:ascii="宋体" w:hAnsi="宋体"/>
          <w:b/>
          <w:color w:val="auto"/>
          <w:sz w:val="36"/>
          <w:szCs w:val="36"/>
          <w:lang w:val="en-US" w:eastAsia="zh-CN"/>
        </w:rPr>
        <w:t>本级</w:t>
      </w:r>
      <w:r>
        <w:rPr>
          <w:rFonts w:hint="eastAsia" w:ascii="宋体" w:hAnsi="宋体"/>
          <w:b/>
          <w:color w:val="auto"/>
          <w:sz w:val="36"/>
          <w:szCs w:val="36"/>
          <w:lang w:eastAsia="zh-CN"/>
        </w:rPr>
        <w:t>）</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单位决算构成</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泗县</w:t>
      </w:r>
      <w:r>
        <w:rPr>
          <w:rFonts w:hint="eastAsia" w:ascii="宋体" w:hAnsi="宋体"/>
          <w:b/>
          <w:color w:val="auto"/>
          <w:sz w:val="36"/>
          <w:szCs w:val="36"/>
          <w:lang w:eastAsia="zh-CN"/>
        </w:rPr>
        <w:t>县委宣传部（</w:t>
      </w:r>
      <w:r>
        <w:rPr>
          <w:rFonts w:hint="eastAsia" w:ascii="宋体" w:hAnsi="宋体"/>
          <w:b/>
          <w:color w:val="auto"/>
          <w:sz w:val="36"/>
          <w:szCs w:val="36"/>
          <w:lang w:val="en-US" w:eastAsia="zh-CN"/>
        </w:rPr>
        <w:t>本级</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泗县</w:t>
      </w:r>
      <w:r>
        <w:rPr>
          <w:rFonts w:hint="eastAsia" w:ascii="宋体" w:hAnsi="宋体"/>
          <w:b/>
          <w:color w:val="auto"/>
          <w:sz w:val="36"/>
          <w:szCs w:val="36"/>
          <w:lang w:eastAsia="zh-CN"/>
        </w:rPr>
        <w:t>县委宣传部（</w:t>
      </w:r>
      <w:r>
        <w:rPr>
          <w:rFonts w:hint="eastAsia" w:ascii="宋体" w:hAnsi="宋体"/>
          <w:b/>
          <w:color w:val="auto"/>
          <w:sz w:val="36"/>
          <w:szCs w:val="36"/>
          <w:lang w:val="en-US" w:eastAsia="zh-CN"/>
        </w:rPr>
        <w:t>本级</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Cs/>
          <w:color w:val="auto"/>
          <w:sz w:val="36"/>
          <w:szCs w:val="36"/>
        </w:rPr>
      </w:pPr>
      <w:r>
        <w:rPr>
          <w:rFonts w:hint="eastAsia" w:ascii="宋体" w:hAnsi="宋体"/>
          <w:b/>
          <w:color w:val="auto"/>
          <w:sz w:val="36"/>
          <w:szCs w:val="36"/>
          <w:lang w:eastAsia="zh-CN"/>
        </w:rPr>
        <w:t>附件：</w:t>
      </w:r>
      <w:r>
        <w:rPr>
          <w:rFonts w:hint="eastAsia" w:ascii="宋体" w:hAnsi="宋体"/>
          <w:bCs/>
          <w:color w:val="auto"/>
          <w:sz w:val="36"/>
          <w:szCs w:val="36"/>
          <w:lang w:val="en-US" w:eastAsia="zh-CN"/>
        </w:rPr>
        <w:t>2022年度</w:t>
      </w:r>
      <w:r>
        <w:rPr>
          <w:rFonts w:hint="eastAsia" w:ascii="宋体" w:hAnsi="宋体"/>
          <w:bCs/>
          <w:color w:val="auto"/>
          <w:sz w:val="36"/>
          <w:szCs w:val="36"/>
          <w:lang w:eastAsia="zh-CN"/>
        </w:rPr>
        <w:t>项目支出绩效自评表</w:t>
      </w:r>
    </w:p>
    <w:p>
      <w:pPr>
        <w:spacing w:line="550" w:lineRule="exact"/>
        <w:rPr>
          <w:rFonts w:hint="eastAsia" w:ascii="宋体" w:hAnsi="宋体"/>
          <w:b/>
          <w:color w:val="auto"/>
          <w:sz w:val="36"/>
          <w:szCs w:val="36"/>
        </w:rPr>
      </w:pPr>
    </w:p>
    <w:p>
      <w:pPr>
        <w:rPr>
          <w:rFonts w:hint="eastAsia" w:ascii="宋体" w:hAnsi="宋体"/>
          <w:b/>
          <w:color w:val="auto"/>
          <w:sz w:val="36"/>
          <w:szCs w:val="36"/>
        </w:rPr>
      </w:pPr>
    </w:p>
    <w:p>
      <w:pPr>
        <w:adjustRightInd w:val="0"/>
        <w:snapToGrid w:val="0"/>
        <w:spacing w:line="360" w:lineRule="auto"/>
        <w:jc w:val="center"/>
        <w:rPr>
          <w:rFonts w:hint="eastAsia" w:ascii="黑体" w:hAnsi="黑体" w:eastAsia="黑体"/>
          <w:color w:val="auto"/>
          <w:szCs w:val="32"/>
        </w:rPr>
      </w:pPr>
      <w:r>
        <w:rPr>
          <w:rFonts w:hint="eastAsia" w:ascii="宋体" w:hAnsi="宋体"/>
          <w:b/>
          <w:color w:val="auto"/>
          <w:sz w:val="36"/>
          <w:szCs w:val="36"/>
        </w:rPr>
        <w:br w:type="page"/>
      </w:r>
      <w:r>
        <w:rPr>
          <w:rFonts w:hint="eastAsia" w:ascii="黑体" w:hAnsi="黑体" w:eastAsia="黑体"/>
          <w:color w:val="auto"/>
          <w:szCs w:val="32"/>
        </w:rPr>
        <w:t xml:space="preserve">第一部分 </w:t>
      </w:r>
      <w:r>
        <w:rPr>
          <w:rFonts w:hint="eastAsia" w:ascii="宋体" w:hAnsi="宋体" w:eastAsia="黑体" w:cs="Times New Roman"/>
          <w:b/>
          <w:color w:val="auto"/>
          <w:sz w:val="36"/>
          <w:szCs w:val="36"/>
          <w:lang w:val="en-US" w:eastAsia="zh-CN"/>
        </w:rPr>
        <w:t>泗县</w:t>
      </w:r>
      <w:r>
        <w:rPr>
          <w:rFonts w:hint="eastAsia" w:ascii="宋体" w:hAnsi="宋体" w:eastAsia="黑体" w:cs="Times New Roman"/>
          <w:b/>
          <w:color w:val="auto"/>
          <w:sz w:val="36"/>
          <w:szCs w:val="36"/>
          <w:lang w:eastAsia="zh-CN"/>
        </w:rPr>
        <w:t>县委宣传</w:t>
      </w:r>
      <w:r>
        <w:rPr>
          <w:rFonts w:hint="eastAsia" w:ascii="宋体" w:hAnsi="宋体" w:eastAsia="黑体" w:cs="Times New Roman"/>
          <w:b/>
          <w:color w:val="auto"/>
          <w:sz w:val="36"/>
          <w:szCs w:val="36"/>
          <w:lang w:val="en-US" w:eastAsia="zh-CN"/>
        </w:rPr>
        <w:t>部（本级）</w:t>
      </w:r>
      <w:r>
        <w:rPr>
          <w:rFonts w:hint="eastAsia" w:ascii="黑体" w:hAnsi="黑体" w:eastAsia="黑体"/>
          <w:color w:val="auto"/>
          <w:szCs w:val="32"/>
        </w:rPr>
        <w:t>概况</w:t>
      </w:r>
    </w:p>
    <w:p>
      <w:pPr>
        <w:ind w:firstLine="628"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pPr>
        <w:ind w:firstLine="628" w:firstLineChars="200"/>
        <w:rPr>
          <w:rFonts w:hint="eastAsia" w:ascii="仿宋_GB2312" w:hAnsi="仿宋"/>
          <w:szCs w:val="32"/>
        </w:rPr>
      </w:pPr>
      <w:r>
        <w:rPr>
          <w:rFonts w:hint="eastAsia" w:ascii="仿宋_GB2312" w:hAnsi="仿宋"/>
          <w:szCs w:val="32"/>
        </w:rPr>
        <w:t>（一）贯彻执行党中央和省、市、县委关于宣传工作的方针政策和意见，督促检查落实情况；按照省、市委宣传部和县委的要求，部署全县宣传工作；指导全县宣传文化系统的工作；协调县直宣传文化系统各部门之间的关系。</w:t>
      </w:r>
    </w:p>
    <w:p>
      <w:pPr>
        <w:ind w:firstLine="628" w:firstLineChars="200"/>
        <w:rPr>
          <w:rFonts w:hint="eastAsia" w:ascii="仿宋_GB2312" w:hAnsi="仿宋"/>
          <w:szCs w:val="32"/>
        </w:rPr>
      </w:pPr>
      <w:r>
        <w:rPr>
          <w:rFonts w:hint="eastAsia" w:ascii="仿宋_GB2312" w:hAnsi="仿宋"/>
          <w:szCs w:val="32"/>
        </w:rPr>
        <w:t>（二）负责指导全县理论研究、理论学习、理论宣传工作；负责全县哲学社会科学的规划和管理工作；对理论干部进行培训。</w:t>
      </w:r>
    </w:p>
    <w:p>
      <w:pPr>
        <w:ind w:firstLine="628" w:firstLineChars="200"/>
        <w:rPr>
          <w:rFonts w:hint="eastAsia" w:ascii="仿宋_GB2312" w:hAnsi="仿宋"/>
          <w:szCs w:val="32"/>
        </w:rPr>
      </w:pPr>
      <w:r>
        <w:rPr>
          <w:rFonts w:hint="eastAsia" w:ascii="仿宋_GB2312" w:hAnsi="仿宋"/>
          <w:szCs w:val="32"/>
        </w:rPr>
        <w:t>（三）负责引导社会舆论，指导、协调县直新闻单位的工作；负责对县广播电视台的工作实施方针、政策的指导；管理网络监管办公室，归口管理、统筹协调互联网上的新闻宣传工作。</w:t>
      </w:r>
    </w:p>
    <w:p>
      <w:pPr>
        <w:ind w:firstLine="628" w:firstLineChars="200"/>
        <w:rPr>
          <w:rFonts w:hint="eastAsia" w:ascii="仿宋_GB2312" w:hAnsi="仿宋"/>
          <w:szCs w:val="32"/>
        </w:rPr>
      </w:pPr>
      <w:r>
        <w:rPr>
          <w:rFonts w:hint="eastAsia" w:ascii="仿宋_GB2312" w:hAnsi="仿宋"/>
          <w:szCs w:val="32"/>
        </w:rPr>
        <w:t>（四）指导全县精神产品的生产，组织实施精神产品生产的“五个一工程”；负责对县文化广播电视新闻出版局、县文联的工作实施方针、政策的指导；指导协调全县“扫黄打非”工作。</w:t>
      </w:r>
    </w:p>
    <w:p>
      <w:pPr>
        <w:ind w:firstLine="628" w:firstLineChars="200"/>
        <w:rPr>
          <w:rFonts w:hint="eastAsia" w:ascii="仿宋_GB2312" w:hAnsi="仿宋"/>
          <w:szCs w:val="32"/>
        </w:rPr>
      </w:pPr>
      <w:r>
        <w:rPr>
          <w:rFonts w:hint="eastAsia" w:ascii="仿宋_GB2312" w:hAnsi="仿宋"/>
          <w:szCs w:val="32"/>
        </w:rPr>
        <w:t>（五）负责规划、部署全县思想政治工作；配合有关部门做好党员教育工作，负责编写党员教育教材；承担县委思想政治工作领导小组办公室工作。</w:t>
      </w:r>
    </w:p>
    <w:p>
      <w:pPr>
        <w:ind w:firstLine="628" w:firstLineChars="200"/>
        <w:rPr>
          <w:rFonts w:hint="eastAsia" w:ascii="仿宋_GB2312" w:hAnsi="仿宋"/>
          <w:szCs w:val="32"/>
        </w:rPr>
      </w:pPr>
      <w:r>
        <w:rPr>
          <w:rFonts w:hint="eastAsia" w:ascii="仿宋_GB2312" w:hAnsi="仿宋"/>
          <w:szCs w:val="32"/>
        </w:rPr>
        <w:t>（六）协调、协同有关部门做好社会宣传工作；指导教育体育、卫生、计划生育等部门贯彻执行党的方针、政策。</w:t>
      </w:r>
    </w:p>
    <w:p>
      <w:pPr>
        <w:ind w:firstLine="628" w:firstLineChars="200"/>
        <w:rPr>
          <w:rFonts w:hint="eastAsia" w:ascii="仿宋_GB2312" w:hAnsi="仿宋"/>
          <w:szCs w:val="32"/>
        </w:rPr>
      </w:pPr>
      <w:r>
        <w:rPr>
          <w:rFonts w:hint="eastAsia" w:ascii="仿宋_GB2312" w:hAnsi="仿宋"/>
          <w:szCs w:val="32"/>
        </w:rPr>
        <w:t>（七）负责提出全县宣传思想文化事业改革和发展的规划及实施意见。</w:t>
      </w:r>
    </w:p>
    <w:p>
      <w:pPr>
        <w:ind w:firstLine="628" w:firstLineChars="200"/>
        <w:rPr>
          <w:rFonts w:hint="eastAsia" w:ascii="仿宋_GB2312" w:hAnsi="仿宋"/>
          <w:szCs w:val="32"/>
        </w:rPr>
      </w:pPr>
      <w:r>
        <w:rPr>
          <w:rFonts w:hint="eastAsia" w:ascii="仿宋_GB2312" w:hAnsi="仿宋"/>
          <w:szCs w:val="32"/>
        </w:rPr>
        <w:t>（八）受县委委托，会同县委组织部管理县直宣传口各单位领导干部，指导领导班子建设；根据干部双重管理的规定，对乡镇党委宣传委员的任免提出意见；参与宣传系统副科级以上领导干部的考察工作，负责宣传系统部分股级干部的考核、任免和管理工作；制订乡镇、县直宣传文化系统有关干部的培训规划并组织实施；会同有关部门承担全县政工系列初级专业技术职务评审工作。指导县直宣传口后备宣传文化干部队伍建设和知识分子工作。</w:t>
      </w:r>
    </w:p>
    <w:p>
      <w:pPr>
        <w:ind w:firstLine="628" w:firstLineChars="200"/>
        <w:rPr>
          <w:rFonts w:hint="eastAsia" w:ascii="黑体" w:hAnsi="黑体" w:eastAsia="仿宋_GB2312"/>
          <w:color w:val="auto"/>
          <w:szCs w:val="32"/>
          <w:lang w:eastAsia="zh-CN"/>
        </w:rPr>
      </w:pPr>
      <w:r>
        <w:rPr>
          <w:rFonts w:hint="eastAsia" w:ascii="仿宋_GB2312" w:hAnsi="仿宋"/>
          <w:szCs w:val="32"/>
        </w:rPr>
        <w:t>（九）承办县委交办的其他工作</w:t>
      </w:r>
      <w:r>
        <w:rPr>
          <w:rFonts w:hint="eastAsia" w:ascii="仿宋_GB2312" w:hAnsi="仿宋"/>
          <w:szCs w:val="32"/>
          <w:lang w:eastAsia="zh-CN"/>
        </w:rPr>
        <w:t>。</w:t>
      </w:r>
    </w:p>
    <w:p>
      <w:pPr>
        <w:ind w:firstLine="628" w:firstLineChars="200"/>
        <w:rPr>
          <w:rFonts w:hint="eastAsia" w:ascii="黑体" w:hAnsi="黑体" w:eastAsia="黑体"/>
          <w:color w:val="auto"/>
          <w:szCs w:val="32"/>
        </w:rPr>
      </w:pPr>
      <w:r>
        <w:rPr>
          <w:rFonts w:hint="eastAsia" w:ascii="黑体" w:hAnsi="黑体" w:eastAsia="黑体"/>
          <w:color w:val="auto"/>
          <w:szCs w:val="32"/>
        </w:rPr>
        <w:t>二、单位决算构成</w:t>
      </w:r>
    </w:p>
    <w:p>
      <w:pPr>
        <w:ind w:firstLine="628" w:firstLineChars="200"/>
        <w:rPr>
          <w:rFonts w:hint="eastAsia" w:ascii="仿宋_GB2312" w:hAnsi="仿宋"/>
          <w:szCs w:val="32"/>
        </w:rPr>
      </w:pPr>
      <w:r>
        <w:rPr>
          <w:rFonts w:hint="eastAsia" w:ascii="仿宋_GB2312" w:hAnsi="仿宋"/>
          <w:szCs w:val="32"/>
          <w:lang w:val="en-US" w:eastAsia="zh-CN"/>
        </w:rPr>
        <w:t>泗县</w:t>
      </w:r>
      <w:r>
        <w:rPr>
          <w:rFonts w:hint="eastAsia" w:ascii="仿宋_GB2312" w:hAnsi="仿宋"/>
          <w:szCs w:val="32"/>
          <w:lang w:eastAsia="zh-CN"/>
        </w:rPr>
        <w:t>县委宣传部（</w:t>
      </w:r>
      <w:r>
        <w:rPr>
          <w:rFonts w:hint="eastAsia" w:ascii="仿宋_GB2312" w:hAnsi="仿宋"/>
          <w:szCs w:val="32"/>
          <w:lang w:val="en-US" w:eastAsia="zh-CN"/>
        </w:rPr>
        <w:t>本级</w:t>
      </w:r>
      <w:r>
        <w:rPr>
          <w:rFonts w:hint="eastAsia" w:ascii="仿宋_GB2312" w:hAnsi="仿宋"/>
          <w:szCs w:val="32"/>
          <w:lang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年度单位决算仅包括单位本级决算，无其他下属单位决算。</w:t>
      </w:r>
    </w:p>
    <w:p>
      <w:pPr>
        <w:ind w:firstLine="628" w:firstLineChars="200"/>
        <w:rPr>
          <w:rFonts w:hint="eastAsia" w:ascii="仿宋_GB2312" w:hAnsi="仿宋"/>
          <w:szCs w:val="32"/>
        </w:rPr>
      </w:pPr>
      <w:r>
        <w:rPr>
          <w:rFonts w:hint="eastAsia" w:ascii="仿宋_GB2312" w:hAnsi="仿宋"/>
          <w:szCs w:val="32"/>
        </w:rPr>
        <w:t>纳入</w:t>
      </w:r>
      <w:r>
        <w:rPr>
          <w:rFonts w:hint="eastAsia" w:ascii="仿宋_GB2312" w:hAnsi="仿宋"/>
          <w:szCs w:val="32"/>
          <w:lang w:val="en-US" w:eastAsia="zh-CN"/>
        </w:rPr>
        <w:t>泗县</w:t>
      </w:r>
      <w:r>
        <w:rPr>
          <w:rFonts w:hint="eastAsia" w:ascii="仿宋_GB2312" w:hAnsi="仿宋"/>
          <w:szCs w:val="32"/>
          <w:lang w:eastAsia="zh-CN"/>
        </w:rPr>
        <w:t>县委宣传部（</w:t>
      </w:r>
      <w:r>
        <w:rPr>
          <w:rFonts w:hint="eastAsia" w:ascii="仿宋_GB2312" w:hAnsi="仿宋"/>
          <w:szCs w:val="32"/>
          <w:lang w:val="en-US" w:eastAsia="zh-CN"/>
        </w:rPr>
        <w:t>本级</w:t>
      </w:r>
      <w:r>
        <w:rPr>
          <w:rFonts w:hint="eastAsia" w:ascii="仿宋_GB2312" w:hAnsi="仿宋"/>
          <w:szCs w:val="32"/>
          <w:lang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年度</w:t>
      </w:r>
      <w:r>
        <w:rPr>
          <w:rFonts w:hint="eastAsia" w:ascii="仿宋_GB2312" w:hAnsi="仿宋"/>
          <w:szCs w:val="32"/>
          <w:lang w:val="en-US" w:eastAsia="zh-CN"/>
        </w:rPr>
        <w:t>单位</w:t>
      </w:r>
      <w:r>
        <w:rPr>
          <w:rFonts w:hint="eastAsia" w:ascii="仿宋_GB2312" w:hAnsi="仿宋"/>
          <w:szCs w:val="32"/>
        </w:rPr>
        <w:t>决算编制范围的下属单位共1个，详细情况见下表：</w:t>
      </w:r>
    </w:p>
    <w:tbl>
      <w:tblPr>
        <w:tblStyle w:val="12"/>
        <w:tblW w:w="7226" w:type="dxa"/>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Layout w:type="fixed"/>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shd w:val="clear" w:color="auto" w:fill="FFFFFF"/>
          <w:tblLayout w:type="fixed"/>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sz w:val="24"/>
              </w:rPr>
            </w:pPr>
            <w:r>
              <w:rPr>
                <w:rFonts w:hint="eastAsia" w:ascii="宋体" w:hAnsi="宋体"/>
                <w:sz w:val="24"/>
                <w:lang w:val="en-US" w:eastAsia="zh-CN"/>
              </w:rPr>
              <w:t>泗县</w:t>
            </w:r>
            <w:r>
              <w:rPr>
                <w:rFonts w:hint="eastAsia" w:ascii="宋体" w:hAnsi="宋体"/>
                <w:sz w:val="24"/>
                <w:lang w:eastAsia="zh-CN"/>
              </w:rPr>
              <w:t>县委宣传部（</w:t>
            </w:r>
            <w:r>
              <w:rPr>
                <w:rFonts w:hint="eastAsia" w:ascii="宋体" w:hAnsi="宋体"/>
                <w:sz w:val="24"/>
                <w:lang w:val="en-US" w:eastAsia="zh-CN"/>
              </w:rPr>
              <w:t>本级</w:t>
            </w:r>
            <w:r>
              <w:rPr>
                <w:rFonts w:hint="eastAsia" w:ascii="宋体" w:hAnsi="宋体"/>
                <w:sz w:val="24"/>
                <w:lang w:eastAsia="zh-CN"/>
              </w:rPr>
              <w:t>）</w:t>
            </w:r>
          </w:p>
        </w:tc>
      </w:tr>
    </w:tbl>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val="en-US" w:eastAsia="zh-CN"/>
        </w:rPr>
        <w:t>泗县</w:t>
      </w:r>
      <w:r>
        <w:rPr>
          <w:rFonts w:hint="eastAsia" w:ascii="黑体" w:hAnsi="黑体" w:eastAsia="黑体"/>
          <w:color w:val="auto"/>
          <w:szCs w:val="32"/>
          <w:lang w:eastAsia="zh-CN"/>
        </w:rPr>
        <w:t>县委宣传部（</w:t>
      </w:r>
      <w:r>
        <w:rPr>
          <w:rFonts w:hint="eastAsia" w:ascii="黑体" w:hAnsi="黑体" w:eastAsia="黑体"/>
          <w:color w:val="auto"/>
          <w:szCs w:val="32"/>
          <w:lang w:val="en-US" w:eastAsia="zh-CN"/>
        </w:rPr>
        <w:t>本级</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表</w:t>
      </w:r>
    </w:p>
    <w:p>
      <w:r>
        <w:drawing>
          <wp:inline distT="0" distB="0" distL="114300" distR="114300">
            <wp:extent cx="5576570" cy="6409690"/>
            <wp:effectExtent l="0" t="0" r="1270" b="635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6"/>
                    <a:stretch>
                      <a:fillRect/>
                    </a:stretch>
                  </pic:blipFill>
                  <pic:spPr>
                    <a:xfrm>
                      <a:off x="0" y="0"/>
                      <a:ext cx="5576570" cy="6409690"/>
                    </a:xfrm>
                    <a:prstGeom prst="rect">
                      <a:avLst/>
                    </a:prstGeom>
                    <a:noFill/>
                    <a:ln>
                      <a:noFill/>
                    </a:ln>
                  </pic:spPr>
                </pic:pic>
              </a:graphicData>
            </a:graphic>
          </wp:inline>
        </w:drawing>
      </w:r>
    </w:p>
    <w:p/>
    <w:p/>
    <w:p/>
    <w:p>
      <w:r>
        <w:drawing>
          <wp:inline distT="0" distB="0" distL="114300" distR="114300">
            <wp:extent cx="5576570" cy="5596255"/>
            <wp:effectExtent l="0" t="0" r="1270" b="1206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7"/>
                    <a:stretch>
                      <a:fillRect/>
                    </a:stretch>
                  </pic:blipFill>
                  <pic:spPr>
                    <a:xfrm>
                      <a:off x="0" y="0"/>
                      <a:ext cx="5576570" cy="5596255"/>
                    </a:xfrm>
                    <a:prstGeom prst="rect">
                      <a:avLst/>
                    </a:prstGeom>
                    <a:noFill/>
                    <a:ln>
                      <a:noFill/>
                    </a:ln>
                  </pic:spPr>
                </pic:pic>
              </a:graphicData>
            </a:graphic>
          </wp:inline>
        </w:drawing>
      </w:r>
    </w:p>
    <w:p/>
    <w:p/>
    <w:p/>
    <w:p/>
    <w:p>
      <w:r>
        <w:drawing>
          <wp:inline distT="0" distB="0" distL="114300" distR="114300">
            <wp:extent cx="5547360" cy="6210300"/>
            <wp:effectExtent l="0" t="0" r="0" b="762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pic:cNvPicPr>
                  </pic:nvPicPr>
                  <pic:blipFill>
                    <a:blip r:embed="rId8"/>
                    <a:stretch>
                      <a:fillRect/>
                    </a:stretch>
                  </pic:blipFill>
                  <pic:spPr>
                    <a:xfrm>
                      <a:off x="0" y="0"/>
                      <a:ext cx="5547360" cy="6210300"/>
                    </a:xfrm>
                    <a:prstGeom prst="rect">
                      <a:avLst/>
                    </a:prstGeom>
                    <a:noFill/>
                    <a:ln>
                      <a:noFill/>
                    </a:ln>
                  </pic:spPr>
                </pic:pic>
              </a:graphicData>
            </a:graphic>
          </wp:inline>
        </w:drawing>
      </w:r>
    </w:p>
    <w:p/>
    <w:p/>
    <w:p>
      <w:r>
        <w:drawing>
          <wp:inline distT="0" distB="0" distL="114300" distR="114300">
            <wp:extent cx="5577205" cy="6805295"/>
            <wp:effectExtent l="0" t="0" r="635" b="6985"/>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pic:cNvPicPr>
                  </pic:nvPicPr>
                  <pic:blipFill>
                    <a:blip r:embed="rId9"/>
                    <a:stretch>
                      <a:fillRect/>
                    </a:stretch>
                  </pic:blipFill>
                  <pic:spPr>
                    <a:xfrm>
                      <a:off x="0" y="0"/>
                      <a:ext cx="5577205" cy="6805295"/>
                    </a:xfrm>
                    <a:prstGeom prst="rect">
                      <a:avLst/>
                    </a:prstGeom>
                    <a:noFill/>
                    <a:ln>
                      <a:noFill/>
                    </a:ln>
                  </pic:spPr>
                </pic:pic>
              </a:graphicData>
            </a:graphic>
          </wp:inline>
        </w:drawing>
      </w:r>
    </w:p>
    <w:p/>
    <w:p/>
    <w:p/>
    <w:p>
      <w:r>
        <w:drawing>
          <wp:inline distT="0" distB="0" distL="114300" distR="114300">
            <wp:extent cx="5576570" cy="5878830"/>
            <wp:effectExtent l="0" t="0" r="1270" b="3810"/>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r:embed="rId10"/>
                    <a:stretch>
                      <a:fillRect/>
                    </a:stretch>
                  </pic:blipFill>
                  <pic:spPr>
                    <a:xfrm>
                      <a:off x="0" y="0"/>
                      <a:ext cx="5576570" cy="5878830"/>
                    </a:xfrm>
                    <a:prstGeom prst="rect">
                      <a:avLst/>
                    </a:prstGeom>
                    <a:noFill/>
                    <a:ln>
                      <a:noFill/>
                    </a:ln>
                  </pic:spPr>
                </pic:pic>
              </a:graphicData>
            </a:graphic>
          </wp:inline>
        </w:drawing>
      </w:r>
    </w:p>
    <w:p/>
    <w:p/>
    <w:p/>
    <w:p/>
    <w:p/>
    <w:p>
      <w:r>
        <w:drawing>
          <wp:inline distT="0" distB="0" distL="114300" distR="114300">
            <wp:extent cx="5572760" cy="4888230"/>
            <wp:effectExtent l="0" t="0" r="5080" b="3810"/>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pic:cNvPicPr>
                      <a:picLocks noChangeAspect="1"/>
                    </pic:cNvPicPr>
                  </pic:nvPicPr>
                  <pic:blipFill>
                    <a:blip r:embed="rId11"/>
                    <a:stretch>
                      <a:fillRect/>
                    </a:stretch>
                  </pic:blipFill>
                  <pic:spPr>
                    <a:xfrm>
                      <a:off x="0" y="0"/>
                      <a:ext cx="5572760" cy="4888230"/>
                    </a:xfrm>
                    <a:prstGeom prst="rect">
                      <a:avLst/>
                    </a:prstGeom>
                    <a:noFill/>
                    <a:ln>
                      <a:noFill/>
                    </a:ln>
                  </pic:spPr>
                </pic:pic>
              </a:graphicData>
            </a:graphic>
          </wp:inline>
        </w:drawing>
      </w:r>
    </w:p>
    <w:p/>
    <w:p/>
    <w:p>
      <w:r>
        <w:drawing>
          <wp:inline distT="0" distB="0" distL="114300" distR="114300">
            <wp:extent cx="5578475" cy="2738755"/>
            <wp:effectExtent l="0" t="0" r="14605" b="4445"/>
            <wp:docPr id="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pic:cNvPicPr>
                      <a:picLocks noChangeAspect="1"/>
                    </pic:cNvPicPr>
                  </pic:nvPicPr>
                  <pic:blipFill>
                    <a:blip r:embed="rId12"/>
                    <a:stretch>
                      <a:fillRect/>
                    </a:stretch>
                  </pic:blipFill>
                  <pic:spPr>
                    <a:xfrm>
                      <a:off x="0" y="0"/>
                      <a:ext cx="5578475" cy="2738755"/>
                    </a:xfrm>
                    <a:prstGeom prst="rect">
                      <a:avLst/>
                    </a:prstGeom>
                    <a:noFill/>
                    <a:ln>
                      <a:noFill/>
                    </a:ln>
                  </pic:spPr>
                </pic:pic>
              </a:graphicData>
            </a:graphic>
          </wp:inline>
        </w:drawing>
      </w:r>
    </w:p>
    <w:p/>
    <w:p>
      <w:r>
        <w:drawing>
          <wp:inline distT="0" distB="0" distL="114300" distR="114300">
            <wp:extent cx="5574030" cy="3434715"/>
            <wp:effectExtent l="0" t="0" r="3810" b="9525"/>
            <wp:docPr id="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
                    <pic:cNvPicPr>
                      <a:picLocks noChangeAspect="1"/>
                    </pic:cNvPicPr>
                  </pic:nvPicPr>
                  <pic:blipFill>
                    <a:blip r:embed="rId13"/>
                    <a:stretch>
                      <a:fillRect/>
                    </a:stretch>
                  </pic:blipFill>
                  <pic:spPr>
                    <a:xfrm>
                      <a:off x="0" y="0"/>
                      <a:ext cx="5574030" cy="3434715"/>
                    </a:xfrm>
                    <a:prstGeom prst="rect">
                      <a:avLst/>
                    </a:prstGeom>
                    <a:noFill/>
                    <a:ln>
                      <a:noFill/>
                    </a:ln>
                  </pic:spPr>
                </pic:pic>
              </a:graphicData>
            </a:graphic>
          </wp:inline>
        </w:drawing>
      </w:r>
    </w:p>
    <w:p>
      <w:pPr>
        <w:rPr>
          <w:rFonts w:hint="eastAsia" w:ascii="黑体" w:hAnsi="黑体" w:eastAsia="黑体"/>
          <w:color w:val="auto"/>
          <w:sz w:val="20"/>
        </w:rPr>
      </w:pPr>
    </w:p>
    <w:p>
      <w:pPr>
        <w:ind w:firstLine="628" w:firstLineChars="200"/>
        <w:rPr>
          <w:rFonts w:hint="eastAsia" w:ascii="黑体" w:hAnsi="黑体" w:eastAsia="黑体"/>
          <w:color w:val="auto"/>
          <w:szCs w:val="32"/>
        </w:rPr>
      </w:pPr>
    </w:p>
    <w:p>
      <w:pPr>
        <w:rPr>
          <w:rFonts w:hint="eastAsia" w:ascii="黑体" w:hAnsi="黑体" w:eastAsia="黑体"/>
          <w:color w:val="auto"/>
          <w:szCs w:val="32"/>
        </w:rPr>
      </w:pPr>
    </w:p>
    <w:p>
      <w:pPr>
        <w:ind w:firstLine="628"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val="en-US" w:eastAsia="zh-CN"/>
        </w:rPr>
        <w:t>泗县</w:t>
      </w:r>
      <w:r>
        <w:rPr>
          <w:rFonts w:hint="eastAsia" w:ascii="黑体" w:hAnsi="黑体" w:eastAsia="黑体"/>
          <w:color w:val="auto"/>
          <w:szCs w:val="32"/>
          <w:lang w:eastAsia="zh-CN"/>
        </w:rPr>
        <w:t>县委宣传</w:t>
      </w:r>
      <w:r>
        <w:rPr>
          <w:rFonts w:hint="eastAsia" w:ascii="黑体" w:hAnsi="黑体" w:eastAsia="黑体" w:cs="Times New Roman"/>
          <w:color w:val="auto"/>
          <w:szCs w:val="32"/>
          <w:lang w:eastAsia="zh-CN"/>
        </w:rPr>
        <w:t>部（</w:t>
      </w:r>
      <w:r>
        <w:rPr>
          <w:rFonts w:hint="eastAsia" w:ascii="黑体" w:hAnsi="黑体" w:eastAsia="黑体" w:cs="Times New Roman"/>
          <w:color w:val="auto"/>
          <w:szCs w:val="32"/>
          <w:lang w:val="en-US" w:eastAsia="zh-CN"/>
        </w:rPr>
        <w:t>本级</w:t>
      </w:r>
      <w:r>
        <w:rPr>
          <w:rFonts w:hint="eastAsia" w:ascii="黑体" w:hAnsi="黑体" w:eastAsia="黑体" w:cs="Times New Roman"/>
          <w:color w:val="auto"/>
          <w:szCs w:val="32"/>
          <w:lang w:eastAsia="zh-CN"/>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情况说明</w:t>
      </w:r>
    </w:p>
    <w:p>
      <w:pPr>
        <w:ind w:firstLine="628"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年度收入总计1325.16万元（含使用非财政拨款结余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结余）、支出总计1325.16万元（含结余分配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年相比，收、支总计各增加</w:t>
      </w:r>
      <w:r>
        <w:rPr>
          <w:rFonts w:hint="eastAsia" w:ascii="仿宋_GB2312" w:hAnsi="仿宋"/>
          <w:color w:val="auto"/>
          <w:szCs w:val="32"/>
          <w:lang w:val="en-US" w:eastAsia="zh-CN"/>
        </w:rPr>
        <w:t>474.30</w:t>
      </w:r>
      <w:r>
        <w:rPr>
          <w:rFonts w:hint="eastAsia" w:ascii="仿宋_GB2312" w:hAnsi="仿宋"/>
          <w:color w:val="auto"/>
          <w:szCs w:val="32"/>
        </w:rPr>
        <w:t>万元，增长</w:t>
      </w:r>
      <w:r>
        <w:rPr>
          <w:rFonts w:hint="eastAsia" w:ascii="仿宋_GB2312" w:hAnsi="仿宋"/>
          <w:color w:val="auto"/>
          <w:szCs w:val="32"/>
          <w:lang w:val="en-US" w:eastAsia="zh-CN"/>
        </w:rPr>
        <w:t>55.74</w:t>
      </w:r>
      <w:r>
        <w:rPr>
          <w:rFonts w:hint="eastAsia" w:ascii="仿宋_GB2312" w:hAnsi="仿宋"/>
          <w:color w:val="auto"/>
          <w:szCs w:val="32"/>
        </w:rPr>
        <w:t>%，主要原因：一是人员增加；二是文明创建经费增加。</w:t>
      </w:r>
    </w:p>
    <w:p>
      <w:pPr>
        <w:ind w:firstLine="628"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年度收入合计1322.28万元，其中：财政拨款收入1322.28万元，占</w:t>
      </w:r>
      <w:r>
        <w:rPr>
          <w:rFonts w:hint="eastAsia" w:ascii="仿宋_GB2312" w:hAnsi="仿宋"/>
          <w:color w:val="auto"/>
          <w:szCs w:val="32"/>
          <w:lang w:val="en-US" w:eastAsia="zh-CN"/>
        </w:rPr>
        <w:t>100.00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年度支出合计1322.28万元，其中：基本支出949.29万元，占</w:t>
      </w:r>
      <w:r>
        <w:rPr>
          <w:rFonts w:hint="eastAsia" w:ascii="仿宋_GB2312" w:hAnsi="仿宋"/>
          <w:color w:val="auto"/>
          <w:szCs w:val="32"/>
          <w:lang w:val="en-US" w:eastAsia="zh-CN"/>
        </w:rPr>
        <w:t>71.79</w:t>
      </w:r>
      <w:r>
        <w:rPr>
          <w:rFonts w:hint="eastAsia" w:ascii="仿宋_GB2312" w:hAnsi="仿宋"/>
          <w:color w:val="auto"/>
          <w:szCs w:val="32"/>
        </w:rPr>
        <w:t>%；项目支出372.99万元，占</w:t>
      </w:r>
      <w:r>
        <w:rPr>
          <w:rFonts w:hint="eastAsia" w:ascii="仿宋_GB2312" w:hAnsi="仿宋"/>
          <w:color w:val="auto"/>
          <w:szCs w:val="32"/>
          <w:lang w:val="en-US" w:eastAsia="zh-CN"/>
        </w:rPr>
        <w:t>28.21</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w:t>
      </w:r>
    </w:p>
    <w:p>
      <w:pPr>
        <w:ind w:firstLine="628"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28"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总计1322.28万元（含年初财政拨款结转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结余），支出总计1322.28万元（含年末财政拨款结转和结余）。与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474.30</w:t>
      </w:r>
      <w:r>
        <w:rPr>
          <w:rFonts w:hint="eastAsia" w:ascii="仿宋_GB2312" w:hAnsi="仿宋"/>
          <w:color w:val="auto"/>
          <w:szCs w:val="32"/>
        </w:rPr>
        <w:t>万元，增长</w:t>
      </w:r>
      <w:r>
        <w:rPr>
          <w:rFonts w:hint="eastAsia" w:ascii="仿宋_GB2312" w:hAnsi="仿宋"/>
          <w:color w:val="auto"/>
          <w:szCs w:val="32"/>
          <w:lang w:val="en-US" w:eastAsia="zh-CN"/>
        </w:rPr>
        <w:t>55.93</w:t>
      </w:r>
      <w:r>
        <w:rPr>
          <w:rFonts w:hint="eastAsia" w:ascii="仿宋_GB2312" w:hAnsi="仿宋"/>
          <w:color w:val="auto"/>
          <w:szCs w:val="32"/>
        </w:rPr>
        <w:t>%，主要原因：一是人员增加；二是文明创建经费增加。</w:t>
      </w:r>
    </w:p>
    <w:p>
      <w:pPr>
        <w:ind w:firstLine="628"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28"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年度一般公共预算财政拨款支出1322.28万元，占本年支出的</w:t>
      </w:r>
      <w:r>
        <w:rPr>
          <w:rFonts w:hint="eastAsia" w:ascii="仿宋_GB2312" w:hAnsi="仿宋"/>
          <w:color w:val="auto"/>
          <w:szCs w:val="32"/>
          <w:lang w:val="en-US" w:eastAsia="zh-CN"/>
        </w:rPr>
        <w:t>100.00</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年相比，一般公共预算财政拨款支出增加</w:t>
      </w:r>
      <w:r>
        <w:rPr>
          <w:rFonts w:hint="eastAsia" w:ascii="仿宋_GB2312" w:hAnsi="仿宋"/>
          <w:color w:val="auto"/>
          <w:szCs w:val="32"/>
          <w:lang w:val="en-US" w:eastAsia="zh-CN"/>
        </w:rPr>
        <w:t>474.30</w:t>
      </w:r>
      <w:r>
        <w:rPr>
          <w:rFonts w:hint="eastAsia" w:ascii="仿宋_GB2312" w:hAnsi="仿宋"/>
          <w:color w:val="auto"/>
          <w:szCs w:val="32"/>
        </w:rPr>
        <w:t>万元，增长</w:t>
      </w:r>
      <w:r>
        <w:rPr>
          <w:rFonts w:hint="eastAsia" w:ascii="仿宋_GB2312" w:hAnsi="仿宋"/>
          <w:color w:val="auto"/>
          <w:szCs w:val="32"/>
          <w:lang w:val="en-US" w:eastAsia="zh-CN"/>
        </w:rPr>
        <w:t>55.93</w:t>
      </w:r>
      <w:r>
        <w:rPr>
          <w:rFonts w:hint="eastAsia" w:ascii="仿宋_GB2312" w:hAnsi="仿宋"/>
          <w:color w:val="auto"/>
          <w:szCs w:val="32"/>
        </w:rPr>
        <w:t>%。主要原因</w:t>
      </w:r>
      <w:r>
        <w:rPr>
          <w:rFonts w:hint="eastAsia" w:ascii="仿宋_GB2312" w:hAnsi="仿宋"/>
          <w:color w:val="auto"/>
          <w:szCs w:val="32"/>
          <w:lang w:eastAsia="zh-CN"/>
        </w:rPr>
        <w:t>：</w:t>
      </w:r>
      <w:r>
        <w:rPr>
          <w:rFonts w:hint="eastAsia" w:ascii="仿宋_GB2312" w:hAnsi="仿宋"/>
          <w:color w:val="auto"/>
          <w:szCs w:val="32"/>
        </w:rPr>
        <w:t>一是人员增加；二是文明创建经费增加。</w:t>
      </w:r>
    </w:p>
    <w:p>
      <w:pPr>
        <w:ind w:firstLine="628"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年度一般公共预算财政拨款支出1322.28万元，主要用于以下方面：</w:t>
      </w:r>
      <w:r>
        <w:rPr>
          <w:rFonts w:hint="eastAsia" w:ascii="仿宋_GB2312" w:hAnsi="仿宋"/>
          <w:b/>
          <w:color w:val="auto"/>
          <w:szCs w:val="32"/>
        </w:rPr>
        <w:t>一般公共服务（类）</w:t>
      </w:r>
      <w:r>
        <w:rPr>
          <w:rFonts w:hint="eastAsia" w:ascii="仿宋_GB2312" w:hAnsi="仿宋"/>
          <w:color w:val="auto"/>
          <w:szCs w:val="32"/>
        </w:rPr>
        <w:t>支出1307.37万元，占</w:t>
      </w:r>
      <w:r>
        <w:rPr>
          <w:rFonts w:hint="eastAsia" w:ascii="仿宋_GB2312" w:hAnsi="仿宋"/>
          <w:color w:val="auto"/>
          <w:szCs w:val="32"/>
          <w:lang w:val="en-US" w:eastAsia="zh-CN"/>
        </w:rPr>
        <w:t>98.87</w:t>
      </w:r>
      <w:r>
        <w:rPr>
          <w:rFonts w:hint="eastAsia" w:ascii="仿宋_GB2312" w:hAnsi="仿宋"/>
          <w:color w:val="auto"/>
          <w:szCs w:val="32"/>
        </w:rPr>
        <w:t>%;</w:t>
      </w:r>
      <w:r>
        <w:rPr>
          <w:rFonts w:hint="eastAsia" w:ascii="仿宋_GB2312" w:hAnsi="仿宋"/>
          <w:b/>
          <w:color w:val="auto"/>
          <w:szCs w:val="32"/>
        </w:rPr>
        <w:t>卫生健康支出（类）</w:t>
      </w:r>
      <w:r>
        <w:rPr>
          <w:rFonts w:hint="eastAsia" w:ascii="仿宋_GB2312" w:hAnsi="仿宋"/>
          <w:color w:val="auto"/>
          <w:szCs w:val="32"/>
        </w:rPr>
        <w:t>支出</w:t>
      </w:r>
      <w:r>
        <w:rPr>
          <w:rFonts w:hint="eastAsia" w:ascii="仿宋_GB2312" w:hAnsi="仿宋"/>
          <w:color w:val="auto"/>
          <w:szCs w:val="32"/>
          <w:lang w:val="en-US" w:eastAsia="zh-CN"/>
        </w:rPr>
        <w:t>14.91</w:t>
      </w:r>
      <w:r>
        <w:rPr>
          <w:rFonts w:hint="eastAsia" w:ascii="仿宋_GB2312" w:hAnsi="仿宋"/>
          <w:color w:val="auto"/>
          <w:szCs w:val="32"/>
        </w:rPr>
        <w:t>万元，占</w:t>
      </w:r>
      <w:r>
        <w:rPr>
          <w:rFonts w:hint="eastAsia" w:ascii="仿宋_GB2312" w:hAnsi="仿宋"/>
          <w:color w:val="auto"/>
          <w:szCs w:val="32"/>
          <w:lang w:val="en-US" w:eastAsia="zh-CN"/>
        </w:rPr>
        <w:t>1.13</w:t>
      </w:r>
      <w:r>
        <w:rPr>
          <w:rFonts w:hint="eastAsia" w:ascii="仿宋_GB2312" w:hAnsi="仿宋"/>
          <w:color w:val="auto"/>
          <w:szCs w:val="32"/>
        </w:rPr>
        <w:t>%</w:t>
      </w:r>
      <w:r>
        <w:rPr>
          <w:rFonts w:hint="eastAsia" w:ascii="仿宋_GB2312" w:hAnsi="仿宋"/>
          <w:color w:val="auto"/>
          <w:szCs w:val="32"/>
          <w:lang w:eastAsia="zh-CN"/>
        </w:rPr>
        <w:t>。</w:t>
      </w:r>
    </w:p>
    <w:p>
      <w:pPr>
        <w:ind w:firstLine="628"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年度一般公共预算财政拨款支出年初预</w:t>
      </w:r>
      <w:r>
        <w:rPr>
          <w:rFonts w:hint="eastAsia" w:ascii="仿宋_GB2312" w:hAnsi="仿宋" w:cs="Times New Roman"/>
          <w:color w:val="auto"/>
          <w:szCs w:val="32"/>
        </w:rPr>
        <w:t>算为583.8万元，支出决算为1322.28万元，完成年初预算的</w:t>
      </w:r>
      <w:r>
        <w:rPr>
          <w:rFonts w:hint="eastAsia" w:ascii="仿宋_GB2312" w:hAnsi="仿宋" w:cs="Times New Roman"/>
          <w:color w:val="auto"/>
          <w:szCs w:val="32"/>
          <w:lang w:val="en-US" w:eastAsia="zh-CN"/>
        </w:rPr>
        <w:t>226.50</w:t>
      </w:r>
      <w:r>
        <w:rPr>
          <w:rFonts w:hint="eastAsia" w:ascii="仿宋_GB2312" w:hAnsi="仿宋" w:cs="Times New Roman"/>
          <w:color w:val="auto"/>
          <w:szCs w:val="32"/>
        </w:rPr>
        <w:t>%。决算数大于预算数的主要原因:一是</w:t>
      </w:r>
      <w:r>
        <w:rPr>
          <w:rFonts w:hint="eastAsia" w:ascii="仿宋_GB2312" w:hAnsi="仿宋"/>
          <w:color w:val="auto"/>
          <w:szCs w:val="32"/>
        </w:rPr>
        <w:t>人员增加；二是文明创建经费增加。其中:基本支出949.29万元，占</w:t>
      </w:r>
      <w:r>
        <w:rPr>
          <w:rFonts w:hint="eastAsia" w:ascii="仿宋_GB2312" w:hAnsi="仿宋"/>
          <w:color w:val="auto"/>
          <w:szCs w:val="32"/>
          <w:lang w:val="en-US" w:eastAsia="zh-CN"/>
        </w:rPr>
        <w:t>71.79</w:t>
      </w:r>
      <w:r>
        <w:rPr>
          <w:rFonts w:hint="eastAsia" w:ascii="仿宋_GB2312" w:hAnsi="仿宋"/>
          <w:color w:val="auto"/>
          <w:szCs w:val="32"/>
        </w:rPr>
        <w:t>%；项目支出372.99万元，占</w:t>
      </w:r>
      <w:r>
        <w:rPr>
          <w:rFonts w:hint="eastAsia" w:ascii="仿宋_GB2312" w:hAnsi="仿宋"/>
          <w:color w:val="auto"/>
          <w:szCs w:val="32"/>
          <w:lang w:val="en-US" w:eastAsia="zh-CN"/>
        </w:rPr>
        <w:t>28.21</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rPr>
        <w:t>一般公共服务（类）</w:t>
      </w:r>
      <w:r>
        <w:rPr>
          <w:rFonts w:hint="eastAsia" w:ascii="仿宋_GB2312" w:hAnsi="仿宋"/>
          <w:b/>
          <w:color w:val="auto"/>
          <w:szCs w:val="32"/>
          <w:lang w:val="en-US" w:eastAsia="zh-CN"/>
        </w:rPr>
        <w:t>宣传</w:t>
      </w:r>
      <w:r>
        <w:rPr>
          <w:rFonts w:hint="eastAsia" w:ascii="仿宋_GB2312" w:hAnsi="仿宋"/>
          <w:b/>
          <w:color w:val="auto"/>
          <w:szCs w:val="32"/>
        </w:rPr>
        <w:t>事务（款）行政运行（项）</w:t>
      </w:r>
      <w:r>
        <w:rPr>
          <w:rFonts w:hint="eastAsia" w:ascii="仿宋_GB2312" w:hAnsi="仿宋"/>
          <w:color w:val="auto"/>
          <w:szCs w:val="32"/>
        </w:rPr>
        <w:t>。年初预算为</w:t>
      </w:r>
      <w:r>
        <w:rPr>
          <w:rFonts w:hint="eastAsia" w:ascii="仿宋_GB2312" w:hAnsi="仿宋"/>
          <w:color w:val="auto"/>
          <w:szCs w:val="32"/>
          <w:lang w:val="en-US" w:eastAsia="zh-CN"/>
        </w:rPr>
        <w:t>288.15</w:t>
      </w:r>
      <w:r>
        <w:rPr>
          <w:rFonts w:hint="eastAsia" w:ascii="仿宋_GB2312" w:hAnsi="仿宋"/>
          <w:color w:val="auto"/>
          <w:szCs w:val="32"/>
        </w:rPr>
        <w:t>万元，支出决算为950.52万元，完成年初预算的</w:t>
      </w:r>
      <w:r>
        <w:rPr>
          <w:rFonts w:hint="eastAsia" w:ascii="仿宋_GB2312" w:hAnsi="仿宋"/>
          <w:color w:val="auto"/>
          <w:szCs w:val="32"/>
          <w:lang w:val="en-US" w:eastAsia="zh-CN"/>
        </w:rPr>
        <w:t>329.87</w:t>
      </w:r>
      <w:r>
        <w:rPr>
          <w:rFonts w:hint="eastAsia" w:ascii="仿宋_GB2312" w:hAnsi="仿宋"/>
          <w:color w:val="auto"/>
          <w:szCs w:val="32"/>
        </w:rPr>
        <w:t>%，决算数大于预算数的主要原因</w:t>
      </w:r>
      <w:r>
        <w:rPr>
          <w:rFonts w:hint="eastAsia" w:ascii="仿宋_GB2312" w:hAnsi="仿宋_GB2312" w:eastAsia="仿宋_GB2312" w:cs="仿宋_GB2312"/>
          <w:b w:val="0"/>
          <w:bCs/>
          <w:color w:val="auto"/>
          <w:sz w:val="32"/>
          <w:szCs w:val="32"/>
          <w:lang w:eastAsia="zh-CN"/>
        </w:rPr>
        <w:t>是</w:t>
      </w:r>
      <w:r>
        <w:rPr>
          <w:rFonts w:hint="eastAsia" w:ascii="仿宋_GB2312" w:hAnsi="仿宋"/>
          <w:color w:val="auto"/>
          <w:szCs w:val="32"/>
          <w:lang w:val="en-US" w:eastAsia="zh-CN"/>
        </w:rPr>
        <w:t>人员增加及文明创建经费增加</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rPr>
        <w:t>一般公共服务（类）</w:t>
      </w:r>
      <w:r>
        <w:rPr>
          <w:rFonts w:hint="eastAsia" w:ascii="仿宋_GB2312" w:hAnsi="仿宋"/>
          <w:b/>
          <w:color w:val="auto"/>
          <w:szCs w:val="32"/>
          <w:lang w:val="en-US" w:eastAsia="zh-CN"/>
        </w:rPr>
        <w:t>宣传</w:t>
      </w:r>
      <w:r>
        <w:rPr>
          <w:rFonts w:hint="eastAsia" w:ascii="仿宋_GB2312" w:hAnsi="仿宋"/>
          <w:b/>
          <w:color w:val="auto"/>
          <w:szCs w:val="32"/>
        </w:rPr>
        <w:t>事务（款）</w:t>
      </w:r>
      <w:r>
        <w:rPr>
          <w:rFonts w:hint="eastAsia" w:ascii="仿宋_GB2312" w:hAnsi="仿宋"/>
          <w:b/>
          <w:color w:val="auto"/>
          <w:szCs w:val="32"/>
          <w:lang w:val="en-US" w:eastAsia="zh-CN"/>
        </w:rPr>
        <w:t>事业运行</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85.68</w:t>
      </w:r>
      <w:r>
        <w:rPr>
          <w:rFonts w:hint="eastAsia" w:ascii="仿宋_GB2312" w:hAnsi="仿宋"/>
          <w:color w:val="auto"/>
          <w:szCs w:val="32"/>
        </w:rPr>
        <w:t>万元，支出决算为</w:t>
      </w:r>
      <w:r>
        <w:rPr>
          <w:rFonts w:hint="eastAsia" w:ascii="仿宋_GB2312" w:hAnsi="仿宋"/>
          <w:color w:val="auto"/>
          <w:szCs w:val="32"/>
          <w:lang w:val="en-US" w:eastAsia="zh-CN"/>
        </w:rPr>
        <w:t>128.86</w:t>
      </w:r>
      <w:r>
        <w:rPr>
          <w:rFonts w:hint="eastAsia" w:ascii="仿宋_GB2312" w:hAnsi="仿宋"/>
          <w:color w:val="auto"/>
          <w:szCs w:val="32"/>
        </w:rPr>
        <w:t>万元，完成年初预算的</w:t>
      </w:r>
      <w:r>
        <w:rPr>
          <w:rFonts w:hint="eastAsia" w:ascii="仿宋_GB2312" w:hAnsi="仿宋"/>
          <w:color w:val="auto"/>
          <w:szCs w:val="32"/>
          <w:lang w:val="en-US" w:eastAsia="zh-CN"/>
        </w:rPr>
        <w:t>150.40</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人员增加</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color w:val="auto"/>
          <w:szCs w:val="32"/>
        </w:rPr>
        <w:t>3.</w:t>
      </w:r>
      <w:r>
        <w:rPr>
          <w:rFonts w:hint="eastAsia" w:ascii="仿宋_GB2312" w:hAnsi="仿宋"/>
          <w:b/>
          <w:color w:val="auto"/>
          <w:szCs w:val="32"/>
        </w:rPr>
        <w:t>一般公共服务（类）</w:t>
      </w:r>
      <w:r>
        <w:rPr>
          <w:rFonts w:hint="eastAsia" w:ascii="仿宋_GB2312" w:hAnsi="仿宋"/>
          <w:b/>
          <w:color w:val="auto"/>
          <w:szCs w:val="32"/>
          <w:lang w:val="en-US" w:eastAsia="zh-CN"/>
        </w:rPr>
        <w:t>宣传</w:t>
      </w:r>
      <w:r>
        <w:rPr>
          <w:rFonts w:hint="eastAsia" w:ascii="仿宋_GB2312" w:hAnsi="仿宋"/>
          <w:b/>
          <w:color w:val="auto"/>
          <w:szCs w:val="32"/>
        </w:rPr>
        <w:t>事务（款）</w:t>
      </w:r>
      <w:r>
        <w:rPr>
          <w:rFonts w:hint="eastAsia" w:ascii="仿宋_GB2312" w:hAnsi="仿宋"/>
          <w:b/>
          <w:color w:val="auto"/>
          <w:szCs w:val="32"/>
          <w:lang w:val="en-US" w:eastAsia="zh-CN"/>
        </w:rPr>
        <w:t>其他宣传事务</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195</w:t>
      </w:r>
      <w:r>
        <w:rPr>
          <w:rFonts w:hint="eastAsia" w:ascii="仿宋_GB2312" w:hAnsi="仿宋"/>
          <w:color w:val="auto"/>
          <w:szCs w:val="32"/>
        </w:rPr>
        <w:t>万元，支出决算为</w:t>
      </w:r>
      <w:r>
        <w:rPr>
          <w:rFonts w:hint="eastAsia" w:ascii="仿宋_GB2312" w:hAnsi="仿宋"/>
          <w:color w:val="auto"/>
          <w:szCs w:val="32"/>
          <w:lang w:val="en-US" w:eastAsia="zh-CN"/>
        </w:rPr>
        <w:t>227.99</w:t>
      </w:r>
      <w:r>
        <w:rPr>
          <w:rFonts w:hint="eastAsia" w:ascii="仿宋_GB2312" w:hAnsi="仿宋"/>
          <w:color w:val="auto"/>
          <w:szCs w:val="32"/>
        </w:rPr>
        <w:t>万元，完成年初预算的</w:t>
      </w:r>
      <w:r>
        <w:rPr>
          <w:rFonts w:hint="eastAsia" w:ascii="仿宋_GB2312" w:hAnsi="仿宋"/>
          <w:color w:val="auto"/>
          <w:szCs w:val="32"/>
          <w:lang w:val="en-US" w:eastAsia="zh-CN"/>
        </w:rPr>
        <w:t>116.92</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文明创建经费增加</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color w:val="auto"/>
          <w:szCs w:val="32"/>
        </w:rPr>
        <w:t>4.</w:t>
      </w:r>
      <w:r>
        <w:rPr>
          <w:rFonts w:hint="eastAsia" w:ascii="仿宋_GB2312" w:hAnsi="仿宋"/>
          <w:b/>
          <w:color w:val="auto"/>
          <w:szCs w:val="32"/>
        </w:rPr>
        <w:t>卫生健康支出（类）行政事业单位医疗（款）行政单位医疗（项）。</w:t>
      </w:r>
      <w:r>
        <w:rPr>
          <w:rFonts w:hint="eastAsia" w:ascii="仿宋_GB2312" w:hAnsi="仿宋"/>
          <w:color w:val="auto"/>
          <w:szCs w:val="32"/>
        </w:rPr>
        <w:t>年初预算为</w:t>
      </w:r>
      <w:r>
        <w:rPr>
          <w:rFonts w:hint="eastAsia" w:ascii="仿宋_GB2312" w:hAnsi="仿宋"/>
          <w:color w:val="auto"/>
          <w:szCs w:val="32"/>
          <w:lang w:val="en-US" w:eastAsia="zh-CN"/>
        </w:rPr>
        <w:t>9.94</w:t>
      </w:r>
      <w:r>
        <w:rPr>
          <w:rFonts w:hint="eastAsia" w:ascii="仿宋_GB2312" w:hAnsi="仿宋"/>
          <w:color w:val="auto"/>
          <w:szCs w:val="32"/>
        </w:rPr>
        <w:t>万元，支出决算为</w:t>
      </w:r>
      <w:r>
        <w:rPr>
          <w:rFonts w:hint="eastAsia" w:ascii="仿宋_GB2312" w:hAnsi="仿宋"/>
          <w:color w:val="auto"/>
          <w:szCs w:val="32"/>
          <w:lang w:val="en-US" w:eastAsia="zh-CN"/>
        </w:rPr>
        <w:t>9.88</w:t>
      </w:r>
      <w:r>
        <w:rPr>
          <w:rFonts w:hint="eastAsia" w:ascii="仿宋_GB2312" w:hAnsi="仿宋"/>
          <w:color w:val="auto"/>
          <w:szCs w:val="32"/>
        </w:rPr>
        <w:t>万元，完成年初预算的</w:t>
      </w:r>
      <w:r>
        <w:rPr>
          <w:rFonts w:hint="eastAsia" w:ascii="仿宋_GB2312" w:hAnsi="仿宋"/>
          <w:color w:val="auto"/>
          <w:szCs w:val="32"/>
          <w:lang w:val="en-US" w:eastAsia="zh-CN"/>
        </w:rPr>
        <w:t>99.40</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医保部门实际核缴金额小于预算数</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b/>
          <w:color w:val="auto"/>
          <w:szCs w:val="32"/>
        </w:rPr>
        <w:t>卫生健康支出（类）行政事业单位医疗（款）事业单位医疗（项）。</w:t>
      </w:r>
      <w:r>
        <w:rPr>
          <w:rFonts w:hint="eastAsia" w:ascii="仿宋_GB2312" w:hAnsi="仿宋"/>
          <w:color w:val="auto"/>
          <w:szCs w:val="32"/>
        </w:rPr>
        <w:t>年初预算为</w:t>
      </w:r>
      <w:r>
        <w:rPr>
          <w:rFonts w:hint="eastAsia" w:ascii="仿宋_GB2312" w:hAnsi="仿宋"/>
          <w:color w:val="auto"/>
          <w:szCs w:val="32"/>
          <w:lang w:val="en-US" w:eastAsia="zh-CN"/>
        </w:rPr>
        <w:t>5.03</w:t>
      </w:r>
      <w:r>
        <w:rPr>
          <w:rFonts w:hint="eastAsia" w:ascii="仿宋_GB2312" w:hAnsi="仿宋"/>
          <w:color w:val="auto"/>
          <w:szCs w:val="32"/>
        </w:rPr>
        <w:t>万元，支出决算为</w:t>
      </w:r>
      <w:r>
        <w:rPr>
          <w:rFonts w:hint="eastAsia" w:ascii="仿宋_GB2312" w:hAnsi="仿宋"/>
          <w:color w:val="auto"/>
          <w:szCs w:val="32"/>
          <w:lang w:val="en-US" w:eastAsia="zh-CN"/>
        </w:rPr>
        <w:t>5.03</w:t>
      </w:r>
      <w:r>
        <w:rPr>
          <w:rFonts w:hint="eastAsia" w:ascii="仿宋_GB2312" w:hAnsi="仿宋"/>
          <w:color w:val="auto"/>
          <w:szCs w:val="32"/>
        </w:rPr>
        <w:t>万元，完成年初预算的</w:t>
      </w:r>
      <w:r>
        <w:rPr>
          <w:rFonts w:hint="eastAsia" w:ascii="仿宋_GB2312" w:hAnsi="仿宋"/>
          <w:color w:val="auto"/>
          <w:szCs w:val="32"/>
          <w:lang w:val="en-US" w:eastAsia="zh-CN"/>
        </w:rPr>
        <w:t>100.00</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年度财政拨款基本支出</w:t>
      </w:r>
      <w:r>
        <w:rPr>
          <w:rFonts w:hint="eastAsia" w:ascii="仿宋_GB2312" w:hAnsi="仿宋"/>
          <w:color w:val="auto"/>
          <w:szCs w:val="32"/>
          <w:lang w:val="en-US" w:eastAsia="zh-CN"/>
        </w:rPr>
        <w:t>949.29</w:t>
      </w:r>
      <w:r>
        <w:rPr>
          <w:rFonts w:hint="eastAsia" w:ascii="仿宋_GB2312" w:hAnsi="仿宋"/>
          <w:color w:val="auto"/>
          <w:szCs w:val="32"/>
        </w:rPr>
        <w:t>万元，其中：人员经费354.95万元，主要包括:基本工资、津贴补贴、奖金、伙食补助费、绩效工资、机关事业单位基本养老保</w:t>
      </w:r>
      <w:r>
        <w:rPr>
          <w:rFonts w:hint="eastAsia" w:ascii="仿宋_GB2312" w:hAnsi="仿宋"/>
          <w:color w:val="auto"/>
          <w:szCs w:val="32"/>
          <w:lang w:eastAsia="zh-CN"/>
        </w:rPr>
        <w:t>险缴费、</w:t>
      </w:r>
      <w:r>
        <w:rPr>
          <w:rFonts w:hint="eastAsia" w:ascii="仿宋_GB2312" w:hAnsi="仿宋"/>
          <w:color w:val="auto"/>
          <w:szCs w:val="32"/>
        </w:rPr>
        <w:t>职业年金缴费、职工基本医疗保险缴费、其他社会保障缴费、退休费、生活补助、奖励金；公用经费594.34万元，主要包括：办公费、印刷费、邮电费、差旅费、公务接待费、福利费、办公设备购置等。</w:t>
      </w:r>
    </w:p>
    <w:p>
      <w:pPr>
        <w:ind w:firstLine="628"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28" w:firstLineChars="200"/>
        <w:rPr>
          <w:rFonts w:hint="eastAsia" w:ascii="楷体_GB2312" w:hAnsi="仿宋" w:eastAsia="楷体_GB2312"/>
          <w:color w:val="auto"/>
          <w:szCs w:val="32"/>
        </w:rPr>
      </w:pPr>
      <w:r>
        <w:rPr>
          <w:rFonts w:hint="eastAsia" w:ascii="仿宋_GB2312" w:hAnsi="仿宋"/>
          <w:color w:val="auto"/>
          <w:szCs w:val="32"/>
          <w:lang w:val="en-US" w:eastAsia="zh-CN"/>
        </w:rPr>
        <w:t>泗县县委宣传部（本级）没有</w:t>
      </w:r>
      <w:r>
        <w:rPr>
          <w:rFonts w:hint="eastAsia" w:ascii="仿宋_GB2312" w:hAnsi="仿宋"/>
          <w:color w:val="auto"/>
          <w:szCs w:val="32"/>
        </w:rPr>
        <w:t>政府性基金预算</w:t>
      </w:r>
      <w:r>
        <w:rPr>
          <w:rFonts w:hint="eastAsia" w:ascii="仿宋_GB2312" w:hAnsi="仿宋"/>
          <w:color w:val="auto"/>
          <w:szCs w:val="32"/>
          <w:lang w:val="en-US" w:eastAsia="zh-CN"/>
        </w:rPr>
        <w:t>收入，</w:t>
      </w:r>
      <w:r>
        <w:rPr>
          <w:rFonts w:hint="eastAsia" w:ascii="仿宋_GB2312" w:hAnsi="仿宋"/>
          <w:color w:val="auto"/>
          <w:szCs w:val="32"/>
        </w:rPr>
        <w:t>也没有使用政府性基金预算安排的支出。</w:t>
      </w:r>
    </w:p>
    <w:p>
      <w:pPr>
        <w:ind w:firstLine="628"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28" w:firstLineChars="200"/>
        <w:rPr>
          <w:rFonts w:hint="eastAsia" w:ascii="楷体_GB2312" w:hAnsi="仿宋" w:eastAsia="楷体_GB2312"/>
          <w:color w:val="auto"/>
          <w:szCs w:val="32"/>
        </w:rPr>
      </w:pPr>
      <w:r>
        <w:rPr>
          <w:rFonts w:hint="eastAsia" w:ascii="仿宋_GB2312" w:hAnsi="仿宋"/>
          <w:color w:val="auto"/>
          <w:szCs w:val="32"/>
          <w:lang w:val="en-US" w:eastAsia="zh-CN"/>
        </w:rPr>
        <w:t>泗县县委宣传部（本级）没有使用国有资本经营预算财政拨款安排的支出。</w:t>
      </w:r>
    </w:p>
    <w:p>
      <w:pPr>
        <w:adjustRightInd w:val="0"/>
        <w:snapToGrid w:val="0"/>
        <w:spacing w:line="600" w:lineRule="exact"/>
        <w:ind w:firstLine="628"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w:t>
      </w:r>
      <w:r>
        <w:rPr>
          <w:rFonts w:hint="eastAsia" w:ascii="仿宋_GB2312" w:hAnsi="仿宋"/>
          <w:color w:val="auto"/>
          <w:szCs w:val="32"/>
          <w:lang w:val="en-US" w:eastAsia="zh-CN"/>
        </w:rPr>
        <w:t>泗县</w:t>
      </w:r>
      <w:r>
        <w:rPr>
          <w:rFonts w:hint="eastAsia" w:ascii="仿宋_GB2312" w:hAnsi="仿宋"/>
          <w:color w:val="auto"/>
          <w:szCs w:val="32"/>
          <w:lang w:eastAsia="zh-CN"/>
        </w:rPr>
        <w:t>县委宣传部（本级）</w:t>
      </w:r>
      <w:r>
        <w:rPr>
          <w:rFonts w:hint="eastAsia" w:ascii="仿宋_GB2312" w:hAnsi="仿宋"/>
          <w:color w:val="auto"/>
          <w:szCs w:val="32"/>
        </w:rPr>
        <w:t>机关运行经费支出594.34万元，比</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年增加</w:t>
      </w:r>
      <w:r>
        <w:rPr>
          <w:rFonts w:hint="eastAsia" w:ascii="仿宋_GB2312" w:hAnsi="仿宋"/>
          <w:color w:val="auto"/>
          <w:szCs w:val="32"/>
          <w:highlight w:val="none"/>
          <w:lang w:val="en-US" w:eastAsia="zh-CN"/>
        </w:rPr>
        <w:t>255.31</w:t>
      </w:r>
      <w:r>
        <w:rPr>
          <w:rFonts w:hint="eastAsia" w:ascii="仿宋_GB2312" w:hAnsi="仿宋"/>
          <w:color w:val="auto"/>
          <w:szCs w:val="32"/>
        </w:rPr>
        <w:t>万元，增长</w:t>
      </w:r>
      <w:r>
        <w:rPr>
          <w:rFonts w:hint="eastAsia" w:ascii="仿宋_GB2312" w:hAnsi="仿宋"/>
          <w:color w:val="auto"/>
          <w:szCs w:val="32"/>
          <w:highlight w:val="none"/>
          <w:lang w:val="en-US" w:eastAsia="zh-CN"/>
        </w:rPr>
        <w:t>75.31</w:t>
      </w:r>
      <w:r>
        <w:rPr>
          <w:rFonts w:hint="eastAsia" w:ascii="仿宋_GB2312" w:hAnsi="仿宋"/>
          <w:color w:val="auto"/>
          <w:szCs w:val="32"/>
        </w:rPr>
        <w:t>%，主要原因</w:t>
      </w:r>
      <w:r>
        <w:rPr>
          <w:rFonts w:hint="eastAsia" w:ascii="仿宋_GB2312" w:hAnsi="仿宋_GB2312" w:eastAsia="仿宋_GB2312" w:cs="仿宋_GB2312"/>
          <w:b w:val="0"/>
          <w:bCs/>
          <w:color w:val="auto"/>
          <w:sz w:val="32"/>
          <w:szCs w:val="32"/>
          <w:highlight w:val="none"/>
          <w:lang w:eastAsia="zh-CN"/>
        </w:rPr>
        <w:t>一是</w:t>
      </w:r>
      <w:r>
        <w:rPr>
          <w:rFonts w:hint="eastAsia" w:ascii="仿宋_GB2312" w:hAnsi="仿宋"/>
          <w:color w:val="auto"/>
          <w:szCs w:val="32"/>
          <w:highlight w:val="none"/>
          <w:lang w:val="en-US" w:eastAsia="zh-CN"/>
        </w:rPr>
        <w:t>人员增加</w:t>
      </w:r>
      <w:r>
        <w:rPr>
          <w:rFonts w:hint="eastAsia" w:ascii="仿宋_GB2312" w:hAnsi="仿宋"/>
          <w:color w:val="auto"/>
          <w:szCs w:val="32"/>
          <w:highlight w:val="none"/>
        </w:rPr>
        <w:t>；二是</w:t>
      </w:r>
      <w:r>
        <w:rPr>
          <w:rFonts w:hint="eastAsia" w:ascii="仿宋_GB2312" w:hAnsi="仿宋"/>
          <w:color w:val="auto"/>
          <w:szCs w:val="32"/>
          <w:highlight w:val="none"/>
          <w:lang w:val="en-US" w:eastAsia="zh-CN"/>
        </w:rPr>
        <w:t>文明创建经费增加</w:t>
      </w:r>
      <w:r>
        <w:rPr>
          <w:rFonts w:hint="eastAsia" w:ascii="仿宋_GB2312" w:hAnsi="仿宋"/>
          <w:color w:val="auto"/>
          <w:szCs w:val="32"/>
        </w:rPr>
        <w:t>。</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w:t>
      </w:r>
      <w:r>
        <w:rPr>
          <w:rFonts w:hint="eastAsia" w:ascii="仿宋_GB2312" w:hAnsi="仿宋"/>
          <w:color w:val="auto"/>
          <w:szCs w:val="32"/>
          <w:lang w:val="en-US" w:eastAsia="zh-CN"/>
        </w:rPr>
        <w:t>泗县</w:t>
      </w:r>
      <w:r>
        <w:rPr>
          <w:rFonts w:hint="eastAsia" w:ascii="仿宋_GB2312" w:hAnsi="仿宋"/>
          <w:color w:val="auto"/>
          <w:szCs w:val="32"/>
          <w:lang w:eastAsia="zh-CN"/>
        </w:rPr>
        <w:t>县委宣传部（本级）</w:t>
      </w:r>
      <w:r>
        <w:rPr>
          <w:rFonts w:hint="eastAsia" w:ascii="仿宋_GB2312" w:hAnsi="仿宋"/>
          <w:color w:val="auto"/>
          <w:szCs w:val="32"/>
        </w:rPr>
        <w:t>政府采购支出总额</w:t>
      </w:r>
      <w:r>
        <w:rPr>
          <w:rFonts w:hint="eastAsia" w:ascii="仿宋_GB2312" w:hAnsi="仿宋"/>
          <w:color w:val="auto"/>
          <w:szCs w:val="32"/>
          <w:lang w:val="en-US" w:eastAsia="zh-CN"/>
        </w:rPr>
        <w:t>26.70</w:t>
      </w:r>
      <w:r>
        <w:rPr>
          <w:rFonts w:hint="eastAsia" w:ascii="仿宋_GB2312" w:hAnsi="仿宋"/>
          <w:color w:val="auto"/>
          <w:szCs w:val="32"/>
        </w:rPr>
        <w:t>万元，其中：政府采购货物支出</w:t>
      </w:r>
      <w:r>
        <w:rPr>
          <w:rFonts w:hint="eastAsia" w:ascii="仿宋_GB2312" w:hAnsi="仿宋"/>
          <w:color w:val="auto"/>
          <w:szCs w:val="32"/>
          <w:lang w:val="en-US" w:eastAsia="zh-CN"/>
        </w:rPr>
        <w:t>26.70</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0</w:t>
      </w:r>
      <w:r>
        <w:rPr>
          <w:rFonts w:hint="eastAsia" w:ascii="仿宋_GB2312" w:hAnsi="仿宋"/>
          <w:color w:val="auto"/>
          <w:szCs w:val="32"/>
        </w:rPr>
        <w:t>万元，占政府采购支出总额的</w:t>
      </w:r>
      <w:r>
        <w:rPr>
          <w:rFonts w:hint="eastAsia" w:ascii="仿宋_GB2312" w:hAnsi="仿宋"/>
          <w:color w:val="auto"/>
          <w:szCs w:val="32"/>
          <w:lang w:val="en-US" w:eastAsia="zh-CN"/>
        </w:rPr>
        <w:t>0.00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0.00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0.00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0.00</w:t>
      </w:r>
      <w:r>
        <w:rPr>
          <w:rFonts w:hint="eastAsia" w:ascii="仿宋_GB2312" w:hAnsi="仿宋"/>
          <w:color w:val="auto"/>
          <w:szCs w:val="32"/>
        </w:rPr>
        <w:t>%。</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2</w:t>
      </w:r>
      <w:r>
        <w:rPr>
          <w:rFonts w:hint="eastAsia" w:ascii="仿宋_GB2312" w:hAnsi="楷体"/>
          <w:color w:val="auto"/>
          <w:szCs w:val="32"/>
        </w:rPr>
        <w:t>年12月31日，</w:t>
      </w:r>
      <w:r>
        <w:rPr>
          <w:rFonts w:hint="eastAsia" w:ascii="仿宋_GB2312" w:hAnsi="仿宋"/>
          <w:color w:val="auto"/>
          <w:szCs w:val="32"/>
          <w:lang w:val="en-US" w:eastAsia="zh-CN"/>
        </w:rPr>
        <w:t>泗县</w:t>
      </w:r>
      <w:r>
        <w:rPr>
          <w:rFonts w:hint="eastAsia" w:ascii="仿宋_GB2312" w:hAnsi="仿宋"/>
          <w:color w:val="auto"/>
          <w:szCs w:val="32"/>
          <w:lang w:eastAsia="zh-CN"/>
        </w:rPr>
        <w:t>县委宣传部（</w:t>
      </w:r>
      <w:r>
        <w:rPr>
          <w:rFonts w:hint="eastAsia" w:ascii="仿宋_GB2312" w:hAnsi="仿宋"/>
          <w:color w:val="auto"/>
          <w:szCs w:val="32"/>
          <w:lang w:val="en-US" w:eastAsia="zh-CN"/>
        </w:rPr>
        <w:t>本级</w:t>
      </w:r>
      <w:r>
        <w:rPr>
          <w:rFonts w:hint="eastAsia" w:ascii="仿宋_GB2312" w:hAnsi="仿宋"/>
          <w:color w:val="auto"/>
          <w:szCs w:val="32"/>
          <w:lang w:eastAsia="zh-CN"/>
        </w:rPr>
        <w:t>）</w:t>
      </w:r>
      <w:r>
        <w:rPr>
          <w:rFonts w:hint="eastAsia" w:ascii="仿宋_GB2312" w:hAnsi="仿宋"/>
          <w:color w:val="auto"/>
          <w:szCs w:val="32"/>
        </w:rPr>
        <w:t>共有车辆</w:t>
      </w:r>
      <w:r>
        <w:rPr>
          <w:rFonts w:hint="eastAsia" w:ascii="仿宋_GB2312" w:hAnsi="仿宋"/>
          <w:color w:val="auto"/>
          <w:szCs w:val="32"/>
          <w:lang w:val="en-US" w:eastAsia="zh-CN"/>
        </w:rPr>
        <w:t>5</w:t>
      </w:r>
      <w:r>
        <w:rPr>
          <w:rFonts w:hint="eastAsia" w:ascii="仿宋_GB2312" w:hAnsi="仿宋"/>
          <w:color w:val="auto"/>
          <w:szCs w:val="32"/>
        </w:rPr>
        <w:t>辆，其中：机要通信用车</w:t>
      </w:r>
      <w:r>
        <w:rPr>
          <w:rFonts w:hint="eastAsia" w:ascii="仿宋_GB2312" w:hAnsi="仿宋"/>
          <w:color w:val="auto"/>
          <w:szCs w:val="32"/>
          <w:lang w:val="en-US" w:eastAsia="zh-CN"/>
        </w:rPr>
        <w:t>2</w:t>
      </w:r>
      <w:r>
        <w:rPr>
          <w:rFonts w:hint="eastAsia" w:ascii="仿宋_GB2312" w:hAnsi="仿宋"/>
          <w:color w:val="auto"/>
          <w:szCs w:val="32"/>
        </w:rPr>
        <w:t>辆、其他用车</w:t>
      </w:r>
      <w:r>
        <w:rPr>
          <w:rFonts w:hint="eastAsia" w:ascii="仿宋_GB2312" w:hAnsi="仿宋"/>
          <w:color w:val="auto"/>
          <w:szCs w:val="32"/>
          <w:lang w:val="en-US" w:eastAsia="zh-CN"/>
        </w:rPr>
        <w:t>3</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r>
        <w:rPr>
          <w:rFonts w:ascii="仿宋_GB2312" w:hAnsi="仿宋"/>
          <w:color w:val="auto"/>
          <w:szCs w:val="32"/>
        </w:rPr>
        <w:br w:type="textWrapping"/>
      </w:r>
      <w:r>
        <w:rPr>
          <w:rFonts w:hint="eastAsia" w:ascii="仿宋_GB2312" w:hAnsi="仿宋"/>
          <w:color w:val="auto"/>
          <w:szCs w:val="32"/>
        </w:rPr>
        <w:t xml:space="preserve"> </w:t>
      </w:r>
      <w:r>
        <w:rPr>
          <w:rFonts w:hint="eastAsia" w:ascii="仿宋_GB2312" w:hAnsi="仿宋"/>
          <w:b/>
          <w:bCs/>
          <w:i/>
          <w:iCs/>
          <w:color w:val="auto"/>
          <w:szCs w:val="32"/>
        </w:rPr>
        <w:t xml:space="preserve"> </w:t>
      </w:r>
      <w:r>
        <w:rPr>
          <w:rFonts w:hint="eastAsia" w:ascii="仿宋_GB2312" w:hAnsi="仿宋"/>
          <w:color w:val="auto"/>
          <w:szCs w:val="32"/>
        </w:rPr>
        <w:t xml:space="preserve"> </w:t>
      </w: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2</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pPr>
        <w:spacing w:line="560" w:lineRule="exact"/>
        <w:ind w:firstLine="628" w:firstLineChars="20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年度纳入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预算的项目支出全面开展了绩效自评，共</w:t>
      </w:r>
      <w:r>
        <w:rPr>
          <w:rFonts w:hint="eastAsia" w:ascii="仿宋_GB2312" w:hAnsi="仿宋_GB2312" w:cs="仿宋_GB2312"/>
          <w:bCs/>
          <w:color w:val="auto"/>
          <w:sz w:val="32"/>
          <w:szCs w:val="32"/>
          <w:lang w:val="en-US" w:eastAsia="zh-CN"/>
        </w:rPr>
        <w:t>10</w:t>
      </w:r>
      <w:r>
        <w:rPr>
          <w:rFonts w:hint="eastAsia" w:ascii="仿宋_GB2312" w:hAnsi="仿宋_GB2312" w:eastAsia="仿宋_GB2312" w:cs="仿宋_GB2312"/>
          <w:color w:val="auto"/>
          <w:sz w:val="32"/>
          <w:szCs w:val="32"/>
        </w:rPr>
        <w:t>个项目，涉及资金</w:t>
      </w:r>
      <w:r>
        <w:rPr>
          <w:rFonts w:hint="eastAsia" w:ascii="仿宋_GB2312" w:hAnsi="仿宋_GB2312" w:cs="仿宋_GB2312"/>
          <w:bCs/>
          <w:color w:val="auto"/>
          <w:sz w:val="32"/>
          <w:szCs w:val="32"/>
          <w:lang w:val="en-US" w:eastAsia="zh-CN"/>
        </w:rPr>
        <w:t>298</w:t>
      </w:r>
      <w:r>
        <w:rPr>
          <w:rFonts w:hint="eastAsia" w:ascii="仿宋_GB2312" w:hAnsi="仿宋_GB2312" w:eastAsia="仿宋_GB2312" w:cs="仿宋_GB2312"/>
          <w:color w:val="auto"/>
          <w:sz w:val="32"/>
          <w:szCs w:val="32"/>
        </w:rPr>
        <w:t>万元。从评价情况看，</w:t>
      </w:r>
      <w:r>
        <w:rPr>
          <w:rFonts w:hint="eastAsia" w:ascii="仿宋" w:hAnsi="仿宋" w:eastAsia="仿宋" w:cs="仿宋"/>
          <w:bCs/>
          <w:color w:val="auto"/>
          <w:sz w:val="32"/>
          <w:szCs w:val="32"/>
        </w:rPr>
        <w:t>项目自评情况总体良好，达到了预期效果</w:t>
      </w:r>
      <w:r>
        <w:rPr>
          <w:rFonts w:hint="eastAsia" w:ascii="仿宋_GB2312" w:hAnsi="仿宋_GB2312" w:cs="仿宋_GB2312"/>
          <w:bCs/>
          <w:color w:val="auto"/>
          <w:sz w:val="32"/>
          <w:szCs w:val="32"/>
          <w:lang w:eastAsia="zh-CN"/>
        </w:rPr>
        <w:t>。</w:t>
      </w:r>
    </w:p>
    <w:p>
      <w:pPr>
        <w:spacing w:line="560" w:lineRule="exact"/>
        <w:ind w:firstLine="62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组织对202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年度单位整体支出开展了绩效自评。评价结果显示，</w:t>
      </w:r>
      <w:r>
        <w:rPr>
          <w:rFonts w:hint="eastAsia" w:ascii="仿宋_GB2312" w:hAnsi="仿宋_GB2312" w:eastAsia="仿宋_GB2312" w:cs="仿宋_GB2312"/>
          <w:bCs/>
          <w:color w:val="auto"/>
          <w:sz w:val="32"/>
          <w:szCs w:val="32"/>
          <w:lang w:val="en-US" w:eastAsia="zh-CN"/>
        </w:rPr>
        <w:t>我</w:t>
      </w:r>
      <w:r>
        <w:rPr>
          <w:rFonts w:hint="eastAsia" w:ascii="仿宋_GB2312" w:hAnsi="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val="en-US" w:eastAsia="zh-CN"/>
        </w:rPr>
        <w:t>整体绩效自评价情况较好，资金使用和效果达到了预期的经济、环境和社会效益</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rPr>
        <w:t>决算中项目绩效自评结果。</w:t>
      </w:r>
    </w:p>
    <w:p>
      <w:pPr>
        <w:spacing w:line="560" w:lineRule="exact"/>
        <w:ind w:firstLine="62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年度单位决算中反映“</w:t>
      </w:r>
      <w:r>
        <w:rPr>
          <w:rFonts w:hint="eastAsia" w:ascii="仿宋_GB2312" w:hAnsi="仿宋_GB2312" w:eastAsia="仿宋_GB2312" w:cs="仿宋_GB2312"/>
          <w:bCs/>
          <w:color w:val="auto"/>
          <w:sz w:val="32"/>
          <w:szCs w:val="32"/>
          <w:lang w:eastAsia="zh-CN"/>
        </w:rPr>
        <w:t>新华社、人民网、安徽日报合作经费项目</w:t>
      </w:r>
      <w:r>
        <w:rPr>
          <w:rFonts w:hint="eastAsia" w:ascii="仿宋_GB2312" w:hAnsi="仿宋_GB2312" w:eastAsia="仿宋_GB2312" w:cs="仿宋_GB2312"/>
          <w:color w:val="auto"/>
          <w:sz w:val="32"/>
          <w:szCs w:val="32"/>
          <w:lang w:eastAsia="zh-CN"/>
        </w:rPr>
        <w:t>”项目绩效自评综述和所有项目支出绩效自评表。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新华社、人民网、安徽日报合作经费</w:t>
      </w:r>
      <w:r>
        <w:rPr>
          <w:rFonts w:hint="eastAsia" w:ascii="仿宋_GB2312" w:hAnsi="仿宋_GB2312" w:eastAsia="仿宋_GB2312" w:cs="仿宋_GB2312"/>
          <w:color w:val="auto"/>
          <w:sz w:val="32"/>
          <w:szCs w:val="32"/>
          <w:lang w:eastAsia="zh-CN"/>
        </w:rPr>
        <w:t>项目绩效自评综述：根据年初设定的绩效目标，项目绩效自评得分为</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分。全年预算数为</w:t>
      </w:r>
      <w:r>
        <w:rPr>
          <w:rFonts w:hint="eastAsia" w:ascii="仿宋_GB2312" w:hAnsi="仿宋_GB2312" w:cs="仿宋_GB2312"/>
          <w:color w:val="auto"/>
          <w:sz w:val="32"/>
          <w:szCs w:val="32"/>
          <w:lang w:val="en-US" w:eastAsia="zh-CN"/>
        </w:rPr>
        <w:t>150</w:t>
      </w:r>
      <w:r>
        <w:rPr>
          <w:rFonts w:hint="eastAsia" w:ascii="仿宋_GB2312" w:hAnsi="仿宋_GB2312" w:eastAsia="仿宋_GB2312" w:cs="仿宋_GB2312"/>
          <w:color w:val="auto"/>
          <w:sz w:val="32"/>
          <w:szCs w:val="32"/>
          <w:lang w:eastAsia="zh-CN"/>
        </w:rPr>
        <w:t>万元，执行数为</w:t>
      </w:r>
      <w:r>
        <w:rPr>
          <w:rFonts w:hint="eastAsia" w:ascii="仿宋_GB2312" w:hAnsi="仿宋_GB2312" w:cs="仿宋_GB2312"/>
          <w:color w:val="auto"/>
          <w:sz w:val="32"/>
          <w:szCs w:val="32"/>
          <w:lang w:val="en-US" w:eastAsia="zh-CN"/>
        </w:rPr>
        <w:t>150</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cs="仿宋_GB2312"/>
          <w:color w:val="auto"/>
          <w:sz w:val="32"/>
          <w:szCs w:val="32"/>
          <w:lang w:val="en-US" w:eastAsia="zh-CN"/>
        </w:rPr>
        <w:t>100.00</w:t>
      </w:r>
      <w:r>
        <w:rPr>
          <w:rFonts w:hint="eastAsia" w:ascii="仿宋_GB2312" w:hAnsi="仿宋_GB2312" w:eastAsia="仿宋_GB2312" w:cs="仿宋_GB2312"/>
          <w:color w:val="auto"/>
          <w:sz w:val="32"/>
          <w:szCs w:val="32"/>
          <w:lang w:eastAsia="zh-CN"/>
        </w:rPr>
        <w:t>%。项目绩效目标完成情况：</w:t>
      </w:r>
      <w:r>
        <w:rPr>
          <w:rFonts w:hint="eastAsia" w:ascii="仿宋_GB2312" w:hAnsi="仿宋_GB2312" w:eastAsia="仿宋_GB2312" w:cs="仿宋_GB2312"/>
          <w:bCs/>
          <w:color w:val="auto"/>
          <w:sz w:val="32"/>
          <w:szCs w:val="32"/>
          <w:lang w:eastAsia="zh-CN"/>
        </w:rPr>
        <w:t>通过项目实施，加强与新华社、人民网、安徽日报等主流媒体合作，加大对泗县的宣传推广力度，进一步提升泗县知名度</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发现的主要问题</w:t>
      </w:r>
      <w:r>
        <w:rPr>
          <w:rFonts w:hint="eastAsia" w:ascii="仿宋_GB2312" w:hAnsi="仿宋_GB2312" w:cs="仿宋_GB2312"/>
          <w:color w:val="auto"/>
          <w:sz w:val="32"/>
          <w:szCs w:val="32"/>
          <w:lang w:val="en-US" w:eastAsia="zh-CN"/>
        </w:rPr>
        <w:t>是</w:t>
      </w:r>
      <w:r>
        <w:rPr>
          <w:rFonts w:hint="eastAsia" w:ascii="仿宋_GB2312" w:hAnsi="仿宋_GB2312" w:eastAsia="仿宋_GB2312" w:cs="仿宋_GB2312"/>
          <w:bCs/>
          <w:color w:val="auto"/>
          <w:sz w:val="32"/>
          <w:szCs w:val="32"/>
          <w:lang w:eastAsia="zh-CN"/>
        </w:rPr>
        <w:t>在专业性问题上缺乏足够的专业知识和经验，还有待进一步加强提高</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下一步</w:t>
      </w:r>
      <w:r>
        <w:rPr>
          <w:rFonts w:hint="eastAsia" w:ascii="仿宋_GB2312" w:hAnsi="仿宋_GB2312" w:eastAsia="仿宋_GB2312" w:cs="仿宋_GB2312"/>
          <w:bCs/>
          <w:color w:val="auto"/>
          <w:sz w:val="32"/>
          <w:szCs w:val="32"/>
          <w:lang w:eastAsia="zh-CN"/>
        </w:rPr>
        <w:t>我</w:t>
      </w:r>
      <w:r>
        <w:rPr>
          <w:rFonts w:hint="eastAsia" w:ascii="仿宋_GB2312" w:hAnsi="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eastAsia="zh-CN"/>
        </w:rPr>
        <w:t>将加强专业知识的学习，提高业务水平能力；加强对预算编制的管理，严格执行预算绩效管理办法，科学合理地设置预算绩效指标，积极推动绩效自评结果应用，将其作为预算编制和改进管理的重要依据，使有限的预算资金产生更大的效益。</w:t>
      </w:r>
    </w:p>
    <w:p>
      <w:pPr>
        <w:spacing w:line="560" w:lineRule="exact"/>
        <w:ind w:firstLine="628" w:firstLineChars="200"/>
        <w:rPr>
          <w:rFonts w:hint="eastAsia" w:ascii="仿宋_GB2312" w:hAnsi="仿宋_GB2312" w:eastAsia="仿宋_GB2312" w:cs="仿宋_GB2312"/>
          <w:color w:val="auto"/>
          <w:sz w:val="32"/>
          <w:szCs w:val="32"/>
          <w:lang w:eastAsia="zh-CN"/>
        </w:rPr>
      </w:pPr>
      <w:r>
        <w:drawing>
          <wp:anchor distT="0" distB="0" distL="114300" distR="114300" simplePos="0" relativeHeight="251659264" behindDoc="1" locked="0" layoutInCell="1" allowOverlap="1">
            <wp:simplePos x="0" y="0"/>
            <wp:positionH relativeFrom="column">
              <wp:posOffset>76200</wp:posOffset>
            </wp:positionH>
            <wp:positionV relativeFrom="paragraph">
              <wp:posOffset>755650</wp:posOffset>
            </wp:positionV>
            <wp:extent cx="5574665" cy="7124065"/>
            <wp:effectExtent l="0" t="0" r="0" b="8255"/>
            <wp:wrapTight wrapText="bothSides">
              <wp:wrapPolygon>
                <wp:start x="21592" y="-2"/>
                <wp:lineTo x="0" y="0"/>
                <wp:lineTo x="0" y="21600"/>
                <wp:lineTo x="21592" y="21602"/>
                <wp:lineTo x="8" y="21602"/>
                <wp:lineTo x="21600" y="21600"/>
                <wp:lineTo x="21600" y="0"/>
                <wp:lineTo x="8" y="-2"/>
                <wp:lineTo x="21592" y="-2"/>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5574665" cy="7124065"/>
                    </a:xfrm>
                    <a:prstGeom prst="rect">
                      <a:avLst/>
                    </a:prstGeom>
                    <a:noFill/>
                    <a:ln>
                      <a:noFill/>
                    </a:ln>
                  </pic:spPr>
                </pic:pic>
              </a:graphicData>
            </a:graphic>
          </wp:anchor>
        </w:drawing>
      </w:r>
      <w:r>
        <w:rPr>
          <w:rFonts w:hint="eastAsia" w:ascii="仿宋_GB2312" w:hAnsi="仿宋_GB2312" w:eastAsia="仿宋_GB2312" w:cs="仿宋_GB2312"/>
          <w:bCs/>
          <w:color w:val="auto"/>
          <w:sz w:val="32"/>
          <w:szCs w:val="32"/>
          <w:lang w:eastAsia="zh-CN"/>
        </w:rPr>
        <w:t>新华社、人民网、安徽日报合作经费</w:t>
      </w:r>
      <w:r>
        <w:rPr>
          <w:rFonts w:hint="eastAsia" w:ascii="仿宋_GB2312" w:hAnsi="仿宋_GB2312" w:eastAsia="仿宋_GB2312" w:cs="仿宋_GB2312"/>
          <w:color w:val="auto"/>
          <w:sz w:val="32"/>
          <w:szCs w:val="32"/>
          <w:lang w:eastAsia="zh-CN"/>
        </w:rPr>
        <w:t>项目的《项目支出绩效自评表》。</w:t>
      </w:r>
    </w:p>
    <w:p>
      <w:pPr>
        <w:adjustRightInd w:val="0"/>
        <w:snapToGrid w:val="0"/>
        <w:spacing w:line="600" w:lineRule="exact"/>
        <w:ind w:firstLine="628" w:firstLineChars="200"/>
        <w:rPr>
          <w:rFonts w:hint="eastAsia" w:ascii="楷体" w:hAnsi="楷体" w:eastAsia="楷体" w:cs="楷体"/>
          <w:color w:val="auto"/>
          <w:szCs w:val="32"/>
          <w:lang w:eastAsia="zh-CN"/>
        </w:rPr>
      </w:pPr>
      <w:r>
        <w:rPr>
          <w:rFonts w:hint="eastAsia" w:ascii="仿宋_GB2312" w:hAnsi="仿宋_GB2312" w:cs="仿宋_GB2312"/>
          <w:color w:val="auto"/>
          <w:sz w:val="32"/>
          <w:szCs w:val="32"/>
          <w:lang w:eastAsia="zh-CN"/>
        </w:rPr>
        <w:t>所有项目</w:t>
      </w:r>
      <w:r>
        <w:rPr>
          <w:rFonts w:hint="eastAsia" w:ascii="仿宋_GB2312" w:hAnsi="仿宋_GB2312" w:eastAsia="仿宋_GB2312" w:cs="仿宋_GB2312"/>
          <w:color w:val="auto"/>
          <w:sz w:val="32"/>
          <w:szCs w:val="32"/>
          <w:lang w:eastAsia="zh-CN"/>
        </w:rPr>
        <w:t>绩效自评表详见“附件：</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color w:val="auto"/>
          <w:sz w:val="32"/>
          <w:szCs w:val="32"/>
          <w:lang w:eastAsia="zh-CN"/>
        </w:rPr>
        <w:t>项目支出绩效自评表</w:t>
      </w:r>
      <w:r>
        <w:rPr>
          <w:rFonts w:hint="eastAsia" w:ascii="仿宋_GB2312" w:hAnsi="仿宋_GB2312" w:cs="仿宋_GB2312"/>
          <w:color w:val="auto"/>
          <w:sz w:val="32"/>
          <w:szCs w:val="32"/>
          <w:lang w:eastAsia="zh-CN"/>
        </w:rPr>
        <w:t>”。</w:t>
      </w:r>
    </w:p>
    <w:p>
      <w:pPr>
        <w:adjustRightInd w:val="0"/>
        <w:snapToGrid w:val="0"/>
        <w:spacing w:line="600" w:lineRule="exact"/>
        <w:ind w:firstLine="628"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ind w:firstLine="628" w:firstLineChars="200"/>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指单位从同级财政</w:t>
      </w:r>
      <w:r>
        <w:rPr>
          <w:rFonts w:hint="eastAsia" w:ascii="仿宋_GB2312" w:hAnsi="仿宋"/>
          <w:color w:val="auto"/>
          <w:szCs w:val="32"/>
          <w:lang w:eastAsia="zh-CN"/>
        </w:rPr>
        <w:t>单位</w:t>
      </w:r>
      <w:r>
        <w:rPr>
          <w:rFonts w:hint="eastAsia" w:ascii="仿宋_GB2312" w:hAnsi="仿宋"/>
          <w:color w:val="auto"/>
          <w:szCs w:val="32"/>
        </w:rPr>
        <w:t>取得的财政预算资金。</w:t>
      </w:r>
    </w:p>
    <w:p>
      <w:pPr>
        <w:adjustRightInd w:val="0"/>
        <w:snapToGrid w:val="0"/>
        <w:spacing w:line="600" w:lineRule="exact"/>
        <w:ind w:firstLine="628" w:firstLineChars="200"/>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ind w:firstLine="628" w:firstLineChars="200"/>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w:t>
      </w:r>
      <w:r>
        <w:rPr>
          <w:rFonts w:hint="eastAsia" w:ascii="仿宋_GB2312" w:hAnsi="仿宋" w:cs="Times New Roman"/>
          <w:color w:val="auto"/>
          <w:kern w:val="2"/>
          <w:sz w:val="32"/>
          <w:szCs w:val="32"/>
          <w:lang w:eastAsia="zh-CN"/>
        </w:rPr>
        <w:t>单位</w:t>
      </w:r>
      <w:r>
        <w:rPr>
          <w:rFonts w:hint="eastAsia" w:ascii="仿宋_GB2312" w:hAnsi="仿宋" w:eastAsia="仿宋_GB2312" w:cs="Times New Roman"/>
          <w:color w:val="auto"/>
          <w:kern w:val="2"/>
          <w:sz w:val="32"/>
          <w:szCs w:val="32"/>
        </w:rPr>
        <w:t>和上级单位取得的非财政补助收入。</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8"/>
        <w:spacing w:before="0" w:beforeAutospacing="0" w:after="0" w:afterAutospacing="0" w:line="600" w:lineRule="exact"/>
        <w:ind w:firstLine="616"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8"/>
        <w:spacing w:before="0" w:beforeAutospacing="0" w:after="0" w:afterAutospacing="0" w:line="600" w:lineRule="exact"/>
        <w:ind w:firstLine="616"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8"/>
        <w:spacing w:before="0" w:beforeAutospacing="0" w:after="0" w:afterAutospacing="0" w:line="600" w:lineRule="exact"/>
        <w:ind w:firstLine="616"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pStyle w:val="8"/>
        <w:spacing w:before="0" w:beforeAutospacing="0" w:after="0" w:afterAutospacing="0" w:line="600" w:lineRule="exact"/>
        <w:jc w:val="center"/>
        <w:rPr>
          <w:rFonts w:hint="eastAsia" w:ascii="楷体_GB2312" w:hAnsi="Times New Roman" w:eastAsia="楷体_GB2312"/>
          <w:color w:val="auto"/>
          <w:kern w:val="2"/>
          <w:sz w:val="32"/>
          <w:szCs w:val="32"/>
          <w:lang w:val="en-US" w:eastAsia="zh-CN"/>
        </w:rPr>
      </w:pPr>
      <w:r>
        <w:rPr>
          <w:rFonts w:hint="eastAsia" w:ascii="楷体_GB2312" w:hAnsi="Times New Roman" w:eastAsia="楷体_GB2312"/>
          <w:color w:val="auto"/>
          <w:kern w:val="2"/>
          <w:sz w:val="32"/>
          <w:szCs w:val="32"/>
          <w:lang w:val="en-US" w:eastAsia="zh-CN"/>
        </w:rPr>
        <w:t xml:space="preserve"> </w:t>
      </w:r>
    </w:p>
    <w:p>
      <w:pPr>
        <w:pStyle w:val="8"/>
        <w:spacing w:before="0" w:beforeAutospacing="0" w:after="0" w:afterAutospacing="0" w:line="600" w:lineRule="exact"/>
        <w:jc w:val="center"/>
        <w:rPr>
          <w:rFonts w:hint="eastAsia" w:ascii="楷体_GB2312" w:hAnsi="Times New Roman" w:eastAsia="楷体_GB2312"/>
          <w:color w:val="auto"/>
          <w:kern w:val="2"/>
          <w:sz w:val="32"/>
          <w:szCs w:val="32"/>
          <w:lang w:val="en-US" w:eastAsia="zh-CN"/>
        </w:rPr>
      </w:pPr>
    </w:p>
    <w:p>
      <w:pPr>
        <w:adjustRightInd w:val="0"/>
        <w:snapToGrid w:val="0"/>
        <w:spacing w:line="600" w:lineRule="exact"/>
        <w:ind w:firstLine="628" w:firstLineChars="200"/>
        <w:rPr>
          <w:rFonts w:hint="eastAsia" w:ascii="仿宋_GB2312" w:hAnsi="仿宋_GB2312" w:eastAsia="仿宋_GB2312" w:cs="仿宋_GB2312"/>
          <w:bCs/>
          <w:color w:val="auto"/>
          <w:sz w:val="32"/>
          <w:szCs w:val="32"/>
          <w:lang w:eastAsia="zh-CN"/>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202</w:t>
      </w:r>
      <w:r>
        <w:rPr>
          <w:rFonts w:hint="eastAsia" w:ascii="仿宋_GB2312" w:hAnsi="Times New Roman" w:cs="宋体"/>
          <w:color w:val="auto"/>
          <w:kern w:val="2"/>
          <w:sz w:val="32"/>
          <w:szCs w:val="32"/>
          <w:lang w:val="en-US" w:eastAsia="zh-CN" w:bidi="ar-SA"/>
        </w:rPr>
        <w:t>2</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p>
    <w:p>
      <w:pPr>
        <w:numPr>
          <w:ilvl w:val="0"/>
          <w:numId w:val="0"/>
        </w:numPr>
        <w:adjustRightInd w:val="0"/>
        <w:snapToGrid w:val="0"/>
        <w:spacing w:line="600" w:lineRule="exact"/>
        <w:ind w:firstLine="628" w:firstLineChars="200"/>
        <w:rPr>
          <w:rFonts w:hint="eastAsia" w:ascii="仿宋_GB2312" w:hAnsi="Times New Roman" w:eastAsia="仿宋_GB2312" w:cs="宋体"/>
          <w:color w:val="auto"/>
          <w:kern w:val="2"/>
          <w:sz w:val="32"/>
          <w:szCs w:val="32"/>
          <w:lang w:val="en-US" w:eastAsia="zh-CN" w:bidi="ar-SA"/>
        </w:rPr>
      </w:pPr>
    </w:p>
    <w:p>
      <w:pPr>
        <w:pStyle w:val="2"/>
        <w:rPr>
          <w:rFonts w:hint="eastAsia"/>
          <w:lang w:val="en-US" w:eastAsia="zh-CN"/>
        </w:rPr>
      </w:pPr>
    </w:p>
    <w:p>
      <w:pPr>
        <w:pStyle w:val="2"/>
        <w:rPr>
          <w:rFonts w:hint="default" w:ascii="仿宋_GB2312" w:hAnsi="Times New Roman" w:eastAsia="仿宋_GB2312" w:cs="宋体"/>
          <w:b/>
          <w:bCs/>
          <w:color w:val="auto"/>
          <w:kern w:val="2"/>
          <w:sz w:val="32"/>
          <w:szCs w:val="32"/>
          <w:lang w:val="en-US" w:eastAsia="zh-CN" w:bidi="ar-SA"/>
        </w:rPr>
      </w:pPr>
      <w:r>
        <w:rPr>
          <w:rFonts w:hint="eastAsia" w:ascii="仿宋_GB2312" w:hAnsi="Times New Roman" w:eastAsia="仿宋_GB2312" w:cs="宋体"/>
          <w:b/>
          <w:bCs/>
          <w:color w:val="auto"/>
          <w:kern w:val="2"/>
          <w:sz w:val="32"/>
          <w:szCs w:val="32"/>
          <w:lang w:val="en-US" w:eastAsia="zh-CN" w:bidi="ar-SA"/>
        </w:rPr>
        <w:t>泗县县委宣传部（本级）202</w:t>
      </w:r>
      <w:r>
        <w:rPr>
          <w:rFonts w:hint="eastAsia" w:ascii="仿宋_GB2312" w:hAnsi="Times New Roman" w:cs="宋体"/>
          <w:b/>
          <w:bCs/>
          <w:color w:val="auto"/>
          <w:kern w:val="2"/>
          <w:sz w:val="32"/>
          <w:szCs w:val="32"/>
          <w:lang w:val="en-US" w:eastAsia="zh-CN" w:bidi="ar-SA"/>
        </w:rPr>
        <w:t>2</w:t>
      </w:r>
      <w:r>
        <w:rPr>
          <w:rFonts w:hint="eastAsia" w:ascii="仿宋_GB2312" w:hAnsi="Times New Roman" w:eastAsia="仿宋_GB2312" w:cs="宋体"/>
          <w:b/>
          <w:bCs/>
          <w:color w:val="auto"/>
          <w:kern w:val="2"/>
          <w:sz w:val="32"/>
          <w:szCs w:val="32"/>
          <w:lang w:val="en-US" w:eastAsia="zh-CN" w:bidi="ar-SA"/>
        </w:rPr>
        <w:t>年度</w:t>
      </w:r>
      <w:r>
        <w:rPr>
          <w:rFonts w:hint="eastAsia" w:ascii="仿宋_GB2312" w:hAnsi="仿宋_GB2312" w:eastAsia="仿宋_GB2312" w:cs="仿宋_GB2312"/>
          <w:b/>
          <w:bCs/>
          <w:color w:val="auto"/>
          <w:sz w:val="32"/>
          <w:szCs w:val="32"/>
          <w:lang w:eastAsia="zh-CN"/>
        </w:rPr>
        <w:t>项目支出绩效自评表</w:t>
      </w:r>
      <w:r>
        <w:rPr>
          <w:rFonts w:hint="eastAsia" w:ascii="仿宋_GB2312" w:hAnsi="仿宋_GB2312" w:eastAsia="仿宋_GB2312" w:cs="仿宋_GB2312"/>
          <w:b/>
          <w:bCs/>
          <w:color w:val="auto"/>
          <w:sz w:val="32"/>
          <w:szCs w:val="32"/>
          <w:lang w:val="en-US" w:eastAsia="zh-CN"/>
        </w:rPr>
        <w:t>清单</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新华社、人民网、安徽日报合作经费项目的《项目支出绩效自评表》；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文明建设创建活动经费项目的《项目支出绩效自评表》；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《今日泗州》发行费项目的《项目支出绩效自评表》；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中心组学习及网络管理项目的《项目支出绩效自评表》；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道德模范生产生活救助项目的《项目支出绩效自评表》；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对外宣传经费项目的《项目支出绩效自评表》；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精神文明建设网站维护费项目的《项目支出绩效自评表》；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志愿者服务工作经费项目的《项目支出绩效自评表》；</w:t>
      </w:r>
    </w:p>
    <w:p>
      <w:pPr>
        <w:pStyle w:val="2"/>
        <w:numPr>
          <w:ilvl w:val="0"/>
          <w:numId w:val="1"/>
        </w:numPr>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为未成年人办实事好事项目的《项目支出绩效自评表》；</w:t>
      </w:r>
    </w:p>
    <w:p>
      <w:pPr>
        <w:pStyle w:val="2"/>
        <w:numPr>
          <w:ilvl w:val="0"/>
          <w:numId w:val="0"/>
        </w:numPr>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lang w:eastAsia="zh-CN"/>
        </w:rPr>
        <w:t>未成年人思想道德教育(乡村少年宫)项目的《项目支出绩效自评表》；</w:t>
      </w:r>
    </w:p>
    <w:p>
      <w:pPr>
        <w:spacing w:line="560" w:lineRule="exact"/>
        <w:ind w:firstLine="640"/>
        <w:rPr>
          <w:rFonts w:hint="eastAsia" w:ascii="宋体" w:hAnsi="宋体"/>
          <w:b/>
          <w:color w:val="auto"/>
          <w:sz w:val="36"/>
          <w:szCs w:val="36"/>
        </w:rPr>
      </w:pPr>
    </w:p>
    <w:p>
      <w:pPr>
        <w:pStyle w:val="2"/>
        <w:jc w:val="both"/>
        <w:rPr>
          <w:rFonts w:hint="eastAsia"/>
          <w:color w:val="auto"/>
        </w:rPr>
      </w:pPr>
    </w:p>
    <w:p>
      <w:pPr>
        <w:pStyle w:val="2"/>
        <w:jc w:val="both"/>
      </w:pPr>
      <w:r>
        <w:drawing>
          <wp:inline distT="0" distB="0" distL="114300" distR="114300">
            <wp:extent cx="5577840" cy="8509635"/>
            <wp:effectExtent l="0" t="0" r="0" b="9525"/>
            <wp:docPr id="1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pic:cNvPicPr>
                      <a:picLocks noChangeAspect="1"/>
                    </pic:cNvPicPr>
                  </pic:nvPicPr>
                  <pic:blipFill>
                    <a:blip r:embed="rId15"/>
                    <a:stretch>
                      <a:fillRect/>
                    </a:stretch>
                  </pic:blipFill>
                  <pic:spPr>
                    <a:xfrm>
                      <a:off x="0" y="0"/>
                      <a:ext cx="5577840" cy="8509635"/>
                    </a:xfrm>
                    <a:prstGeom prst="rect">
                      <a:avLst/>
                    </a:prstGeom>
                    <a:noFill/>
                    <a:ln>
                      <a:noFill/>
                    </a:ln>
                  </pic:spPr>
                </pic:pic>
              </a:graphicData>
            </a:graphic>
          </wp:inline>
        </w:drawing>
      </w:r>
    </w:p>
    <w:p>
      <w:pPr>
        <w:pStyle w:val="2"/>
        <w:jc w:val="both"/>
      </w:pPr>
      <w:r>
        <w:drawing>
          <wp:inline distT="0" distB="0" distL="114300" distR="114300">
            <wp:extent cx="5574665" cy="8648700"/>
            <wp:effectExtent l="0" t="0" r="3175" b="7620"/>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4"/>
                    <pic:cNvPicPr>
                      <a:picLocks noChangeAspect="1"/>
                    </pic:cNvPicPr>
                  </pic:nvPicPr>
                  <pic:blipFill>
                    <a:blip r:embed="rId16"/>
                    <a:stretch>
                      <a:fillRect/>
                    </a:stretch>
                  </pic:blipFill>
                  <pic:spPr>
                    <a:xfrm>
                      <a:off x="0" y="0"/>
                      <a:ext cx="5574665" cy="8648700"/>
                    </a:xfrm>
                    <a:prstGeom prst="rect">
                      <a:avLst/>
                    </a:prstGeom>
                    <a:noFill/>
                    <a:ln>
                      <a:noFill/>
                    </a:ln>
                  </pic:spPr>
                </pic:pic>
              </a:graphicData>
            </a:graphic>
          </wp:inline>
        </w:drawing>
      </w:r>
    </w:p>
    <w:p>
      <w:pPr>
        <w:pStyle w:val="2"/>
        <w:jc w:val="both"/>
      </w:pPr>
      <w:r>
        <w:drawing>
          <wp:inline distT="0" distB="0" distL="114300" distR="114300">
            <wp:extent cx="5577840" cy="8679815"/>
            <wp:effectExtent l="0" t="0" r="0" b="6985"/>
            <wp:docPr id="1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5"/>
                    <pic:cNvPicPr>
                      <a:picLocks noChangeAspect="1"/>
                    </pic:cNvPicPr>
                  </pic:nvPicPr>
                  <pic:blipFill>
                    <a:blip r:embed="rId17"/>
                    <a:stretch>
                      <a:fillRect/>
                    </a:stretch>
                  </pic:blipFill>
                  <pic:spPr>
                    <a:xfrm>
                      <a:off x="0" y="0"/>
                      <a:ext cx="5577840" cy="8679815"/>
                    </a:xfrm>
                    <a:prstGeom prst="rect">
                      <a:avLst/>
                    </a:prstGeom>
                    <a:noFill/>
                    <a:ln>
                      <a:noFill/>
                    </a:ln>
                  </pic:spPr>
                </pic:pic>
              </a:graphicData>
            </a:graphic>
          </wp:inline>
        </w:drawing>
      </w:r>
    </w:p>
    <w:p>
      <w:pPr>
        <w:pStyle w:val="2"/>
        <w:jc w:val="both"/>
      </w:pPr>
      <w:r>
        <w:drawing>
          <wp:inline distT="0" distB="0" distL="114300" distR="114300">
            <wp:extent cx="5575300" cy="8745855"/>
            <wp:effectExtent l="0" t="0" r="2540" b="1905"/>
            <wp:docPr id="1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6"/>
                    <pic:cNvPicPr>
                      <a:picLocks noChangeAspect="1"/>
                    </pic:cNvPicPr>
                  </pic:nvPicPr>
                  <pic:blipFill>
                    <a:blip r:embed="rId18"/>
                    <a:stretch>
                      <a:fillRect/>
                    </a:stretch>
                  </pic:blipFill>
                  <pic:spPr>
                    <a:xfrm>
                      <a:off x="0" y="0"/>
                      <a:ext cx="5575300" cy="8745855"/>
                    </a:xfrm>
                    <a:prstGeom prst="rect">
                      <a:avLst/>
                    </a:prstGeom>
                    <a:noFill/>
                    <a:ln>
                      <a:noFill/>
                    </a:ln>
                  </pic:spPr>
                </pic:pic>
              </a:graphicData>
            </a:graphic>
          </wp:inline>
        </w:drawing>
      </w:r>
    </w:p>
    <w:p>
      <w:pPr>
        <w:pStyle w:val="2"/>
        <w:jc w:val="both"/>
      </w:pPr>
      <w:r>
        <w:drawing>
          <wp:inline distT="0" distB="0" distL="114300" distR="114300">
            <wp:extent cx="5577840" cy="8856980"/>
            <wp:effectExtent l="0" t="0" r="0" b="12700"/>
            <wp:docPr id="1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7"/>
                    <pic:cNvPicPr>
                      <a:picLocks noChangeAspect="1"/>
                    </pic:cNvPicPr>
                  </pic:nvPicPr>
                  <pic:blipFill>
                    <a:blip r:embed="rId19"/>
                    <a:stretch>
                      <a:fillRect/>
                    </a:stretch>
                  </pic:blipFill>
                  <pic:spPr>
                    <a:xfrm>
                      <a:off x="0" y="0"/>
                      <a:ext cx="5577840" cy="8856980"/>
                    </a:xfrm>
                    <a:prstGeom prst="rect">
                      <a:avLst/>
                    </a:prstGeom>
                    <a:noFill/>
                    <a:ln>
                      <a:noFill/>
                    </a:ln>
                  </pic:spPr>
                </pic:pic>
              </a:graphicData>
            </a:graphic>
          </wp:inline>
        </w:drawing>
      </w:r>
    </w:p>
    <w:p>
      <w:pPr>
        <w:pStyle w:val="2"/>
        <w:jc w:val="both"/>
      </w:pPr>
      <w:r>
        <w:drawing>
          <wp:inline distT="0" distB="0" distL="114300" distR="114300">
            <wp:extent cx="5575300" cy="8538845"/>
            <wp:effectExtent l="0" t="0" r="2540" b="10795"/>
            <wp:docPr id="1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8"/>
                    <pic:cNvPicPr>
                      <a:picLocks noChangeAspect="1"/>
                    </pic:cNvPicPr>
                  </pic:nvPicPr>
                  <pic:blipFill>
                    <a:blip r:embed="rId20"/>
                    <a:stretch>
                      <a:fillRect/>
                    </a:stretch>
                  </pic:blipFill>
                  <pic:spPr>
                    <a:xfrm>
                      <a:off x="0" y="0"/>
                      <a:ext cx="5575300" cy="8538845"/>
                    </a:xfrm>
                    <a:prstGeom prst="rect">
                      <a:avLst/>
                    </a:prstGeom>
                    <a:noFill/>
                    <a:ln>
                      <a:noFill/>
                    </a:ln>
                  </pic:spPr>
                </pic:pic>
              </a:graphicData>
            </a:graphic>
          </wp:inline>
        </w:drawing>
      </w:r>
    </w:p>
    <w:p>
      <w:pPr>
        <w:pStyle w:val="2"/>
        <w:jc w:val="both"/>
      </w:pPr>
      <w:r>
        <w:drawing>
          <wp:inline distT="0" distB="0" distL="114300" distR="114300">
            <wp:extent cx="5575300" cy="8806815"/>
            <wp:effectExtent l="0" t="0" r="2540" b="1905"/>
            <wp:docPr id="1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9"/>
                    <pic:cNvPicPr>
                      <a:picLocks noChangeAspect="1"/>
                    </pic:cNvPicPr>
                  </pic:nvPicPr>
                  <pic:blipFill>
                    <a:blip r:embed="rId21"/>
                    <a:stretch>
                      <a:fillRect/>
                    </a:stretch>
                  </pic:blipFill>
                  <pic:spPr>
                    <a:xfrm>
                      <a:off x="0" y="0"/>
                      <a:ext cx="5575300" cy="8806815"/>
                    </a:xfrm>
                    <a:prstGeom prst="rect">
                      <a:avLst/>
                    </a:prstGeom>
                    <a:noFill/>
                    <a:ln>
                      <a:noFill/>
                    </a:ln>
                  </pic:spPr>
                </pic:pic>
              </a:graphicData>
            </a:graphic>
          </wp:inline>
        </w:drawing>
      </w:r>
    </w:p>
    <w:p>
      <w:pPr>
        <w:pStyle w:val="2"/>
        <w:jc w:val="both"/>
      </w:pPr>
      <w:r>
        <w:drawing>
          <wp:inline distT="0" distB="0" distL="114300" distR="114300">
            <wp:extent cx="5577205" cy="8300720"/>
            <wp:effectExtent l="0" t="0" r="635" b="5080"/>
            <wp:docPr id="1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0"/>
                    <pic:cNvPicPr>
                      <a:picLocks noChangeAspect="1"/>
                    </pic:cNvPicPr>
                  </pic:nvPicPr>
                  <pic:blipFill>
                    <a:blip r:embed="rId22"/>
                    <a:stretch>
                      <a:fillRect/>
                    </a:stretch>
                  </pic:blipFill>
                  <pic:spPr>
                    <a:xfrm>
                      <a:off x="0" y="0"/>
                      <a:ext cx="5577205" cy="8300720"/>
                    </a:xfrm>
                    <a:prstGeom prst="rect">
                      <a:avLst/>
                    </a:prstGeom>
                    <a:noFill/>
                    <a:ln>
                      <a:noFill/>
                    </a:ln>
                  </pic:spPr>
                </pic:pic>
              </a:graphicData>
            </a:graphic>
          </wp:inline>
        </w:drawing>
      </w:r>
    </w:p>
    <w:p>
      <w:pPr>
        <w:pStyle w:val="2"/>
        <w:jc w:val="both"/>
      </w:pPr>
      <w:r>
        <w:drawing>
          <wp:inline distT="0" distB="0" distL="114300" distR="114300">
            <wp:extent cx="5578475" cy="7669530"/>
            <wp:effectExtent l="0" t="0" r="14605" b="11430"/>
            <wp:docPr id="1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1"/>
                    <pic:cNvPicPr>
                      <a:picLocks noChangeAspect="1"/>
                    </pic:cNvPicPr>
                  </pic:nvPicPr>
                  <pic:blipFill>
                    <a:blip r:embed="rId23"/>
                    <a:stretch>
                      <a:fillRect/>
                    </a:stretch>
                  </pic:blipFill>
                  <pic:spPr>
                    <a:xfrm>
                      <a:off x="0" y="0"/>
                      <a:ext cx="5578475" cy="7669530"/>
                    </a:xfrm>
                    <a:prstGeom prst="rect">
                      <a:avLst/>
                    </a:prstGeom>
                    <a:noFill/>
                    <a:ln>
                      <a:noFill/>
                    </a:ln>
                  </pic:spPr>
                </pic:pic>
              </a:graphicData>
            </a:graphic>
          </wp:inline>
        </w:drawing>
      </w:r>
    </w:p>
    <w:p>
      <w:pPr>
        <w:pStyle w:val="2"/>
        <w:jc w:val="both"/>
        <w:rPr>
          <w:rFonts w:hint="eastAsia"/>
        </w:rPr>
      </w:pPr>
      <w:r>
        <w:drawing>
          <wp:inline distT="0" distB="0" distL="114300" distR="114300">
            <wp:extent cx="5577840" cy="7874000"/>
            <wp:effectExtent l="0" t="0" r="0" b="5080"/>
            <wp:docPr id="1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2"/>
                    <pic:cNvPicPr>
                      <a:picLocks noChangeAspect="1"/>
                    </pic:cNvPicPr>
                  </pic:nvPicPr>
                  <pic:blipFill>
                    <a:blip r:embed="rId24"/>
                    <a:stretch>
                      <a:fillRect/>
                    </a:stretch>
                  </pic:blipFill>
                  <pic:spPr>
                    <a:xfrm>
                      <a:off x="0" y="0"/>
                      <a:ext cx="5577840" cy="7874000"/>
                    </a:xfrm>
                    <a:prstGeom prst="rect">
                      <a:avLst/>
                    </a:prstGeom>
                    <a:noFill/>
                    <a:ln>
                      <a:noFill/>
                    </a:ln>
                  </pic:spPr>
                </pic:pic>
              </a:graphicData>
            </a:graphic>
          </wp:inline>
        </w:drawing>
      </w: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Fonts w:ascii="仿宋_GB2312"/>
        <w:sz w:val="28"/>
      </w:rPr>
    </w:pPr>
    <w:r>
      <w:rPr>
        <w:rStyle w:val="11"/>
        <w:rFonts w:hint="eastAsia" w:ascii="仿宋_GB2312"/>
        <w:sz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50</w:t>
    </w:r>
    <w:r>
      <w:rPr>
        <w:rFonts w:hint="eastAsia" w:ascii="仿宋_GB2312"/>
        <w:sz w:val="28"/>
        <w:szCs w:val="28"/>
      </w:rPr>
      <w:fldChar w:fldCharType="end"/>
    </w:r>
    <w:r>
      <w:rPr>
        <w:rStyle w:val="11"/>
        <w:rFonts w:hint="eastAsia" w:ascii="仿宋_GB2312"/>
        <w:sz w:val="28"/>
        <w:szCs w:val="28"/>
      </w:rPr>
      <w:t>-</w:t>
    </w:r>
  </w:p>
  <w:p>
    <w:pPr>
      <w:pStyle w:val="5"/>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42E6"/>
    <w:multiLevelType w:val="singleLevel"/>
    <w:tmpl w:val="749642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WZmOWIzMjNjYThhOWIzNDZhNWI5YzczMjdkZDIifQ=="/>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36"/>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CE7"/>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B686E"/>
    <w:rsid w:val="008D0195"/>
    <w:rsid w:val="008D25FD"/>
    <w:rsid w:val="008D5067"/>
    <w:rsid w:val="008E3755"/>
    <w:rsid w:val="008F74E4"/>
    <w:rsid w:val="00901A3B"/>
    <w:rsid w:val="009038F2"/>
    <w:rsid w:val="00907509"/>
    <w:rsid w:val="0091224B"/>
    <w:rsid w:val="00912781"/>
    <w:rsid w:val="00916E37"/>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672E69"/>
    <w:rsid w:val="01735DA2"/>
    <w:rsid w:val="019E2AB2"/>
    <w:rsid w:val="01C2149D"/>
    <w:rsid w:val="020C78E7"/>
    <w:rsid w:val="02662F8E"/>
    <w:rsid w:val="03745165"/>
    <w:rsid w:val="037A78EF"/>
    <w:rsid w:val="037F5610"/>
    <w:rsid w:val="03AC558F"/>
    <w:rsid w:val="03CD24C5"/>
    <w:rsid w:val="044D62C3"/>
    <w:rsid w:val="048C1429"/>
    <w:rsid w:val="04CB6713"/>
    <w:rsid w:val="04F11782"/>
    <w:rsid w:val="050644EF"/>
    <w:rsid w:val="05107947"/>
    <w:rsid w:val="055A2324"/>
    <w:rsid w:val="05640107"/>
    <w:rsid w:val="057E23CB"/>
    <w:rsid w:val="05962D64"/>
    <w:rsid w:val="05973710"/>
    <w:rsid w:val="061012E4"/>
    <w:rsid w:val="06277CEB"/>
    <w:rsid w:val="062D447B"/>
    <w:rsid w:val="06427E28"/>
    <w:rsid w:val="069778EC"/>
    <w:rsid w:val="06A51684"/>
    <w:rsid w:val="07DD656C"/>
    <w:rsid w:val="07FC008A"/>
    <w:rsid w:val="08434438"/>
    <w:rsid w:val="08D46349"/>
    <w:rsid w:val="09DB740D"/>
    <w:rsid w:val="09F33E95"/>
    <w:rsid w:val="0A186CBD"/>
    <w:rsid w:val="0A8C1C58"/>
    <w:rsid w:val="0B0F6BF7"/>
    <w:rsid w:val="0BDD2C26"/>
    <w:rsid w:val="0BE1796C"/>
    <w:rsid w:val="0C0B5D4D"/>
    <w:rsid w:val="0C286334"/>
    <w:rsid w:val="0C3278C1"/>
    <w:rsid w:val="0C3F7926"/>
    <w:rsid w:val="0C9762BE"/>
    <w:rsid w:val="0D1E5918"/>
    <w:rsid w:val="0D501516"/>
    <w:rsid w:val="0D511300"/>
    <w:rsid w:val="0D8E3CBA"/>
    <w:rsid w:val="0DFA4095"/>
    <w:rsid w:val="0F3D1675"/>
    <w:rsid w:val="0F6B66D0"/>
    <w:rsid w:val="0F904DDC"/>
    <w:rsid w:val="0FAE2A12"/>
    <w:rsid w:val="10EE56CF"/>
    <w:rsid w:val="11065185"/>
    <w:rsid w:val="11577FA5"/>
    <w:rsid w:val="11943190"/>
    <w:rsid w:val="11AF0379"/>
    <w:rsid w:val="123C33BF"/>
    <w:rsid w:val="12543D06"/>
    <w:rsid w:val="128B1777"/>
    <w:rsid w:val="12B57350"/>
    <w:rsid w:val="132B4F3A"/>
    <w:rsid w:val="134F75B9"/>
    <w:rsid w:val="13A45AAA"/>
    <w:rsid w:val="13AF3EFF"/>
    <w:rsid w:val="13C81C57"/>
    <w:rsid w:val="13F62541"/>
    <w:rsid w:val="1402167D"/>
    <w:rsid w:val="143141DF"/>
    <w:rsid w:val="14B55A66"/>
    <w:rsid w:val="15B97529"/>
    <w:rsid w:val="15D057AA"/>
    <w:rsid w:val="15E90DA2"/>
    <w:rsid w:val="161A15EA"/>
    <w:rsid w:val="165E4699"/>
    <w:rsid w:val="16CA24C3"/>
    <w:rsid w:val="170F06E0"/>
    <w:rsid w:val="1741472D"/>
    <w:rsid w:val="178F0BF6"/>
    <w:rsid w:val="17AC4E12"/>
    <w:rsid w:val="181D17B9"/>
    <w:rsid w:val="18733B97"/>
    <w:rsid w:val="19062B2E"/>
    <w:rsid w:val="195101D3"/>
    <w:rsid w:val="19BC6C05"/>
    <w:rsid w:val="19D329F1"/>
    <w:rsid w:val="1A3737A7"/>
    <w:rsid w:val="1A43509E"/>
    <w:rsid w:val="1A6C68D0"/>
    <w:rsid w:val="1B211ABA"/>
    <w:rsid w:val="1B373A1F"/>
    <w:rsid w:val="1B7B2521"/>
    <w:rsid w:val="1BDC1930"/>
    <w:rsid w:val="1C064AEF"/>
    <w:rsid w:val="1C8328DB"/>
    <w:rsid w:val="1CAF37C7"/>
    <w:rsid w:val="1CF94AE5"/>
    <w:rsid w:val="1DAC54DB"/>
    <w:rsid w:val="1DB52ABD"/>
    <w:rsid w:val="1E062E3E"/>
    <w:rsid w:val="1E722670"/>
    <w:rsid w:val="1E9D4D6B"/>
    <w:rsid w:val="1EFE52E4"/>
    <w:rsid w:val="1F497106"/>
    <w:rsid w:val="1F765E61"/>
    <w:rsid w:val="1FD113B2"/>
    <w:rsid w:val="20D047CD"/>
    <w:rsid w:val="212D7667"/>
    <w:rsid w:val="21320A0C"/>
    <w:rsid w:val="21536A92"/>
    <w:rsid w:val="217331A3"/>
    <w:rsid w:val="21777CA3"/>
    <w:rsid w:val="21952169"/>
    <w:rsid w:val="21B44D47"/>
    <w:rsid w:val="22431ECC"/>
    <w:rsid w:val="224E633E"/>
    <w:rsid w:val="22847CED"/>
    <w:rsid w:val="23384753"/>
    <w:rsid w:val="234A2530"/>
    <w:rsid w:val="234E5DAA"/>
    <w:rsid w:val="23C734E4"/>
    <w:rsid w:val="23E92FF0"/>
    <w:rsid w:val="244C7382"/>
    <w:rsid w:val="24AC24F9"/>
    <w:rsid w:val="24D142EB"/>
    <w:rsid w:val="24DA285F"/>
    <w:rsid w:val="25054DA3"/>
    <w:rsid w:val="25AC2D77"/>
    <w:rsid w:val="25FE363B"/>
    <w:rsid w:val="2618501B"/>
    <w:rsid w:val="262B342F"/>
    <w:rsid w:val="26991482"/>
    <w:rsid w:val="26C7206F"/>
    <w:rsid w:val="27D44A08"/>
    <w:rsid w:val="28026729"/>
    <w:rsid w:val="283106F7"/>
    <w:rsid w:val="288805CC"/>
    <w:rsid w:val="28E911D2"/>
    <w:rsid w:val="28EF4019"/>
    <w:rsid w:val="28F54A8B"/>
    <w:rsid w:val="2910428A"/>
    <w:rsid w:val="29B57C40"/>
    <w:rsid w:val="2A9C1949"/>
    <w:rsid w:val="2B1050A4"/>
    <w:rsid w:val="2B6023F9"/>
    <w:rsid w:val="2BB534E2"/>
    <w:rsid w:val="2C022ECC"/>
    <w:rsid w:val="2C572ACC"/>
    <w:rsid w:val="2C754E45"/>
    <w:rsid w:val="2C9121A0"/>
    <w:rsid w:val="2CE00C6B"/>
    <w:rsid w:val="2CEC5763"/>
    <w:rsid w:val="2D366AA8"/>
    <w:rsid w:val="2D674EEC"/>
    <w:rsid w:val="2DB2590F"/>
    <w:rsid w:val="2DC101FE"/>
    <w:rsid w:val="2DDE101F"/>
    <w:rsid w:val="2E0F140F"/>
    <w:rsid w:val="2E483DE0"/>
    <w:rsid w:val="2E7E069E"/>
    <w:rsid w:val="2F2B13EB"/>
    <w:rsid w:val="2FE40D78"/>
    <w:rsid w:val="2FEB0310"/>
    <w:rsid w:val="301A10C3"/>
    <w:rsid w:val="306731C7"/>
    <w:rsid w:val="30B82E73"/>
    <w:rsid w:val="31710A09"/>
    <w:rsid w:val="327B1336"/>
    <w:rsid w:val="32C26F69"/>
    <w:rsid w:val="33704DE7"/>
    <w:rsid w:val="33904A9E"/>
    <w:rsid w:val="353B5DF8"/>
    <w:rsid w:val="35413998"/>
    <w:rsid w:val="35451FBD"/>
    <w:rsid w:val="3555360A"/>
    <w:rsid w:val="35F967F9"/>
    <w:rsid w:val="363213D2"/>
    <w:rsid w:val="363E3967"/>
    <w:rsid w:val="365C63D1"/>
    <w:rsid w:val="36BA7671"/>
    <w:rsid w:val="36E80841"/>
    <w:rsid w:val="36FA5AAD"/>
    <w:rsid w:val="372613F6"/>
    <w:rsid w:val="37D206DE"/>
    <w:rsid w:val="37DB33F8"/>
    <w:rsid w:val="37F52655"/>
    <w:rsid w:val="382A650A"/>
    <w:rsid w:val="383A12CA"/>
    <w:rsid w:val="38926FF9"/>
    <w:rsid w:val="38E538D0"/>
    <w:rsid w:val="38EB5892"/>
    <w:rsid w:val="39166122"/>
    <w:rsid w:val="392F0E52"/>
    <w:rsid w:val="39FE0A16"/>
    <w:rsid w:val="3A025824"/>
    <w:rsid w:val="3A194B71"/>
    <w:rsid w:val="3A572246"/>
    <w:rsid w:val="3A814868"/>
    <w:rsid w:val="3A8A52C4"/>
    <w:rsid w:val="3B20036E"/>
    <w:rsid w:val="3B9D0BF6"/>
    <w:rsid w:val="3C0C00C1"/>
    <w:rsid w:val="3C4736F3"/>
    <w:rsid w:val="3C66585F"/>
    <w:rsid w:val="3C803331"/>
    <w:rsid w:val="3C8B37B4"/>
    <w:rsid w:val="3CBE1AB7"/>
    <w:rsid w:val="3D3C3BAB"/>
    <w:rsid w:val="3D7109F9"/>
    <w:rsid w:val="3DA52830"/>
    <w:rsid w:val="3DBA7F9C"/>
    <w:rsid w:val="3E1B5EA8"/>
    <w:rsid w:val="3E81779D"/>
    <w:rsid w:val="3E9A01AE"/>
    <w:rsid w:val="3EC00426"/>
    <w:rsid w:val="3ECE5BB1"/>
    <w:rsid w:val="3F3C553C"/>
    <w:rsid w:val="3F6D0E09"/>
    <w:rsid w:val="40A3236D"/>
    <w:rsid w:val="40B04939"/>
    <w:rsid w:val="41537D93"/>
    <w:rsid w:val="416B005E"/>
    <w:rsid w:val="41B500C6"/>
    <w:rsid w:val="41DC5F52"/>
    <w:rsid w:val="431A2371"/>
    <w:rsid w:val="4371561D"/>
    <w:rsid w:val="43E26C03"/>
    <w:rsid w:val="43F77D7C"/>
    <w:rsid w:val="43FB445F"/>
    <w:rsid w:val="454315C4"/>
    <w:rsid w:val="45783803"/>
    <w:rsid w:val="464210EF"/>
    <w:rsid w:val="46962F96"/>
    <w:rsid w:val="46AE4710"/>
    <w:rsid w:val="46BC2BE0"/>
    <w:rsid w:val="471269E3"/>
    <w:rsid w:val="472D13C4"/>
    <w:rsid w:val="47682A1B"/>
    <w:rsid w:val="47D41C59"/>
    <w:rsid w:val="48032D90"/>
    <w:rsid w:val="486A049D"/>
    <w:rsid w:val="486F55AC"/>
    <w:rsid w:val="4887656A"/>
    <w:rsid w:val="490E3B23"/>
    <w:rsid w:val="49A13C1D"/>
    <w:rsid w:val="49C26AFB"/>
    <w:rsid w:val="49FC14B9"/>
    <w:rsid w:val="49FF3464"/>
    <w:rsid w:val="4A5463E0"/>
    <w:rsid w:val="4A9816CD"/>
    <w:rsid w:val="4A9B58BD"/>
    <w:rsid w:val="4AB2325F"/>
    <w:rsid w:val="4AB73EEE"/>
    <w:rsid w:val="4ABF7B76"/>
    <w:rsid w:val="4B0F33F1"/>
    <w:rsid w:val="4B4D6079"/>
    <w:rsid w:val="4B4D70C4"/>
    <w:rsid w:val="4B985075"/>
    <w:rsid w:val="4BED077C"/>
    <w:rsid w:val="4C8D32F1"/>
    <w:rsid w:val="4DF76E98"/>
    <w:rsid w:val="4E991FAA"/>
    <w:rsid w:val="4ED36FD8"/>
    <w:rsid w:val="51724461"/>
    <w:rsid w:val="525D7324"/>
    <w:rsid w:val="52606CB4"/>
    <w:rsid w:val="527741E6"/>
    <w:rsid w:val="527C26D4"/>
    <w:rsid w:val="528F76AD"/>
    <w:rsid w:val="52A90350"/>
    <w:rsid w:val="53816B17"/>
    <w:rsid w:val="53A45EDC"/>
    <w:rsid w:val="53FB14D6"/>
    <w:rsid w:val="5401170C"/>
    <w:rsid w:val="541E61C1"/>
    <w:rsid w:val="54984BF5"/>
    <w:rsid w:val="55112116"/>
    <w:rsid w:val="55C35CEE"/>
    <w:rsid w:val="55D86451"/>
    <w:rsid w:val="568C79B1"/>
    <w:rsid w:val="56E42731"/>
    <w:rsid w:val="570B0B9B"/>
    <w:rsid w:val="57160598"/>
    <w:rsid w:val="57556065"/>
    <w:rsid w:val="5788228F"/>
    <w:rsid w:val="57DB53EB"/>
    <w:rsid w:val="580F624C"/>
    <w:rsid w:val="58473994"/>
    <w:rsid w:val="58890CE5"/>
    <w:rsid w:val="588C747E"/>
    <w:rsid w:val="58901A0E"/>
    <w:rsid w:val="58D66304"/>
    <w:rsid w:val="58E66C42"/>
    <w:rsid w:val="5A302F0A"/>
    <w:rsid w:val="5AE5097C"/>
    <w:rsid w:val="5AF2705B"/>
    <w:rsid w:val="5B75018A"/>
    <w:rsid w:val="5B8C1ADC"/>
    <w:rsid w:val="5C852632"/>
    <w:rsid w:val="5CAD21A3"/>
    <w:rsid w:val="5DC547EE"/>
    <w:rsid w:val="5DE55039"/>
    <w:rsid w:val="5E664A71"/>
    <w:rsid w:val="5ECA2F7A"/>
    <w:rsid w:val="5F35103B"/>
    <w:rsid w:val="5F4C21C0"/>
    <w:rsid w:val="5F85706F"/>
    <w:rsid w:val="5FCB310E"/>
    <w:rsid w:val="5FDB54AC"/>
    <w:rsid w:val="5FFA5271"/>
    <w:rsid w:val="6019389F"/>
    <w:rsid w:val="60325328"/>
    <w:rsid w:val="60622983"/>
    <w:rsid w:val="6091004E"/>
    <w:rsid w:val="60B40102"/>
    <w:rsid w:val="60B47D57"/>
    <w:rsid w:val="61031365"/>
    <w:rsid w:val="610331CE"/>
    <w:rsid w:val="610F56D3"/>
    <w:rsid w:val="612B48C4"/>
    <w:rsid w:val="61DB4A59"/>
    <w:rsid w:val="61F219A1"/>
    <w:rsid w:val="6220265E"/>
    <w:rsid w:val="62726493"/>
    <w:rsid w:val="62B32BBD"/>
    <w:rsid w:val="62CA2CFC"/>
    <w:rsid w:val="636042BC"/>
    <w:rsid w:val="636E3262"/>
    <w:rsid w:val="63A616EE"/>
    <w:rsid w:val="63CB09BF"/>
    <w:rsid w:val="64904533"/>
    <w:rsid w:val="64E17DAC"/>
    <w:rsid w:val="652C4E40"/>
    <w:rsid w:val="659006BC"/>
    <w:rsid w:val="65F96DBB"/>
    <w:rsid w:val="66716DA1"/>
    <w:rsid w:val="66773E88"/>
    <w:rsid w:val="66A73DB0"/>
    <w:rsid w:val="66BC6E35"/>
    <w:rsid w:val="66D07B67"/>
    <w:rsid w:val="67157A05"/>
    <w:rsid w:val="67261304"/>
    <w:rsid w:val="672D2805"/>
    <w:rsid w:val="67EC4A85"/>
    <w:rsid w:val="688153A0"/>
    <w:rsid w:val="68F60279"/>
    <w:rsid w:val="69981510"/>
    <w:rsid w:val="69B444CA"/>
    <w:rsid w:val="6A4554CD"/>
    <w:rsid w:val="6AB41369"/>
    <w:rsid w:val="6B0C2A0B"/>
    <w:rsid w:val="6B5B46B5"/>
    <w:rsid w:val="6B846973"/>
    <w:rsid w:val="6B95581E"/>
    <w:rsid w:val="6BAC02C1"/>
    <w:rsid w:val="6C0C0F8B"/>
    <w:rsid w:val="6CDE0529"/>
    <w:rsid w:val="6CE448A1"/>
    <w:rsid w:val="6CEB6587"/>
    <w:rsid w:val="6D1D5FE5"/>
    <w:rsid w:val="6D305FAD"/>
    <w:rsid w:val="6D5A4C2A"/>
    <w:rsid w:val="6D5C7C80"/>
    <w:rsid w:val="6E125AE1"/>
    <w:rsid w:val="6E3840D1"/>
    <w:rsid w:val="6E3B6C77"/>
    <w:rsid w:val="6E5421AF"/>
    <w:rsid w:val="6F864FF3"/>
    <w:rsid w:val="6F8B25D8"/>
    <w:rsid w:val="71606008"/>
    <w:rsid w:val="7164146B"/>
    <w:rsid w:val="719162F8"/>
    <w:rsid w:val="71BA7104"/>
    <w:rsid w:val="72350773"/>
    <w:rsid w:val="72614288"/>
    <w:rsid w:val="72A1539A"/>
    <w:rsid w:val="72CE24AC"/>
    <w:rsid w:val="731B4F30"/>
    <w:rsid w:val="733E644D"/>
    <w:rsid w:val="73F80770"/>
    <w:rsid w:val="740742C5"/>
    <w:rsid w:val="742601FF"/>
    <w:rsid w:val="746554E6"/>
    <w:rsid w:val="74AA5AA4"/>
    <w:rsid w:val="74CF1DC8"/>
    <w:rsid w:val="755B1F9F"/>
    <w:rsid w:val="75886F46"/>
    <w:rsid w:val="75A621CB"/>
    <w:rsid w:val="761F7357"/>
    <w:rsid w:val="7638131F"/>
    <w:rsid w:val="76405F47"/>
    <w:rsid w:val="77372834"/>
    <w:rsid w:val="778F3CF8"/>
    <w:rsid w:val="77BF4814"/>
    <w:rsid w:val="784754C9"/>
    <w:rsid w:val="789371DD"/>
    <w:rsid w:val="78A33B0F"/>
    <w:rsid w:val="78EB7EDA"/>
    <w:rsid w:val="79CF54C3"/>
    <w:rsid w:val="79FA76E1"/>
    <w:rsid w:val="7A014C0C"/>
    <w:rsid w:val="7A162CED"/>
    <w:rsid w:val="7ACC7553"/>
    <w:rsid w:val="7B85158D"/>
    <w:rsid w:val="7B923902"/>
    <w:rsid w:val="7B974D3C"/>
    <w:rsid w:val="7BBC12E9"/>
    <w:rsid w:val="7BF43F4E"/>
    <w:rsid w:val="7C7C2595"/>
    <w:rsid w:val="7C9B5B8F"/>
    <w:rsid w:val="7CA70FE8"/>
    <w:rsid w:val="7CD65F06"/>
    <w:rsid w:val="7CD81C71"/>
    <w:rsid w:val="7CE562F3"/>
    <w:rsid w:val="7D781589"/>
    <w:rsid w:val="7DC037B5"/>
    <w:rsid w:val="7DFE7585"/>
    <w:rsid w:val="7E087C15"/>
    <w:rsid w:val="7E2D2157"/>
    <w:rsid w:val="7E8B7880"/>
    <w:rsid w:val="7EFB616A"/>
    <w:rsid w:val="7F180C8F"/>
    <w:rsid w:val="7F32010C"/>
    <w:rsid w:val="7F495CD6"/>
    <w:rsid w:val="7F8B6497"/>
    <w:rsid w:val="7FAC31AB"/>
    <w:rsid w:val="7FF641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Body Text Indent"/>
    <w:basedOn w:val="1"/>
    <w:uiPriority w:val="0"/>
    <w:pPr>
      <w:spacing w:after="120" w:afterLines="0" w:afterAutospacing="0"/>
      <w:ind w:left="420" w:leftChars="2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3"/>
    <w:uiPriority w:val="0"/>
    <w:pPr>
      <w:ind w:firstLine="420" w:firstLineChars="200"/>
    </w:p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page number"/>
    <w:basedOn w:val="9"/>
    <w:uiPriority w:val="0"/>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emf"/><Relationship Id="rId23" Type="http://schemas.openxmlformats.org/officeDocument/2006/relationships/image" Target="media/image18.emf"/><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emf"/><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9306</Words>
  <Characters>10169</Characters>
  <Lines>168</Lines>
  <Paragraphs>47</Paragraphs>
  <TotalTime>1</TotalTime>
  <ScaleCrop>false</ScaleCrop>
  <LinksUpToDate>false</LinksUpToDate>
  <CharactersWithSpaces>10648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2018-08-07T07:03:00Z</dcterms:created>
  <dc:creator>杨丽</dc:creator>
  <cp:lastModifiedBy>Administrator</cp:lastModifiedBy>
  <cp:lastPrinted>2023-08-04T00:34:00Z</cp:lastPrinted>
  <dcterms:modified xsi:type="dcterms:W3CDTF">2023-12-05T04:59:14Z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3F62C586E0084A50BD3A2CF19823C2C2_13</vt:lpwstr>
  </property>
</Properties>
</file>