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333" w:lineRule="auto"/>
        <w:jc w:val="center"/>
        <w:rPr>
          <w:rFonts w:hint="eastAsia" w:ascii="黑体" w:hAnsi="黑体" w:eastAsia="黑体" w:cs="黑体"/>
          <w:spacing w:val="2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/>
          <w:sz w:val="44"/>
          <w:szCs w:val="44"/>
        </w:rPr>
        <w:t>部门决算中项目绩效自评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报告</w:t>
      </w:r>
    </w:p>
    <w:p>
      <w:pPr>
        <w:spacing w:before="100" w:line="333" w:lineRule="auto"/>
        <w:ind w:firstLine="628" w:firstLineChars="200"/>
        <w:rPr>
          <w:rFonts w:hint="eastAsia" w:ascii="黑体" w:hAnsi="黑体" w:eastAsia="黑体" w:cs="黑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绩效评价工作开展情况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668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根据预算绩效管理要求，本部门组织对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2022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年度纳入部门</w:t>
      </w:r>
      <w:r>
        <w:rPr>
          <w:rFonts w:ascii="仿宋" w:hAnsi="仿宋" w:eastAsia="仿宋" w:cs="仿宋"/>
          <w:spacing w:val="-7"/>
          <w:sz w:val="32"/>
          <w:szCs w:val="32"/>
        </w:rPr>
        <w:t>预算的项目支出全面开展了绩效自评，共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个项目，涉及资金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262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万元。从评价情况看，确保博物馆年接待参观人数近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万人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举</w:t>
      </w:r>
      <w:r>
        <w:rPr>
          <w:rFonts w:ascii="仿宋" w:hAnsi="仿宋" w:eastAsia="仿宋" w:cs="仿宋"/>
          <w:spacing w:val="-12"/>
          <w:sz w:val="32"/>
          <w:szCs w:val="32"/>
        </w:rPr>
        <w:t>办各类活动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60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余场，团体性参观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100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余场次；确保文物修缮维护，</w:t>
      </w:r>
      <w:r>
        <w:rPr>
          <w:rFonts w:ascii="仿宋" w:hAnsi="仿宋" w:eastAsia="仿宋" w:cs="仿宋"/>
          <w:spacing w:val="-4"/>
          <w:sz w:val="32"/>
          <w:szCs w:val="32"/>
        </w:rPr>
        <w:t>满足文保单位安防消防及参观需求；培养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个泗州戏学员，以达到泗州戏的传承与发展；图书馆年接待参观人数近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万人，确保</w:t>
      </w:r>
      <w:r>
        <w:rPr>
          <w:rFonts w:ascii="仿宋" w:hAnsi="仿宋" w:eastAsia="仿宋" w:cs="仿宋"/>
          <w:spacing w:val="1"/>
          <w:sz w:val="32"/>
          <w:szCs w:val="32"/>
        </w:rPr>
        <w:t>图书馆的正常运行及免费开放工作，达到预期绩效目标。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560" w:lineRule="exact"/>
        <w:ind w:right="2" w:firstLine="668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7"/>
          <w:sz w:val="32"/>
          <w:szCs w:val="32"/>
        </w:rPr>
        <w:t>组织对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2022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年度部门整体支出开展了绩效自评。评价结果</w:t>
      </w:r>
      <w:r>
        <w:rPr>
          <w:rFonts w:ascii="仿宋" w:hAnsi="仿宋" w:eastAsia="仿宋" w:cs="仿宋"/>
          <w:spacing w:val="2"/>
          <w:sz w:val="32"/>
          <w:szCs w:val="32"/>
        </w:rPr>
        <w:t>显示，基本支出严格按照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“严控、节约、高效”的原则，从加强</w:t>
      </w:r>
      <w:r>
        <w:rPr>
          <w:rFonts w:ascii="仿宋" w:hAnsi="仿宋" w:eastAsia="仿宋" w:cs="仿宋"/>
          <w:spacing w:val="4"/>
          <w:sz w:val="32"/>
          <w:szCs w:val="32"/>
        </w:rPr>
        <w:t>制度建设入手，严格审核各类支出，提高资</w:t>
      </w:r>
      <w:r>
        <w:rPr>
          <w:rFonts w:ascii="仿宋" w:hAnsi="仿宋" w:eastAsia="仿宋" w:cs="仿宋"/>
          <w:spacing w:val="3"/>
          <w:sz w:val="32"/>
          <w:szCs w:val="32"/>
        </w:rPr>
        <w:t>金使用效益，有效保</w:t>
      </w:r>
      <w:r>
        <w:rPr>
          <w:rFonts w:ascii="仿宋" w:hAnsi="仿宋" w:eastAsia="仿宋" w:cs="仿宋"/>
          <w:spacing w:val="4"/>
          <w:sz w:val="32"/>
          <w:szCs w:val="32"/>
        </w:rPr>
        <w:t>障机构运转的资金需要；同时优化支出结构</w:t>
      </w:r>
      <w:r>
        <w:rPr>
          <w:rFonts w:ascii="仿宋" w:hAnsi="仿宋" w:eastAsia="仿宋" w:cs="仿宋"/>
          <w:spacing w:val="3"/>
          <w:sz w:val="32"/>
          <w:szCs w:val="32"/>
        </w:rPr>
        <w:t>，合理安排和调度财</w:t>
      </w:r>
      <w:r>
        <w:rPr>
          <w:rFonts w:ascii="仿宋" w:hAnsi="仿宋" w:eastAsia="仿宋" w:cs="仿宋"/>
          <w:spacing w:val="4"/>
          <w:sz w:val="32"/>
          <w:szCs w:val="32"/>
        </w:rPr>
        <w:t>政资金。项目支出主要用于博物馆、家风馆</w:t>
      </w:r>
      <w:r>
        <w:rPr>
          <w:rFonts w:ascii="仿宋" w:hAnsi="仿宋" w:eastAsia="仿宋" w:cs="仿宋"/>
          <w:spacing w:val="3"/>
          <w:sz w:val="32"/>
          <w:szCs w:val="32"/>
        </w:rPr>
        <w:t>运行维护费、文物管</w:t>
      </w:r>
      <w:r>
        <w:rPr>
          <w:rFonts w:ascii="仿宋" w:hAnsi="仿宋" w:eastAsia="仿宋" w:cs="仿宋"/>
          <w:spacing w:val="4"/>
          <w:sz w:val="32"/>
          <w:szCs w:val="32"/>
        </w:rPr>
        <w:t>理维修、泗州戏人才补助及艺术创作经费、图书管理业务经费、</w:t>
      </w:r>
      <w:r>
        <w:rPr>
          <w:rFonts w:ascii="仿宋" w:hAnsi="仿宋" w:eastAsia="仿宋" w:cs="仿宋"/>
          <w:spacing w:val="-3"/>
          <w:sz w:val="32"/>
          <w:szCs w:val="32"/>
        </w:rPr>
        <w:t>图书馆运行维护费。其中：确保博物馆的正常开放；培</w:t>
      </w:r>
      <w:r>
        <w:rPr>
          <w:rFonts w:ascii="仿宋" w:hAnsi="仿宋" w:eastAsia="仿宋" w:cs="仿宋"/>
          <w:spacing w:val="-4"/>
          <w:sz w:val="32"/>
          <w:szCs w:val="32"/>
        </w:rPr>
        <w:t>养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个泗</w:t>
      </w:r>
      <w:r>
        <w:rPr>
          <w:rFonts w:ascii="仿宋" w:hAnsi="仿宋" w:eastAsia="仿宋" w:cs="仿宋"/>
          <w:spacing w:val="1"/>
          <w:sz w:val="32"/>
          <w:szCs w:val="32"/>
        </w:rPr>
        <w:t>州戏学员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以达到泗州戏的传承与发展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1"/>
          <w:sz w:val="32"/>
          <w:szCs w:val="32"/>
        </w:rPr>
        <w:t>文物修缮维护，满足文</w:t>
      </w:r>
      <w:r>
        <w:rPr>
          <w:rFonts w:ascii="仿宋" w:hAnsi="仿宋" w:eastAsia="仿宋" w:cs="仿宋"/>
          <w:spacing w:val="-3"/>
          <w:sz w:val="32"/>
          <w:szCs w:val="32"/>
        </w:rPr>
        <w:t>保单位安防消防及参观需求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；</w:t>
      </w:r>
      <w:r>
        <w:rPr>
          <w:rFonts w:ascii="仿宋" w:hAnsi="仿宋" w:eastAsia="仿宋" w:cs="仿宋"/>
          <w:spacing w:val="-3"/>
          <w:sz w:val="32"/>
          <w:szCs w:val="32"/>
        </w:rPr>
        <w:t>图书馆年接待参</w:t>
      </w:r>
      <w:r>
        <w:rPr>
          <w:rFonts w:ascii="仿宋" w:hAnsi="仿宋" w:eastAsia="仿宋" w:cs="仿宋"/>
          <w:spacing w:val="-4"/>
          <w:sz w:val="32"/>
          <w:szCs w:val="32"/>
        </w:rPr>
        <w:t>观人数近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万人，</w:t>
      </w:r>
      <w:r>
        <w:rPr>
          <w:rFonts w:ascii="仿宋" w:hAnsi="仿宋" w:eastAsia="仿宋" w:cs="仿宋"/>
          <w:spacing w:val="5"/>
          <w:sz w:val="32"/>
          <w:szCs w:val="32"/>
        </w:rPr>
        <w:t>确保图书馆的正常运行及免费开放工作，群众满意度达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98.0%以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上。</w:t>
      </w:r>
    </w:p>
    <w:p>
      <w:pPr>
        <w:spacing w:before="188" w:line="229" w:lineRule="auto"/>
        <w:ind w:left="65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部门决算中项目绩效自评结果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560" w:lineRule="exact"/>
        <w:ind w:left="12" w:right="89" w:firstLine="66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泗县文化和旅游局在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2022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年度部门决算中反映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“博物馆、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家风馆运行维护费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”项目绩效自评综述和所有项目支出绩效</w:t>
      </w:r>
      <w:r>
        <w:rPr>
          <w:rFonts w:ascii="仿宋" w:hAnsi="仿宋" w:eastAsia="仿宋" w:cs="仿宋"/>
          <w:spacing w:val="1"/>
          <w:sz w:val="32"/>
          <w:szCs w:val="32"/>
        </w:rPr>
        <w:t>自评</w:t>
      </w:r>
      <w:r>
        <w:rPr>
          <w:rFonts w:ascii="仿宋" w:hAnsi="仿宋" w:eastAsia="仿宋" w:cs="仿宋"/>
          <w:spacing w:val="-1"/>
          <w:sz w:val="32"/>
          <w:szCs w:val="32"/>
        </w:rPr>
        <w:t>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60" w:lineRule="exact"/>
        <w:ind w:firstLine="652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博物馆、家风馆运行维护费项目绩效自评综述：根据年初设</w:t>
      </w:r>
      <w:r>
        <w:rPr>
          <w:rFonts w:ascii="仿宋" w:hAnsi="仿宋" w:eastAsia="仿宋" w:cs="仿宋"/>
          <w:spacing w:val="8"/>
          <w:sz w:val="32"/>
          <w:szCs w:val="32"/>
        </w:rPr>
        <w:t>定的绩效目标，项目绩效自评得分为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100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分。全年预算数为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70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万元，执行数为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万元，完成预算的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100.00%。项目绩效目标完</w:t>
      </w:r>
      <w:r>
        <w:rPr>
          <w:rFonts w:ascii="仿宋" w:hAnsi="仿宋" w:eastAsia="仿宋" w:cs="仿宋"/>
          <w:spacing w:val="-1"/>
          <w:sz w:val="32"/>
          <w:szCs w:val="32"/>
        </w:rPr>
        <w:t>成情况：通过项目实施，确保博物馆年接待参观人数近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万人，</w:t>
      </w:r>
      <w:r>
        <w:rPr>
          <w:rFonts w:ascii="仿宋" w:hAnsi="仿宋" w:eastAsia="仿宋" w:cs="仿宋"/>
          <w:spacing w:val="-4"/>
          <w:sz w:val="32"/>
          <w:szCs w:val="32"/>
        </w:rPr>
        <w:t>举办各类活动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60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余场，团体性参观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余场次，达到预期绩效目标。发现的主要问题及原因：项目绩效管理的理念还未深入</w:t>
      </w:r>
      <w:r>
        <w:rPr>
          <w:rFonts w:ascii="仿宋" w:hAnsi="仿宋" w:eastAsia="仿宋" w:cs="仿宋"/>
          <w:spacing w:val="-5"/>
          <w:sz w:val="32"/>
          <w:szCs w:val="32"/>
        </w:rPr>
        <w:t>人心。</w:t>
      </w:r>
      <w:r>
        <w:rPr>
          <w:rFonts w:ascii="仿宋" w:hAnsi="仿宋" w:eastAsia="仿宋" w:cs="仿宋"/>
          <w:spacing w:val="4"/>
          <w:sz w:val="32"/>
          <w:szCs w:val="32"/>
        </w:rPr>
        <w:t>虽然近年来各级都在反复强调项目绩效的问题</w:t>
      </w:r>
      <w:r>
        <w:rPr>
          <w:rFonts w:ascii="仿宋" w:hAnsi="仿宋" w:eastAsia="仿宋" w:cs="仿宋"/>
          <w:spacing w:val="3"/>
          <w:sz w:val="32"/>
          <w:szCs w:val="32"/>
        </w:rPr>
        <w:t>，但在底层落实难度还比较大，部分人认为项目绩效管理与业务科室关系不大。下</w:t>
      </w:r>
      <w:r>
        <w:rPr>
          <w:rFonts w:ascii="仿宋" w:hAnsi="仿宋" w:eastAsia="仿宋" w:cs="仿宋"/>
          <w:spacing w:val="5"/>
          <w:sz w:val="32"/>
          <w:szCs w:val="32"/>
        </w:rPr>
        <w:t>一步改进措施：抓好文件精神的学习宣传。利</w:t>
      </w:r>
      <w:r>
        <w:rPr>
          <w:rFonts w:ascii="仿宋" w:hAnsi="仿宋" w:eastAsia="仿宋" w:cs="仿宋"/>
          <w:spacing w:val="4"/>
          <w:sz w:val="32"/>
          <w:szCs w:val="32"/>
        </w:rPr>
        <w:t>用干部职工大会、党组会，反复学习县财政文件精神，深刻理解</w:t>
      </w:r>
      <w:r>
        <w:rPr>
          <w:rFonts w:ascii="仿宋" w:hAnsi="仿宋" w:eastAsia="仿宋" w:cs="仿宋"/>
          <w:spacing w:val="3"/>
          <w:sz w:val="32"/>
          <w:szCs w:val="32"/>
        </w:rPr>
        <w:t>掌握实施项目绩效</w:t>
      </w:r>
      <w:r>
        <w:rPr>
          <w:rFonts w:ascii="仿宋" w:hAnsi="仿宋" w:eastAsia="仿宋" w:cs="仿宋"/>
          <w:spacing w:val="4"/>
          <w:sz w:val="32"/>
          <w:szCs w:val="32"/>
        </w:rPr>
        <w:t>管理的重要意义及实施项目绩效管理的总体目标及基本</w:t>
      </w:r>
      <w:r>
        <w:rPr>
          <w:rFonts w:ascii="仿宋" w:hAnsi="仿宋" w:eastAsia="仿宋" w:cs="仿宋"/>
          <w:spacing w:val="3"/>
          <w:sz w:val="32"/>
          <w:szCs w:val="32"/>
        </w:rPr>
        <w:t>原则，让所有职工都知道开展项目绩效管理的重要性。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firstLine="620" w:firstLineChars="200"/>
        <w:jc w:val="right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5" w:type="default"/>
          <w:pgSz w:w="11906" w:h="16839"/>
          <w:pgMar w:top="1431" w:right="1437" w:bottom="1873" w:left="1596" w:header="0" w:footer="1599" w:gutter="0"/>
          <w:cols w:space="720" w:num="1"/>
        </w:sectPr>
      </w:pPr>
      <w:r>
        <w:rPr>
          <w:rFonts w:ascii="仿宋" w:hAnsi="仿宋" w:eastAsia="仿宋" w:cs="仿宋"/>
          <w:spacing w:val="-5"/>
          <w:sz w:val="32"/>
          <w:szCs w:val="32"/>
        </w:rPr>
        <w:t>博物馆、家风馆运行维护费项目的《项目支出绩效自评表》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。</w:t>
      </w: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line="11263" w:lineRule="exact"/>
      </w:pPr>
      <w:r>
        <w:rPr>
          <w:position w:val="-225"/>
        </w:rPr>
        <w:drawing>
          <wp:inline distT="0" distB="0" distL="0" distR="0">
            <wp:extent cx="5571490" cy="71520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1744" cy="715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line="11263" w:lineRule="exact"/>
      </w:pPr>
      <w:r>
        <w:rPr>
          <w:position w:val="-225"/>
        </w:rPr>
        <w:drawing>
          <wp:inline distT="0" distB="0" distL="0" distR="0">
            <wp:extent cx="5571490" cy="71520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1744" cy="715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63" w:lineRule="exact"/>
        <w:sectPr>
          <w:footerReference r:id="rId6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pStyle w:val="2"/>
        <w:spacing w:line="304" w:lineRule="auto"/>
      </w:pPr>
    </w:p>
    <w:p>
      <w:pPr>
        <w:spacing w:line="10423" w:lineRule="exact"/>
      </w:pPr>
      <w:r>
        <w:rPr>
          <w:position w:val="-208"/>
        </w:rPr>
        <w:drawing>
          <wp:inline distT="0" distB="0" distL="0" distR="0">
            <wp:extent cx="5574665" cy="661860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74792" cy="661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23" w:lineRule="exact"/>
        <w:sectPr>
          <w:footerReference r:id="rId7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line="9009" w:lineRule="exact"/>
      </w:pPr>
      <w:r>
        <w:rPr>
          <w:position w:val="-180"/>
        </w:rPr>
        <w:drawing>
          <wp:inline distT="0" distB="0" distL="0" distR="0">
            <wp:extent cx="5571490" cy="572071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71744" cy="57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009" w:lineRule="exact"/>
        <w:sectPr>
          <w:footerReference r:id="rId8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line="10044" w:lineRule="exact"/>
      </w:pPr>
      <w:r>
        <w:rPr>
          <w:position w:val="-200"/>
        </w:rPr>
        <w:drawing>
          <wp:inline distT="0" distB="0" distL="0" distR="0">
            <wp:extent cx="5571490" cy="63779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71744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44" w:lineRule="exact"/>
        <w:sectPr>
          <w:footerReference r:id="rId9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line="12017" w:lineRule="exact"/>
      </w:pPr>
      <w:r>
        <w:rPr>
          <w:position w:val="-240"/>
        </w:rPr>
        <w:drawing>
          <wp:inline distT="0" distB="0" distL="0" distR="0">
            <wp:extent cx="5577840" cy="763016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63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17" w:lineRule="exact"/>
        <w:sectPr>
          <w:footerReference r:id="rId10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line="11091" w:lineRule="exact"/>
      </w:pPr>
      <w:r>
        <w:rPr>
          <w:position w:val="-221"/>
        </w:rPr>
        <w:drawing>
          <wp:inline distT="0" distB="0" distL="0" distR="0">
            <wp:extent cx="5577840" cy="704215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04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091" w:lineRule="exact"/>
        <w:sectPr>
          <w:footerReference r:id="rId11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line="8890" w:lineRule="exact"/>
      </w:pPr>
      <w:r>
        <w:rPr>
          <w:position w:val="-177"/>
        </w:rPr>
        <w:drawing>
          <wp:inline distT="0" distB="0" distL="0" distR="0">
            <wp:extent cx="5571490" cy="564451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1744" cy="56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890" w:lineRule="exact"/>
        <w:sectPr>
          <w:footerReference r:id="rId12" w:type="default"/>
          <w:pgSz w:w="11906" w:h="16839"/>
          <w:pgMar w:top="1431" w:right="1529" w:bottom="1873" w:left="1588" w:header="0" w:footer="1597" w:gutter="0"/>
          <w:cols w:space="720" w:num="1"/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84" w:line="186" w:lineRule="auto"/>
        <w:ind w:left="204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项目支出绩效评价报告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85" w:line="1142" w:lineRule="exac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position w:val="55"/>
          <w:sz w:val="43"/>
          <w:szCs w:val="43"/>
        </w:rPr>
        <w:t>事业单位定额补助-泗州戏保护项目支出绩效</w:t>
      </w:r>
    </w:p>
    <w:p>
      <w:pPr>
        <w:spacing w:before="1" w:line="185" w:lineRule="auto"/>
        <w:ind w:left="334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评价报告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13" w:type="default"/>
          <w:pgSz w:w="11906" w:h="16839"/>
          <w:pgMar w:top="1431" w:right="1529" w:bottom="1873" w:left="1776" w:header="0" w:footer="1597" w:gutter="0"/>
          <w:cols w:space="720" w:num="1"/>
        </w:sectPr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84" w:line="186" w:lineRule="auto"/>
        <w:ind w:left="37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摘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要</w:t>
      </w:r>
    </w:p>
    <w:p>
      <w:pPr>
        <w:pStyle w:val="2"/>
        <w:spacing w:line="282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12" w:firstLine="652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经费主要用于确保泗州戏剧团的正常运行，以达到泗州戏的</w:t>
      </w:r>
      <w:r>
        <w:rPr>
          <w:rFonts w:ascii="仿宋" w:hAnsi="仿宋" w:eastAsia="仿宋" w:cs="仿宋"/>
          <w:spacing w:val="-12"/>
          <w:sz w:val="32"/>
          <w:szCs w:val="32"/>
        </w:rPr>
        <w:t>传承与发展。实施期限为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2022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1 </w:t>
      </w:r>
      <w:r>
        <w:rPr>
          <w:rFonts w:ascii="仿宋" w:hAnsi="仿宋" w:eastAsia="仿宋" w:cs="仿宋"/>
          <w:spacing w:val="-13"/>
          <w:sz w:val="32"/>
          <w:szCs w:val="32"/>
        </w:rPr>
        <w:t>日—2022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31 日，</w:t>
      </w:r>
      <w:r>
        <w:rPr>
          <w:rFonts w:ascii="仿宋" w:hAnsi="仿宋" w:eastAsia="仿宋" w:cs="仿宋"/>
          <w:spacing w:val="-2"/>
          <w:sz w:val="32"/>
          <w:szCs w:val="32"/>
        </w:rPr>
        <w:t>本项目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2022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年预算总额为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110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444" w:bottom="1873" w:left="1601" w:header="0" w:footer="1597" w:gutter="0"/>
          <w:cols w:space="720" w:num="1"/>
        </w:sectPr>
      </w:pPr>
    </w:p>
    <w:p>
      <w:pPr>
        <w:pStyle w:val="2"/>
        <w:spacing w:line="306" w:lineRule="auto"/>
      </w:pPr>
    </w:p>
    <w:p>
      <w:pPr>
        <w:pStyle w:val="2"/>
        <w:spacing w:line="306" w:lineRule="auto"/>
      </w:pPr>
    </w:p>
    <w:p>
      <w:pPr>
        <w:spacing w:before="184" w:line="186" w:lineRule="auto"/>
        <w:ind w:left="364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正文部分</w:t>
      </w: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spacing w:before="101" w:line="227" w:lineRule="auto"/>
        <w:ind w:left="7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一、项目基本情况</w:t>
      </w:r>
    </w:p>
    <w:p>
      <w:pPr>
        <w:spacing w:before="193" w:line="346" w:lineRule="auto"/>
        <w:ind w:left="141" w:right="86" w:firstLine="6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一）项目概况。用于确保泗州戏剧团的正常运行，以达到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泗州戏的传承与发展。2022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年事业单位定额补助-泗</w:t>
      </w:r>
      <w:r>
        <w:rPr>
          <w:rFonts w:ascii="仿宋" w:hAnsi="仿宋" w:eastAsia="仿宋" w:cs="仿宋"/>
          <w:spacing w:val="4"/>
          <w:sz w:val="31"/>
          <w:szCs w:val="31"/>
        </w:rPr>
        <w:t>州戏保护项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目预算安排资金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110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万元，资金全部按时到位，项目实际投入资</w:t>
      </w:r>
    </w:p>
    <w:p>
      <w:pPr>
        <w:spacing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金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万元，全部用于泗州戏保护。保障泗州戏剧团的正常运行。</w:t>
      </w:r>
    </w:p>
    <w:p>
      <w:pPr>
        <w:spacing w:before="208" w:line="581" w:lineRule="exact"/>
        <w:ind w:left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二）项目绩效目标。确保泗州戏剧团的正常运行，以达到</w:t>
      </w:r>
    </w:p>
    <w:p>
      <w:pPr>
        <w:spacing w:before="1" w:line="227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泗州戏的传承与发展。</w:t>
      </w:r>
    </w:p>
    <w:p>
      <w:pPr>
        <w:spacing w:before="181" w:line="226" w:lineRule="auto"/>
        <w:ind w:left="7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二、绩效评价工作开展情况</w:t>
      </w:r>
    </w:p>
    <w:p>
      <w:pPr>
        <w:spacing w:before="182" w:line="222" w:lineRule="auto"/>
        <w:ind w:left="7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一）绩效评价目的、对象和范围。</w:t>
      </w:r>
    </w:p>
    <w:p>
      <w:pPr>
        <w:spacing w:before="188" w:line="333" w:lineRule="auto"/>
        <w:ind w:left="129" w:right="8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 xml:space="preserve">绩效评价目的：运用项目支出绩效评价指标体系对事业单位 </w:t>
      </w:r>
      <w:r>
        <w:rPr>
          <w:rFonts w:ascii="仿宋" w:hAnsi="仿宋" w:eastAsia="仿宋" w:cs="仿宋"/>
          <w:spacing w:val="9"/>
          <w:sz w:val="31"/>
          <w:szCs w:val="31"/>
        </w:rPr>
        <w:t>定额补助-泗州戏保护进行综合评价，查找部门管理中</w:t>
      </w:r>
      <w:r>
        <w:rPr>
          <w:rFonts w:ascii="仿宋" w:hAnsi="仿宋" w:eastAsia="仿宋" w:cs="仿宋"/>
          <w:spacing w:val="8"/>
          <w:sz w:val="31"/>
          <w:szCs w:val="31"/>
        </w:rPr>
        <w:t>存在的问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题，提出改进工作的建议，促进部门管理水平的提升，提高财政</w:t>
      </w:r>
    </w:p>
    <w:p>
      <w:pPr>
        <w:spacing w:before="1" w:line="222" w:lineRule="auto"/>
        <w:ind w:left="1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资金使用效益。</w:t>
      </w:r>
    </w:p>
    <w:p>
      <w:pPr>
        <w:spacing w:before="188" w:line="559" w:lineRule="exact"/>
        <w:ind w:left="7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绩效评价对象和范围：纳入预算管理的财政资金（事业单位</w:t>
      </w:r>
    </w:p>
    <w:p>
      <w:pPr>
        <w:spacing w:line="221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定额补助-泗州戏保护）。</w:t>
      </w:r>
    </w:p>
    <w:p>
      <w:pPr>
        <w:spacing w:before="188" w:line="562" w:lineRule="exact"/>
        <w:ind w:left="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二）绩效评价原则、评价指标体系（附表说明）、评价方</w:t>
      </w:r>
    </w:p>
    <w:p>
      <w:pPr>
        <w:spacing w:line="222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法、评价标准等。</w:t>
      </w:r>
    </w:p>
    <w:p>
      <w:pPr>
        <w:spacing w:line="105" w:lineRule="auto"/>
        <w:rPr>
          <w:rFonts w:ascii="Arial"/>
          <w:sz w:val="2"/>
        </w:rPr>
      </w:pPr>
    </w:p>
    <w:tbl>
      <w:tblPr>
        <w:tblStyle w:val="6"/>
        <w:tblW w:w="88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23"/>
        <w:gridCol w:w="2061"/>
        <w:gridCol w:w="1134"/>
        <w:gridCol w:w="1815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6" w:type="dxa"/>
            <w:vAlign w:val="top"/>
          </w:tcPr>
          <w:p>
            <w:pPr>
              <w:pStyle w:val="7"/>
              <w:spacing w:before="164" w:line="217" w:lineRule="auto"/>
              <w:ind w:left="161"/>
            </w:pPr>
            <w:r>
              <w:rPr>
                <w:spacing w:val="-6"/>
              </w:rPr>
              <w:t>评价原则</w:t>
            </w:r>
          </w:p>
        </w:tc>
        <w:tc>
          <w:tcPr>
            <w:tcW w:w="1223" w:type="dxa"/>
            <w:vAlign w:val="top"/>
          </w:tcPr>
          <w:p>
            <w:pPr>
              <w:pStyle w:val="7"/>
              <w:spacing w:before="25" w:line="214" w:lineRule="auto"/>
              <w:ind w:left="269"/>
            </w:pPr>
            <w:r>
              <w:rPr>
                <w:spacing w:val="-7"/>
              </w:rPr>
              <w:t>指标值</w:t>
            </w:r>
          </w:p>
          <w:p>
            <w:pPr>
              <w:pStyle w:val="7"/>
              <w:spacing w:line="194" w:lineRule="auto"/>
              <w:ind w:left="319"/>
            </w:pPr>
            <w:r>
              <w:rPr>
                <w:spacing w:val="-5"/>
              </w:rPr>
              <w:t>（%）</w:t>
            </w:r>
          </w:p>
        </w:tc>
        <w:tc>
          <w:tcPr>
            <w:tcW w:w="2061" w:type="dxa"/>
            <w:vAlign w:val="top"/>
          </w:tcPr>
          <w:p>
            <w:pPr>
              <w:pStyle w:val="7"/>
              <w:spacing w:before="164" w:line="217" w:lineRule="auto"/>
              <w:ind w:left="569"/>
            </w:pPr>
            <w:r>
              <w:rPr>
                <w:spacing w:val="-6"/>
              </w:rPr>
              <w:t>评价问题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6" w:line="204" w:lineRule="auto"/>
              <w:ind w:left="277" w:right="205" w:hanging="40"/>
            </w:pPr>
            <w:r>
              <w:rPr>
                <w:spacing w:val="-12"/>
              </w:rPr>
              <w:t>完成值</w:t>
            </w:r>
            <w:r>
              <w:t xml:space="preserve"> </w:t>
            </w:r>
            <w:r>
              <w:rPr>
                <w:spacing w:val="-5"/>
              </w:rPr>
              <w:t>（%）</w:t>
            </w:r>
          </w:p>
        </w:tc>
        <w:tc>
          <w:tcPr>
            <w:tcW w:w="1815" w:type="dxa"/>
            <w:vAlign w:val="top"/>
          </w:tcPr>
          <w:p>
            <w:pPr>
              <w:pStyle w:val="7"/>
              <w:spacing w:before="164" w:line="217" w:lineRule="auto"/>
              <w:ind w:left="449"/>
            </w:pPr>
            <w:r>
              <w:rPr>
                <w:spacing w:val="-6"/>
              </w:rPr>
              <w:t>评价指标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5" w:line="214" w:lineRule="auto"/>
              <w:ind w:left="377"/>
            </w:pPr>
            <w:r>
              <w:rPr>
                <w:spacing w:val="-10"/>
              </w:rPr>
              <w:t>完成值</w:t>
            </w:r>
          </w:p>
          <w:p>
            <w:pPr>
              <w:pStyle w:val="7"/>
              <w:spacing w:line="194" w:lineRule="auto"/>
              <w:ind w:left="417"/>
            </w:pPr>
            <w:r>
              <w:rPr>
                <w:spacing w:val="-5"/>
              </w:rPr>
              <w:t>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46" w:type="dxa"/>
            <w:vAlign w:val="top"/>
          </w:tcPr>
          <w:p>
            <w:pPr>
              <w:pStyle w:val="7"/>
              <w:spacing w:before="113" w:line="199" w:lineRule="auto"/>
              <w:ind w:left="583"/>
            </w:pPr>
            <w:r>
              <w:t>相</w:t>
            </w:r>
          </w:p>
          <w:p>
            <w:pPr>
              <w:pStyle w:val="7"/>
              <w:spacing w:line="219" w:lineRule="auto"/>
              <w:ind w:left="596"/>
            </w:pPr>
            <w:r>
              <w:t>关</w:t>
            </w:r>
          </w:p>
        </w:tc>
        <w:tc>
          <w:tcPr>
            <w:tcW w:w="1223" w:type="dxa"/>
            <w:vAlign w:val="top"/>
          </w:tcPr>
          <w:p>
            <w:pPr>
              <w:pStyle w:val="7"/>
              <w:spacing w:before="279" w:line="181" w:lineRule="auto"/>
              <w:ind w:left="508"/>
            </w:pPr>
            <w:r>
              <w:rPr>
                <w:spacing w:val="-10"/>
              </w:rPr>
              <w:t>25</w:t>
            </w:r>
          </w:p>
        </w:tc>
        <w:tc>
          <w:tcPr>
            <w:tcW w:w="2061" w:type="dxa"/>
            <w:vAlign w:val="top"/>
          </w:tcPr>
          <w:p>
            <w:pPr>
              <w:pStyle w:val="7"/>
              <w:spacing w:before="112" w:line="208" w:lineRule="auto"/>
              <w:ind w:left="226" w:right="98" w:firstLine="125"/>
            </w:pPr>
            <w:r>
              <w:rPr>
                <w:spacing w:val="-11"/>
              </w:rPr>
              <w:t>项目立项时，是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否符合有关政策</w:t>
            </w:r>
          </w:p>
        </w:tc>
        <w:tc>
          <w:tcPr>
            <w:tcW w:w="11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6"/>
            </w:pPr>
            <w:r>
              <w:rPr>
                <w:spacing w:val="-10"/>
              </w:rPr>
              <w:t>25</w:t>
            </w:r>
          </w:p>
        </w:tc>
        <w:tc>
          <w:tcPr>
            <w:tcW w:w="1815" w:type="dxa"/>
            <w:vAlign w:val="top"/>
          </w:tcPr>
          <w:p>
            <w:pPr>
              <w:pStyle w:val="7"/>
              <w:spacing w:before="242" w:line="216" w:lineRule="auto"/>
              <w:ind w:left="570"/>
            </w:pPr>
            <w:r>
              <w:rPr>
                <w:spacing w:val="-7"/>
              </w:rPr>
              <w:t>符合程度</w:t>
            </w:r>
          </w:p>
        </w:tc>
        <w:tc>
          <w:tcPr>
            <w:tcW w:w="141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606"/>
            </w:pPr>
            <w:r>
              <w:rPr>
                <w:spacing w:val="-10"/>
              </w:rPr>
              <w:t>25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1906" w:h="16839"/>
          <w:pgMar w:top="1431" w:right="1437" w:bottom="1873" w:left="1475" w:header="0" w:footer="1597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6"/>
        <w:tblW w:w="88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23"/>
        <w:gridCol w:w="2061"/>
        <w:gridCol w:w="1134"/>
        <w:gridCol w:w="1815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46" w:type="dxa"/>
            <w:vAlign w:val="top"/>
          </w:tcPr>
          <w:p>
            <w:pPr>
              <w:pStyle w:val="7"/>
              <w:spacing w:before="9" w:line="215" w:lineRule="auto"/>
              <w:ind w:left="346" w:right="196" w:firstLine="244"/>
            </w:pPr>
            <w:r>
              <w:rPr>
                <w:spacing w:val="-15"/>
              </w:rPr>
              <w:t>性</w:t>
            </w:r>
            <w:r>
              <w:t xml:space="preserve">   </w:t>
            </w:r>
            <w:r>
              <w:rPr>
                <w:spacing w:val="-6"/>
              </w:rPr>
              <w:t>（50）</w:t>
            </w:r>
          </w:p>
        </w:tc>
        <w:tc>
          <w:tcPr>
            <w:tcW w:w="1223" w:type="dxa"/>
            <w:vAlign w:val="top"/>
          </w:tcPr>
          <w:p>
            <w:pPr>
              <w:pStyle w:val="7"/>
              <w:spacing w:before="280" w:line="181" w:lineRule="auto"/>
              <w:ind w:left="508"/>
            </w:pPr>
            <w:r>
              <w:rPr>
                <w:spacing w:val="-10"/>
              </w:rPr>
              <w:t>25</w:t>
            </w:r>
          </w:p>
        </w:tc>
        <w:tc>
          <w:tcPr>
            <w:tcW w:w="2061" w:type="dxa"/>
            <w:vAlign w:val="top"/>
          </w:tcPr>
          <w:p>
            <w:pPr>
              <w:pStyle w:val="7"/>
              <w:spacing w:before="94" w:line="208" w:lineRule="auto"/>
              <w:ind w:left="226" w:right="98" w:firstLine="125"/>
            </w:pPr>
            <w:r>
              <w:rPr>
                <w:spacing w:val="-11"/>
              </w:rPr>
              <w:t>项目评价时，是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否符合有关政策</w:t>
            </w:r>
          </w:p>
        </w:tc>
        <w:tc>
          <w:tcPr>
            <w:tcW w:w="1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6"/>
            </w:pPr>
            <w:r>
              <w:rPr>
                <w:spacing w:val="-10"/>
              </w:rPr>
              <w:t>25</w:t>
            </w:r>
          </w:p>
        </w:tc>
        <w:tc>
          <w:tcPr>
            <w:tcW w:w="1815" w:type="dxa"/>
            <w:vAlign w:val="top"/>
          </w:tcPr>
          <w:p>
            <w:pPr>
              <w:pStyle w:val="7"/>
              <w:spacing w:before="225" w:line="216" w:lineRule="auto"/>
              <w:ind w:left="570"/>
            </w:pPr>
            <w:r>
              <w:rPr>
                <w:spacing w:val="-7"/>
              </w:rPr>
              <w:t>符合程度</w:t>
            </w:r>
          </w:p>
        </w:tc>
        <w:tc>
          <w:tcPr>
            <w:tcW w:w="14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606"/>
            </w:pPr>
            <w:r>
              <w:rPr>
                <w:spacing w:val="-10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559" w:lineRule="exact"/>
              <w:ind w:left="402"/>
            </w:pPr>
            <w:r>
              <w:rPr>
                <w:spacing w:val="-8"/>
                <w:position w:val="24"/>
              </w:rPr>
              <w:t>效率</w:t>
            </w:r>
          </w:p>
          <w:p>
            <w:pPr>
              <w:pStyle w:val="7"/>
              <w:spacing w:line="218" w:lineRule="auto"/>
              <w:ind w:left="127"/>
            </w:pPr>
            <w:r>
              <w:rPr>
                <w:spacing w:val="-6"/>
              </w:rPr>
              <w:t>（50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223" w:type="dxa"/>
            <w:vAlign w:val="top"/>
          </w:tcPr>
          <w:p>
            <w:pPr>
              <w:pStyle w:val="7"/>
              <w:spacing w:before="275" w:line="181" w:lineRule="auto"/>
              <w:ind w:left="508"/>
            </w:pPr>
            <w:r>
              <w:rPr>
                <w:spacing w:val="-10"/>
              </w:rPr>
              <w:t>20</w:t>
            </w:r>
          </w:p>
        </w:tc>
        <w:tc>
          <w:tcPr>
            <w:tcW w:w="2061" w:type="dxa"/>
            <w:vAlign w:val="top"/>
          </w:tcPr>
          <w:p>
            <w:pPr>
              <w:pStyle w:val="7"/>
              <w:spacing w:before="172" w:line="208" w:lineRule="auto"/>
              <w:ind w:left="119" w:right="98" w:firstLine="232"/>
            </w:pPr>
            <w:r>
              <w:rPr>
                <w:spacing w:val="-7"/>
              </w:rPr>
              <w:t>项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目是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否按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照</w:t>
            </w:r>
            <w:r>
              <w:t xml:space="preserve"> </w:t>
            </w:r>
            <w:r>
              <w:rPr>
                <w:spacing w:val="-7"/>
              </w:rPr>
              <w:t>计划完成</w:t>
            </w:r>
          </w:p>
        </w:tc>
        <w:tc>
          <w:tcPr>
            <w:tcW w:w="113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6"/>
            </w:pPr>
            <w:r>
              <w:rPr>
                <w:spacing w:val="-10"/>
              </w:rPr>
              <w:t>20</w:t>
            </w:r>
          </w:p>
        </w:tc>
        <w:tc>
          <w:tcPr>
            <w:tcW w:w="1815" w:type="dxa"/>
            <w:vAlign w:val="top"/>
          </w:tcPr>
          <w:p>
            <w:pPr>
              <w:pStyle w:val="7"/>
              <w:spacing w:before="41" w:line="205" w:lineRule="auto"/>
              <w:ind w:left="114" w:right="292" w:firstLine="239"/>
              <w:jc w:val="both"/>
            </w:pPr>
            <w:r>
              <w:rPr>
                <w:spacing w:val="-8"/>
              </w:rPr>
              <w:t>项目实施进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度与计划进度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的相符程度</w:t>
            </w:r>
          </w:p>
        </w:tc>
        <w:tc>
          <w:tcPr>
            <w:tcW w:w="141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606"/>
            </w:pPr>
            <w:r>
              <w:rPr>
                <w:spacing w:val="-10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7"/>
              <w:spacing w:before="277" w:line="181" w:lineRule="auto"/>
              <w:ind w:left="508"/>
            </w:pPr>
            <w:r>
              <w:rPr>
                <w:spacing w:val="-10"/>
              </w:rPr>
              <w:t>20</w:t>
            </w:r>
          </w:p>
        </w:tc>
        <w:tc>
          <w:tcPr>
            <w:tcW w:w="2061" w:type="dxa"/>
            <w:vAlign w:val="top"/>
          </w:tcPr>
          <w:p>
            <w:pPr>
              <w:pStyle w:val="7"/>
              <w:spacing w:before="98" w:line="209" w:lineRule="auto"/>
              <w:ind w:left="116" w:right="98" w:firstLine="242"/>
            </w:pPr>
            <w:r>
              <w:rPr>
                <w:spacing w:val="26"/>
              </w:rPr>
              <w:t>资金使用与管</w:t>
            </w:r>
            <w:r>
              <w:t xml:space="preserve"> </w:t>
            </w:r>
            <w:r>
              <w:rPr>
                <w:spacing w:val="-7"/>
              </w:rPr>
              <w:t>理是否规范</w:t>
            </w:r>
          </w:p>
        </w:tc>
        <w:tc>
          <w:tcPr>
            <w:tcW w:w="11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66"/>
            </w:pPr>
            <w:r>
              <w:rPr>
                <w:spacing w:val="-10"/>
              </w:rPr>
              <w:t>20</w:t>
            </w:r>
          </w:p>
        </w:tc>
        <w:tc>
          <w:tcPr>
            <w:tcW w:w="1815" w:type="dxa"/>
            <w:vAlign w:val="top"/>
          </w:tcPr>
          <w:p>
            <w:pPr>
              <w:pStyle w:val="7"/>
              <w:spacing w:before="226" w:line="218" w:lineRule="auto"/>
              <w:ind w:left="571"/>
            </w:pPr>
            <w:r>
              <w:rPr>
                <w:spacing w:val="-8"/>
              </w:rPr>
              <w:t>规范程度</w:t>
            </w:r>
          </w:p>
        </w:tc>
        <w:tc>
          <w:tcPr>
            <w:tcW w:w="14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606"/>
            </w:pPr>
            <w:r>
              <w:rPr>
                <w:spacing w:val="-10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7"/>
              <w:spacing w:before="279" w:line="181" w:lineRule="auto"/>
              <w:ind w:left="514"/>
            </w:pPr>
            <w:r>
              <w:rPr>
                <w:spacing w:val="-13"/>
              </w:rPr>
              <w:t>10</w:t>
            </w:r>
          </w:p>
        </w:tc>
        <w:tc>
          <w:tcPr>
            <w:tcW w:w="206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154" w:right="307" w:firstLine="197"/>
            </w:pPr>
            <w:r>
              <w:rPr>
                <w:spacing w:val="-8"/>
              </w:rPr>
              <w:t>项目是否达到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了预期效果</w:t>
            </w:r>
          </w:p>
        </w:tc>
        <w:tc>
          <w:tcPr>
            <w:tcW w:w="11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472"/>
            </w:pPr>
            <w:r>
              <w:rPr>
                <w:spacing w:val="-13"/>
              </w:rPr>
              <w:t>10</w:t>
            </w:r>
          </w:p>
        </w:tc>
        <w:tc>
          <w:tcPr>
            <w:tcW w:w="1815" w:type="dxa"/>
            <w:vAlign w:val="top"/>
          </w:tcPr>
          <w:p>
            <w:pPr>
              <w:pStyle w:val="7"/>
              <w:spacing w:before="11" w:line="198" w:lineRule="auto"/>
              <w:ind w:left="119" w:right="111" w:firstLine="234"/>
              <w:jc w:val="both"/>
            </w:pPr>
            <w:r>
              <w:rPr>
                <w:spacing w:val="-8"/>
              </w:rPr>
              <w:t>服务对象满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意度和经济效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益、社会效益、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生态效益的预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期效果程度</w:t>
            </w:r>
          </w:p>
        </w:tc>
        <w:tc>
          <w:tcPr>
            <w:tcW w:w="141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1" w:lineRule="auto"/>
              <w:ind w:left="612"/>
            </w:pPr>
            <w:r>
              <w:rPr>
                <w:spacing w:val="-13"/>
              </w:rPr>
              <w:t>10</w:t>
            </w:r>
          </w:p>
        </w:tc>
      </w:tr>
    </w:tbl>
    <w:p>
      <w:pPr>
        <w:spacing w:before="177" w:line="559" w:lineRule="exact"/>
        <w:ind w:left="7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8"/>
          <w:sz w:val="31"/>
          <w:szCs w:val="31"/>
        </w:rPr>
        <w:t>评价方法：了解五大人群的满意度，相关单位和年度评价和</w:t>
      </w:r>
    </w:p>
    <w:p>
      <w:pPr>
        <w:spacing w:line="221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单位岗位年度绩效目标考核等方式。</w:t>
      </w:r>
    </w:p>
    <w:p>
      <w:pPr>
        <w:spacing w:before="188" w:line="220" w:lineRule="auto"/>
        <w:ind w:left="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（三）绩效评价工作过程。</w:t>
      </w:r>
    </w:p>
    <w:p>
      <w:pPr>
        <w:spacing w:before="194" w:line="333" w:lineRule="auto"/>
        <w:ind w:left="132" w:right="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按照项目总体目标和阶段性目标，确定绩效评价项目</w:t>
      </w:r>
      <w:r>
        <w:rPr>
          <w:rFonts w:ascii="仿宋" w:hAnsi="仿宋" w:eastAsia="仿宋" w:cs="仿宋"/>
          <w:spacing w:val="2"/>
          <w:sz w:val="31"/>
          <w:szCs w:val="31"/>
        </w:rPr>
        <w:t>，明确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绩效评价要求与主体。根据评价依据，项目实施机构自行开展收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集绩效评价相关资料，开展公众满意度调查，核实绩效评价资料，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综合分析确定评价结论，撰写并提交绩效评价报告。将绩效评价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结果提交政府指定部门，建立绩效评价档案，反馈绩效评价信息。</w:t>
      </w:r>
    </w:p>
    <w:p>
      <w:pPr>
        <w:pStyle w:val="2"/>
        <w:spacing w:line="325" w:lineRule="auto"/>
      </w:pPr>
      <w:bookmarkStart w:id="0" w:name="_GoBack"/>
      <w:bookmarkEnd w:id="0"/>
    </w:p>
    <w:p>
      <w:pPr>
        <w:spacing w:before="101" w:line="227" w:lineRule="auto"/>
        <w:ind w:left="7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三、综合评价情况及评价结论</w:t>
      </w:r>
    </w:p>
    <w:p>
      <w:pPr>
        <w:spacing w:before="183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1、综合评价情况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6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4622"/>
        <w:gridCol w:w="2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264" w:line="218" w:lineRule="auto"/>
              <w:ind w:left="34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二级指标</w:t>
            </w:r>
          </w:p>
        </w:tc>
        <w:tc>
          <w:tcPr>
            <w:tcW w:w="4622" w:type="dxa"/>
            <w:vAlign w:val="top"/>
          </w:tcPr>
          <w:p>
            <w:pPr>
              <w:pStyle w:val="7"/>
              <w:spacing w:before="264" w:line="218" w:lineRule="auto"/>
              <w:ind w:left="190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三级指标</w:t>
            </w:r>
          </w:p>
        </w:tc>
        <w:tc>
          <w:tcPr>
            <w:tcW w:w="2770" w:type="dxa"/>
            <w:vAlign w:val="top"/>
          </w:tcPr>
          <w:p>
            <w:pPr>
              <w:pStyle w:val="7"/>
              <w:spacing w:before="264" w:line="218" w:lineRule="auto"/>
              <w:ind w:left="107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515" w:type="dxa"/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09" w:lineRule="auto"/>
              <w:ind w:left="311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数量指标</w:t>
            </w:r>
          </w:p>
        </w:tc>
        <w:tc>
          <w:tcPr>
            <w:tcW w:w="462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7" w:lineRule="auto"/>
              <w:ind w:left="10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保障泗州戏剧团职工人数</w:t>
            </w:r>
          </w:p>
        </w:tc>
        <w:tc>
          <w:tcPr>
            <w:tcW w:w="2770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2" w:lineRule="auto"/>
              <w:ind w:left="109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≥21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人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9"/>
          <w:pgMar w:top="1431" w:right="1437" w:bottom="1873" w:left="1475" w:header="0" w:footer="1597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6"/>
        <w:tblW w:w="89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4622"/>
        <w:gridCol w:w="2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515" w:type="dxa"/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09" w:lineRule="auto"/>
              <w:ind w:left="239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质量指标</w:t>
            </w:r>
          </w:p>
        </w:tc>
        <w:tc>
          <w:tcPr>
            <w:tcW w:w="462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6" w:lineRule="auto"/>
              <w:ind w:left="1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经费支出合规性</w:t>
            </w:r>
          </w:p>
        </w:tc>
        <w:tc>
          <w:tcPr>
            <w:tcW w:w="27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17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51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35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时效指标</w:t>
            </w:r>
          </w:p>
        </w:tc>
        <w:tc>
          <w:tcPr>
            <w:tcW w:w="462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6" w:lineRule="auto"/>
              <w:ind w:left="1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经费支出时效性</w:t>
            </w:r>
          </w:p>
        </w:tc>
        <w:tc>
          <w:tcPr>
            <w:tcW w:w="277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83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2022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年年底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8" w:lineRule="auto"/>
              <w:ind w:left="34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成本指标</w:t>
            </w:r>
          </w:p>
        </w:tc>
        <w:tc>
          <w:tcPr>
            <w:tcW w:w="4622" w:type="dxa"/>
            <w:vAlign w:val="top"/>
          </w:tcPr>
          <w:p>
            <w:pPr>
              <w:pStyle w:val="7"/>
              <w:spacing w:before="311" w:line="217" w:lineRule="auto"/>
              <w:ind w:left="11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事业单位定额补助-泗州戏保护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110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万元</w:t>
            </w:r>
          </w:p>
        </w:tc>
        <w:tc>
          <w:tcPr>
            <w:tcW w:w="27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7" w:lineRule="auto"/>
              <w:ind w:left="118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178" w:line="236" w:lineRule="auto"/>
              <w:ind w:left="34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社会效益</w:t>
            </w:r>
          </w:p>
          <w:p>
            <w:pPr>
              <w:pStyle w:val="7"/>
              <w:spacing w:before="1" w:line="217" w:lineRule="auto"/>
              <w:ind w:left="5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指标</w:t>
            </w:r>
          </w:p>
        </w:tc>
        <w:tc>
          <w:tcPr>
            <w:tcW w:w="4622" w:type="dxa"/>
            <w:vAlign w:val="top"/>
          </w:tcPr>
          <w:p>
            <w:pPr>
              <w:pStyle w:val="7"/>
              <w:spacing w:before="312" w:line="217" w:lineRule="auto"/>
              <w:ind w:left="1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提升群众对非物质文化遗产知晓的影响程度</w:t>
            </w:r>
          </w:p>
        </w:tc>
        <w:tc>
          <w:tcPr>
            <w:tcW w:w="277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9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效果显著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179" w:line="226" w:lineRule="auto"/>
              <w:ind w:left="654" w:right="107" w:hanging="52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可持续影响指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标</w:t>
            </w:r>
          </w:p>
        </w:tc>
        <w:tc>
          <w:tcPr>
            <w:tcW w:w="462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1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提高人民群众对泗州戏知晓的可持续影响程度</w:t>
            </w:r>
          </w:p>
        </w:tc>
        <w:tc>
          <w:tcPr>
            <w:tcW w:w="277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8" w:lineRule="auto"/>
              <w:ind w:left="97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效果显著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184" w:line="227" w:lineRule="auto"/>
              <w:ind w:left="442" w:right="107" w:hanging="31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服务对象满意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度指标</w:t>
            </w:r>
          </w:p>
        </w:tc>
        <w:tc>
          <w:tcPr>
            <w:tcW w:w="462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10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群众满意度</w:t>
            </w:r>
          </w:p>
        </w:tc>
        <w:tc>
          <w:tcPr>
            <w:tcW w:w="277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7" w:lineRule="auto"/>
              <w:ind w:left="1170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≥98%</w:t>
            </w:r>
          </w:p>
        </w:tc>
      </w:tr>
    </w:tbl>
    <w:p>
      <w:pPr>
        <w:spacing w:before="177" w:line="222" w:lineRule="auto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2、评价结论</w:t>
      </w:r>
    </w:p>
    <w:p>
      <w:pPr>
        <w:spacing w:line="105" w:lineRule="auto"/>
        <w:rPr>
          <w:rFonts w:ascii="Arial"/>
          <w:sz w:val="2"/>
        </w:rPr>
      </w:pPr>
    </w:p>
    <w:tbl>
      <w:tblPr>
        <w:tblStyle w:val="6"/>
        <w:tblW w:w="8838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09"/>
        <w:gridCol w:w="1133"/>
        <w:gridCol w:w="3117"/>
        <w:gridCol w:w="991"/>
        <w:gridCol w:w="850"/>
        <w:gridCol w:w="709"/>
        <w:gridCol w:w="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23" w:line="209" w:lineRule="auto"/>
              <w:ind w:left="1799"/>
              <w:rPr>
                <w:sz w:val="22"/>
                <w:szCs w:val="22"/>
              </w:rPr>
            </w:pPr>
            <w:r>
              <w:rPr>
                <w:spacing w:val="34"/>
                <w:sz w:val="22"/>
                <w:szCs w:val="22"/>
              </w:rPr>
              <w:t>年度指标完成情况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88" w:line="218" w:lineRule="auto"/>
              <w:ind w:left="146" w:right="134" w:firstLine="11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指标</w:t>
            </w:r>
          </w:p>
        </w:tc>
        <w:tc>
          <w:tcPr>
            <w:tcW w:w="113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15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二级指标</w:t>
            </w:r>
          </w:p>
        </w:tc>
        <w:tc>
          <w:tcPr>
            <w:tcW w:w="31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115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三级指标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188" w:line="218" w:lineRule="auto"/>
              <w:ind w:left="287" w:right="164" w:hanging="10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年度指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标值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59" w:line="218" w:lineRule="auto"/>
              <w:ind w:left="231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实际</w:t>
            </w:r>
          </w:p>
          <w:p>
            <w:pPr>
              <w:pStyle w:val="7"/>
              <w:spacing w:line="217" w:lineRule="auto"/>
              <w:ind w:left="23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完成</w:t>
            </w:r>
          </w:p>
          <w:p>
            <w:pPr>
              <w:pStyle w:val="7"/>
              <w:spacing w:line="218" w:lineRule="auto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值</w:t>
            </w:r>
          </w:p>
        </w:tc>
        <w:tc>
          <w:tcPr>
            <w:tcW w:w="7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4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分值</w:t>
            </w:r>
          </w:p>
        </w:tc>
        <w:tc>
          <w:tcPr>
            <w:tcW w:w="6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12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52" w:line="216" w:lineRule="auto"/>
              <w:ind w:left="149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产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出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指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标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291" w:line="218" w:lineRule="auto"/>
              <w:ind w:left="14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数量指标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290" w:line="217" w:lineRule="auto"/>
              <w:ind w:left="11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保障泗州戏剧团职工人数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291" w:line="222" w:lineRule="auto"/>
              <w:ind w:left="27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21</w:t>
            </w:r>
            <w:r>
              <w:rPr>
                <w:spacing w:val="-5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人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90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6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8" w:lineRule="auto"/>
              <w:ind w:left="14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质量指标</w:t>
            </w:r>
          </w:p>
        </w:tc>
        <w:tc>
          <w:tcPr>
            <w:tcW w:w="31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经费支出合规性</w:t>
            </w:r>
          </w:p>
        </w:tc>
        <w:tc>
          <w:tcPr>
            <w:tcW w:w="99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29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合规</w:t>
            </w:r>
          </w:p>
        </w:tc>
        <w:tc>
          <w:tcPr>
            <w:tcW w:w="8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6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147" w:line="218" w:lineRule="auto"/>
              <w:ind w:left="163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时效指标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152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经费支出时效性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22" w:line="218" w:lineRule="auto"/>
              <w:ind w:left="291" w:right="138" w:hanging="12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2022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年底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51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80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180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147" w:line="218" w:lineRule="auto"/>
              <w:ind w:left="148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成本指标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23" w:line="220" w:lineRule="auto"/>
              <w:ind w:left="127" w:right="114" w:hanging="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事业单位定额补助-泗州戏保护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110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万元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153" w:line="222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110万元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53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82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182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7"/>
              <w:spacing w:before="165" w:line="219" w:lineRule="auto"/>
              <w:ind w:left="146" w:right="134" w:firstLine="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效益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指标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181" w:line="185" w:lineRule="auto"/>
              <w:ind w:left="358" w:right="132" w:hanging="2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社会效益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24" w:line="219" w:lineRule="auto"/>
              <w:ind w:left="127" w:right="220" w:hanging="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提升群众对非物质文化遗产知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晓的影响程度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24" w:line="219" w:lineRule="auto"/>
              <w:ind w:left="399" w:right="164" w:hanging="21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效果显</w:t>
            </w:r>
            <w:r>
              <w:rPr>
                <w:sz w:val="22"/>
                <w:szCs w:val="22"/>
              </w:rPr>
              <w:t xml:space="preserve"> 著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53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82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182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906" w:h="16839"/>
          <w:pgMar w:top="1431" w:right="1503" w:bottom="1873" w:left="1475" w:header="0" w:footer="1597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6"/>
        <w:tblW w:w="8838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709"/>
        <w:gridCol w:w="1133"/>
        <w:gridCol w:w="3117"/>
        <w:gridCol w:w="991"/>
        <w:gridCol w:w="850"/>
        <w:gridCol w:w="709"/>
        <w:gridCol w:w="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7"/>
              <w:spacing w:before="182" w:line="185" w:lineRule="auto"/>
              <w:ind w:left="257" w:right="132" w:hanging="10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可持续影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响指标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25" w:line="218" w:lineRule="auto"/>
              <w:ind w:left="123" w:right="220" w:hanging="1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提高人民群众对泗州戏知晓的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可持续影响程度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25" w:line="218" w:lineRule="auto"/>
              <w:ind w:left="399" w:right="164" w:hanging="21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效果显</w:t>
            </w:r>
            <w:r>
              <w:rPr>
                <w:sz w:val="22"/>
                <w:szCs w:val="22"/>
              </w:rPr>
              <w:t xml:space="preserve"> 著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154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83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183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7"/>
              <w:spacing w:before="164" w:line="218" w:lineRule="auto"/>
              <w:ind w:left="142" w:right="134" w:firstLine="10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满意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度指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6"/>
                <w:w w:val="125"/>
                <w:sz w:val="22"/>
                <w:szCs w:val="22"/>
              </w:rPr>
              <w:t>标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21" w:line="218" w:lineRule="auto"/>
              <w:ind w:left="14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服务对象</w:t>
            </w:r>
          </w:p>
          <w:p>
            <w:pPr>
              <w:pStyle w:val="7"/>
              <w:spacing w:before="1" w:line="218" w:lineRule="auto"/>
              <w:ind w:left="15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满意度指</w:t>
            </w:r>
          </w:p>
          <w:p>
            <w:pPr>
              <w:pStyle w:val="7"/>
              <w:spacing w:before="1" w:line="217" w:lineRule="auto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282" w:line="218" w:lineRule="auto"/>
              <w:ind w:left="1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群众满意度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282" w:line="237" w:lineRule="auto"/>
              <w:ind w:left="35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98%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82" w:line="237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311" w:line="182" w:lineRule="auto"/>
              <w:ind w:left="26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311" w:line="182" w:lineRule="auto"/>
              <w:ind w:left="237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29" w:type="dxa"/>
            <w:gridSpan w:val="5"/>
            <w:vAlign w:val="top"/>
          </w:tcPr>
          <w:p>
            <w:pPr>
              <w:pStyle w:val="7"/>
              <w:spacing w:before="23" w:line="219" w:lineRule="auto"/>
              <w:ind w:left="312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总分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7"/>
              <w:spacing w:before="51" w:line="182" w:lineRule="auto"/>
              <w:ind w:left="26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51" w:line="182" w:lineRule="auto"/>
              <w:ind w:left="23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90</w:t>
            </w:r>
          </w:p>
        </w:tc>
      </w:tr>
    </w:tbl>
    <w:p>
      <w:pPr>
        <w:pStyle w:val="2"/>
        <w:spacing w:line="320" w:lineRule="auto"/>
      </w:pPr>
    </w:p>
    <w:p>
      <w:pPr>
        <w:pStyle w:val="2"/>
        <w:spacing w:line="320" w:lineRule="auto"/>
      </w:pPr>
    </w:p>
    <w:p>
      <w:pPr>
        <w:spacing w:before="101" w:line="560" w:lineRule="exact"/>
        <w:ind w:left="78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position w:val="18"/>
          <w:sz w:val="31"/>
          <w:szCs w:val="31"/>
        </w:rPr>
        <w:t>四、绩效评价指标分析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（可附表进行分析）</w:t>
      </w:r>
    </w:p>
    <w:p>
      <w:pPr>
        <w:spacing w:line="222" w:lineRule="auto"/>
        <w:ind w:left="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一）项目决策情况。</w:t>
      </w:r>
    </w:p>
    <w:p>
      <w:pPr>
        <w:spacing w:before="184" w:line="334" w:lineRule="auto"/>
        <w:ind w:left="123" w:right="20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按照规定对提出的项目进行审查，并按有关规定纳入</w:t>
      </w:r>
      <w:r>
        <w:rPr>
          <w:rFonts w:ascii="仿宋" w:hAnsi="仿宋" w:eastAsia="仿宋" w:cs="仿宋"/>
          <w:spacing w:val="2"/>
          <w:sz w:val="31"/>
          <w:szCs w:val="31"/>
        </w:rPr>
        <w:t>工作计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划。进行可行性研究的各项工作，在研究和分析论证的基础上，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提出项目是否可行，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以及最佳方案，进行全民细致的检查、计算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和核实，写出项目预算决算报告，有关决策部门通过，完成项目</w:t>
      </w:r>
    </w:p>
    <w:p>
      <w:pPr>
        <w:spacing w:before="1" w:line="222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决策。</w:t>
      </w:r>
    </w:p>
    <w:p>
      <w:pPr>
        <w:spacing w:before="186" w:line="222" w:lineRule="auto"/>
        <w:ind w:left="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二）项目过程情况。</w:t>
      </w:r>
    </w:p>
    <w:p>
      <w:pPr>
        <w:spacing w:before="186" w:line="561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8"/>
          <w:sz w:val="31"/>
          <w:szCs w:val="31"/>
        </w:rPr>
        <w:t>1．泗州戏保护经费管理</w:t>
      </w:r>
    </w:p>
    <w:p>
      <w:pPr>
        <w:spacing w:before="1" w:line="220" w:lineRule="auto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2．泗州戏工作制度健全</w:t>
      </w:r>
    </w:p>
    <w:p>
      <w:pPr>
        <w:spacing w:before="189" w:line="221" w:lineRule="auto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3．泗州戏保护成果展示</w:t>
      </w:r>
    </w:p>
    <w:p>
      <w:pPr>
        <w:spacing w:before="189" w:line="222" w:lineRule="auto"/>
        <w:ind w:left="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（三）项目产出情况。</w:t>
      </w:r>
    </w:p>
    <w:p>
      <w:pPr>
        <w:spacing w:before="188" w:line="558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建立高效泗州戏保护机制，责任到岗、责任到人，提高泗州</w:t>
      </w:r>
    </w:p>
    <w:p>
      <w:pPr>
        <w:spacing w:before="1" w:line="227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戏人员业务水平、跟进服务质量，以达到泗州戏的传承与发展。</w:t>
      </w:r>
    </w:p>
    <w:p>
      <w:pPr>
        <w:spacing w:before="179" w:line="222" w:lineRule="auto"/>
        <w:ind w:left="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（四）项目效益情况。</w:t>
      </w:r>
    </w:p>
    <w:p>
      <w:pPr>
        <w:spacing w:line="118" w:lineRule="auto"/>
        <w:rPr>
          <w:rFonts w:ascii="Arial"/>
          <w:sz w:val="2"/>
        </w:rPr>
      </w:pPr>
    </w:p>
    <w:tbl>
      <w:tblPr>
        <w:tblStyle w:val="6"/>
        <w:tblW w:w="8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33"/>
        <w:gridCol w:w="3117"/>
        <w:gridCol w:w="991"/>
        <w:gridCol w:w="850"/>
        <w:gridCol w:w="709"/>
        <w:gridCol w:w="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13" w:type="dxa"/>
            <w:vAlign w:val="top"/>
          </w:tcPr>
          <w:p>
            <w:pPr>
              <w:pStyle w:val="7"/>
              <w:spacing w:before="154" w:line="218" w:lineRule="auto"/>
              <w:ind w:left="151" w:right="133" w:firstLine="11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一级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指标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284" w:line="218" w:lineRule="auto"/>
              <w:ind w:left="15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二级指标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284" w:line="218" w:lineRule="auto"/>
              <w:ind w:left="115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三级指标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154" w:line="218" w:lineRule="auto"/>
              <w:ind w:left="287" w:right="164" w:hanging="10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年度指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标值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5" w:line="218" w:lineRule="auto"/>
              <w:ind w:left="22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实际</w:t>
            </w:r>
          </w:p>
          <w:p>
            <w:pPr>
              <w:pStyle w:val="7"/>
              <w:spacing w:line="217" w:lineRule="auto"/>
              <w:ind w:left="23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完成</w:t>
            </w:r>
          </w:p>
          <w:p>
            <w:pPr>
              <w:pStyle w:val="7"/>
              <w:spacing w:line="195" w:lineRule="auto"/>
              <w:ind w:lef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值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284" w:line="219" w:lineRule="auto"/>
              <w:ind w:left="15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分值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284" w:line="218" w:lineRule="auto"/>
              <w:ind w:left="1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得分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1906" w:h="16839"/>
          <w:pgMar w:top="1431" w:right="1503" w:bottom="1873" w:left="1475" w:header="0" w:footer="1597" w:gutter="0"/>
          <w:cols w:space="720" w:num="1"/>
        </w:sectPr>
      </w:pPr>
    </w:p>
    <w:p>
      <w:pPr>
        <w:spacing w:before="120"/>
      </w:pPr>
    </w:p>
    <w:p>
      <w:pPr>
        <w:spacing w:before="120"/>
      </w:pPr>
    </w:p>
    <w:tbl>
      <w:tblPr>
        <w:tblStyle w:val="6"/>
        <w:tblW w:w="8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33"/>
        <w:gridCol w:w="3117"/>
        <w:gridCol w:w="991"/>
        <w:gridCol w:w="850"/>
        <w:gridCol w:w="709"/>
        <w:gridCol w:w="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8" w:lineRule="auto"/>
              <w:ind w:left="140" w:right="133" w:firstLine="14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效益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指标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（30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分）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238" w:line="185" w:lineRule="auto"/>
              <w:ind w:left="358" w:right="131" w:hanging="21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社会效益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81" w:line="218" w:lineRule="auto"/>
              <w:ind w:left="127" w:right="219" w:hanging="1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提升群众对非物质文化遗产知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晓的影响程度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81" w:line="218" w:lineRule="auto"/>
              <w:ind w:left="400" w:right="164" w:hanging="21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效果显</w:t>
            </w:r>
            <w:r>
              <w:rPr>
                <w:sz w:val="22"/>
                <w:szCs w:val="22"/>
              </w:rPr>
              <w:t xml:space="preserve"> 著</w:t>
            </w:r>
          </w:p>
        </w:tc>
        <w:tc>
          <w:tcPr>
            <w:tcW w:w="850" w:type="dxa"/>
            <w:vAlign w:val="top"/>
          </w:tcPr>
          <w:p>
            <w:pPr>
              <w:pStyle w:val="7"/>
              <w:spacing w:before="210" w:line="237" w:lineRule="auto"/>
              <w:ind w:left="2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238" w:line="182" w:lineRule="auto"/>
              <w:ind w:left="27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650" w:type="dxa"/>
            <w:vAlign w:val="top"/>
          </w:tcPr>
          <w:p>
            <w:pPr>
              <w:pStyle w:val="7"/>
              <w:spacing w:before="238" w:line="182" w:lineRule="auto"/>
              <w:ind w:left="23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5" w:lineRule="auto"/>
              <w:ind w:left="257" w:right="131" w:hanging="10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可持续影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响指标</w:t>
            </w:r>
          </w:p>
        </w:tc>
        <w:tc>
          <w:tcPr>
            <w:tcW w:w="3117" w:type="dxa"/>
            <w:vAlign w:val="top"/>
          </w:tcPr>
          <w:p>
            <w:pPr>
              <w:pStyle w:val="7"/>
              <w:spacing w:before="185" w:line="219" w:lineRule="auto"/>
              <w:ind w:left="123" w:right="222" w:hanging="1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提高人民群众对泗州戏知晓的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可持续影响程度</w:t>
            </w:r>
          </w:p>
        </w:tc>
        <w:tc>
          <w:tcPr>
            <w:tcW w:w="991" w:type="dxa"/>
            <w:vAlign w:val="top"/>
          </w:tcPr>
          <w:p>
            <w:pPr>
              <w:pStyle w:val="7"/>
              <w:spacing w:before="186" w:line="219" w:lineRule="auto"/>
              <w:ind w:left="400" w:right="164" w:hanging="21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效果显</w:t>
            </w:r>
            <w:r>
              <w:rPr>
                <w:sz w:val="22"/>
                <w:szCs w:val="22"/>
              </w:rPr>
              <w:t xml:space="preserve"> 著</w:t>
            </w:r>
          </w:p>
        </w:tc>
        <w:tc>
          <w:tcPr>
            <w:tcW w:w="8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7" w:lineRule="auto"/>
              <w:ind w:left="2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7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65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182" w:lineRule="auto"/>
              <w:ind w:left="23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713" w:type="dxa"/>
            <w:vAlign w:val="top"/>
          </w:tcPr>
          <w:p>
            <w:pPr>
              <w:pStyle w:val="7"/>
              <w:spacing w:before="48" w:line="218" w:lineRule="auto"/>
              <w:ind w:left="140" w:right="133" w:firstLine="17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满意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度指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3"/>
                <w:w w:val="125"/>
                <w:sz w:val="22"/>
                <w:szCs w:val="22"/>
              </w:rPr>
              <w:t>标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（10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分）</w:t>
            </w:r>
          </w:p>
        </w:tc>
        <w:tc>
          <w:tcPr>
            <w:tcW w:w="1133" w:type="dxa"/>
            <w:vAlign w:val="top"/>
          </w:tcPr>
          <w:p>
            <w:pPr>
              <w:pStyle w:val="7"/>
              <w:spacing w:before="165" w:line="218" w:lineRule="auto"/>
              <w:ind w:left="14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服务对象</w:t>
            </w:r>
          </w:p>
          <w:p>
            <w:pPr>
              <w:pStyle w:val="7"/>
              <w:spacing w:line="217" w:lineRule="auto"/>
              <w:ind w:left="15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满意度指</w:t>
            </w:r>
          </w:p>
          <w:p>
            <w:pPr>
              <w:pStyle w:val="7"/>
              <w:spacing w:before="1" w:line="217" w:lineRule="auto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</w:t>
            </w:r>
          </w:p>
        </w:tc>
        <w:tc>
          <w:tcPr>
            <w:tcW w:w="311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8" w:lineRule="auto"/>
              <w:ind w:left="11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群众满意度</w:t>
            </w:r>
          </w:p>
        </w:tc>
        <w:tc>
          <w:tcPr>
            <w:tcW w:w="99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7" w:lineRule="auto"/>
              <w:ind w:left="353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98%</w:t>
            </w:r>
          </w:p>
        </w:tc>
        <w:tc>
          <w:tcPr>
            <w:tcW w:w="85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37" w:lineRule="auto"/>
              <w:ind w:left="232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270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65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182" w:lineRule="auto"/>
              <w:ind w:left="238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</w:tr>
    </w:tbl>
    <w:p>
      <w:pPr>
        <w:spacing w:before="175" w:line="227" w:lineRule="auto"/>
        <w:ind w:left="7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五、主要经验及做法</w:t>
      </w:r>
    </w:p>
    <w:p>
      <w:pPr>
        <w:spacing w:before="179" w:line="561" w:lineRule="exact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1．建立健全文化专项经费管理的机构和人员，做到分工明</w:t>
      </w:r>
    </w:p>
    <w:p>
      <w:pPr>
        <w:spacing w:before="1" w:line="224" w:lineRule="auto"/>
        <w:ind w:left="1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确。</w:t>
      </w:r>
    </w:p>
    <w:p>
      <w:pPr>
        <w:spacing w:before="182" w:line="559" w:lineRule="exact"/>
        <w:ind w:left="7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2．建立健全文化专项经费管理制度，严格执行相关管理制</w:t>
      </w:r>
    </w:p>
    <w:p>
      <w:pPr>
        <w:spacing w:before="1" w:line="220" w:lineRule="auto"/>
        <w:ind w:left="1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度，相关资料齐全并及时归档。</w:t>
      </w:r>
    </w:p>
    <w:p>
      <w:pPr>
        <w:spacing w:before="191" w:line="559" w:lineRule="exact"/>
        <w:ind w:left="7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3．项目实施及效果跟踪管理、项目资金绩效管理的力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度不</w:t>
      </w:r>
    </w:p>
    <w:p>
      <w:pPr>
        <w:spacing w:line="221" w:lineRule="auto"/>
        <w:ind w:left="1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断加大，较好地发挥了项目效益，保质保量完</w:t>
      </w:r>
      <w:r>
        <w:rPr>
          <w:rFonts w:ascii="仿宋" w:hAnsi="仿宋" w:eastAsia="仿宋" w:cs="仿宋"/>
          <w:spacing w:val="2"/>
          <w:sz w:val="31"/>
          <w:szCs w:val="31"/>
        </w:rPr>
        <w:t>成了目标任务。</w:t>
      </w:r>
    </w:p>
    <w:p>
      <w:pPr>
        <w:spacing w:before="189" w:line="561" w:lineRule="exact"/>
        <w:ind w:left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4．专项资金均按计划拨付、使用，支出依据合规，无虚列</w:t>
      </w:r>
    </w:p>
    <w:p>
      <w:pPr>
        <w:spacing w:before="1" w:line="222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项目支出情况，无超标准开支情况。</w:t>
      </w:r>
    </w:p>
    <w:p>
      <w:pPr>
        <w:spacing w:before="185" w:line="334" w:lineRule="auto"/>
        <w:ind w:left="12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5．资金管理制度较健全，项目资料齐全，有申报表及申报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依据、预算明细表、专项支出预算绩效目标表、收付款原始凭证、</w:t>
      </w:r>
    </w:p>
    <w:p>
      <w:pPr>
        <w:spacing w:line="220" w:lineRule="auto"/>
        <w:ind w:left="1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活动总结及汇报材料等。</w:t>
      </w:r>
    </w:p>
    <w:p>
      <w:pPr>
        <w:spacing w:before="188" w:line="227" w:lineRule="auto"/>
        <w:ind w:left="7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六、存在问题及原因分析</w:t>
      </w:r>
    </w:p>
    <w:p>
      <w:pPr>
        <w:spacing w:before="180" w:line="221" w:lineRule="auto"/>
        <w:ind w:left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泗州戏保护项目用途和范围不够全面，受众面不够广。</w:t>
      </w:r>
    </w:p>
    <w:p>
      <w:pPr>
        <w:spacing w:before="189" w:line="227" w:lineRule="auto"/>
        <w:ind w:left="7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七、有关建议</w:t>
      </w:r>
    </w:p>
    <w:p>
      <w:pPr>
        <w:spacing w:before="180" w:line="220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1．大力提高文化工作地位，把文化和旅游局工作纳于年终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431" w:bottom="1873" w:left="1475" w:header="0" w:footer="1597" w:gutter="0"/>
          <w:cols w:space="720" w:num="1"/>
        </w:sectPr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01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考核体系，将平时考核和年底考核有机结合。只有这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样才能使《科</w:t>
      </w:r>
    </w:p>
    <w:p>
      <w:pPr>
        <w:spacing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普法》的贯彻实施不流于形式，收到实际的效果。</w:t>
      </w:r>
    </w:p>
    <w:p>
      <w:pPr>
        <w:spacing w:before="188" w:line="333" w:lineRule="auto"/>
        <w:ind w:left="1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2．加大对文化经费的投入。一是财政按上级要求和标准将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文化经费投入到位，要建立文化和旅游局文化专项经费增长与财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政收入同步增长的机制，将文化设施建设、维护、管理运行费用</w:t>
      </w:r>
    </w:p>
    <w:p>
      <w:pPr>
        <w:spacing w:before="1" w:line="221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纳入财政预算安排，为活动开展提供资金支持。</w:t>
      </w:r>
    </w:p>
    <w:p>
      <w:pPr>
        <w:spacing w:before="189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3．要加强队伍建设。要加强文化队伍建设，搞好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培训，制</w:t>
      </w:r>
    </w:p>
    <w:p>
      <w:pPr>
        <w:spacing w:line="220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定完善管理办法，落实工作责任和相应的激励措施。</w:t>
      </w:r>
    </w:p>
    <w:p>
      <w:pPr>
        <w:spacing w:before="188" w:line="562" w:lineRule="exact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8"/>
          <w:sz w:val="31"/>
          <w:szCs w:val="31"/>
        </w:rPr>
        <w:t>八、其他需要说明的问题</w:t>
      </w:r>
    </w:p>
    <w:p>
      <w:pPr>
        <w:spacing w:before="1" w:line="23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无</w:t>
      </w:r>
    </w:p>
    <w:sectPr>
      <w:footerReference r:id="rId20" w:type="default"/>
      <w:pgSz w:w="11906" w:h="16839"/>
      <w:pgMar w:top="1431" w:right="1524" w:bottom="1873" w:left="1597" w:header="0" w:footer="15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F6618A-B00C-4ABA-A01E-DF3E722C255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A055A2-0628-411A-9501-6F14D5BE96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E645DD-029E-4A0C-B4E4-64B3EF1112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0902FFD-1DC5-4CBD-8832-569F5B6546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0EAD3B8-2DA0-44B9-BE22-AA4E673DED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228"/>
      <w:rPr>
        <w:rFonts w:ascii="仿宋" w:hAnsi="仿宋" w:eastAsia="仿宋" w:cs="仿宋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23"/>
      <w:rPr>
        <w:rFonts w:ascii="仿宋" w:hAnsi="仿宋" w:eastAsia="仿宋" w:cs="仿宋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49"/>
      <w:rPr>
        <w:rFonts w:ascii="仿宋" w:hAnsi="仿宋" w:eastAsia="仿宋" w:cs="仿宋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49"/>
      <w:rPr>
        <w:rFonts w:ascii="仿宋" w:hAnsi="仿宋" w:eastAsia="仿宋" w:cs="仿宋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5"/>
      <w:jc w:val="right"/>
      <w:rPr>
        <w:rFonts w:ascii="仿宋" w:hAnsi="仿宋" w:eastAsia="仿宋" w:cs="仿宋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25"/>
      <w:jc w:val="right"/>
      <w:rPr>
        <w:rFonts w:ascii="仿宋" w:hAnsi="仿宋" w:eastAsia="仿宋" w:cs="仿宋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49"/>
      <w:rPr>
        <w:rFonts w:ascii="仿宋" w:hAnsi="仿宋" w:eastAsia="仿宋" w:cs="仿宋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4"/>
      <w:jc w:val="right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UyM2EyM2UwN2M0NzgyZDQ5NjQ0NGNjM2VmOTc2MmEifQ=="/>
  </w:docVars>
  <w:rsids>
    <w:rsidRoot w:val="00000000"/>
    <w:rsid w:val="02F87301"/>
    <w:rsid w:val="066B5CCB"/>
    <w:rsid w:val="07852DBD"/>
    <w:rsid w:val="0F4946D0"/>
    <w:rsid w:val="146855F8"/>
    <w:rsid w:val="19DD70C1"/>
    <w:rsid w:val="245416F5"/>
    <w:rsid w:val="359D4003"/>
    <w:rsid w:val="37405B09"/>
    <w:rsid w:val="39E3559D"/>
    <w:rsid w:val="42152716"/>
    <w:rsid w:val="431C742A"/>
    <w:rsid w:val="55867C4F"/>
    <w:rsid w:val="5D814602"/>
    <w:rsid w:val="619A05C2"/>
    <w:rsid w:val="63E63410"/>
    <w:rsid w:val="67595C50"/>
    <w:rsid w:val="68C63810"/>
    <w:rsid w:val="68D979E8"/>
    <w:rsid w:val="68DC4DE2"/>
    <w:rsid w:val="6FEE1FCA"/>
    <w:rsid w:val="74C74B98"/>
    <w:rsid w:val="77AE3DED"/>
    <w:rsid w:val="77C47AB5"/>
    <w:rsid w:val="783267CC"/>
    <w:rsid w:val="7ADD0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2023-10-07T09:07:00Z</dcterms:created>
  <dc:creator>杨丽</dc:creator>
  <cp:lastModifiedBy>泗县文化馆</cp:lastModifiedBy>
  <dcterms:modified xsi:type="dcterms:W3CDTF">2023-12-20T07:51:07Z</dcterms:modified>
  <dc:title>财〔2002〕号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2023-12-18T15:32:18Z</vt:filetime>
  </property>
  <property fmtid="{D5CDD505-2E9C-101B-9397-08002B2CF9AE}" pid="4" name="KSOProductBuildVer">
    <vt:lpwstr>2052-12.1.0.15990</vt:lpwstr>
  </property>
  <property fmtid="{D5CDD505-2E9C-101B-9397-08002B2CF9AE}" pid="5" name="ICV">
    <vt:lpwstr>39CD4628B7774018AC6AA1B93F8F21BE_13</vt:lpwstr>
  </property>
</Properties>
</file>