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Cs/>
          <w:sz w:val="32"/>
          <w:szCs w:val="32"/>
        </w:rPr>
      </w:pPr>
    </w:p>
    <w:p>
      <w:pPr>
        <w:rPr>
          <w:rFonts w:ascii="黑体" w:hAnsi="黑体" w:eastAsia="黑体" w:cs="黑体"/>
          <w:bCs/>
          <w:sz w:val="32"/>
          <w:szCs w:val="32"/>
        </w:rPr>
      </w:pPr>
    </w:p>
    <w:p>
      <w:pPr>
        <w:jc w:val="center"/>
        <w:rPr>
          <w:rFonts w:ascii="宋体" w:hAnsi="宋体" w:eastAsia="仿宋_GB2312" w:cs="Times New Roman"/>
          <w:b/>
          <w:sz w:val="36"/>
          <w:szCs w:val="36"/>
        </w:rPr>
      </w:pPr>
      <w:r>
        <w:rPr>
          <w:rFonts w:hint="eastAsia" w:ascii="宋体" w:hAnsi="宋体" w:eastAsia="仿宋_GB2312" w:cs="Times New Roman"/>
          <w:b/>
          <w:sz w:val="36"/>
          <w:szCs w:val="36"/>
        </w:rPr>
        <w:t>宿州市泗县</w:t>
      </w:r>
      <w:r>
        <w:rPr>
          <w:rFonts w:hint="eastAsia" w:ascii="宋体" w:hAnsi="宋体" w:eastAsia="仿宋_GB2312" w:cs="Times New Roman"/>
          <w:b/>
          <w:sz w:val="36"/>
          <w:szCs w:val="36"/>
          <w:lang w:eastAsia="zh-CN"/>
        </w:rPr>
        <w:t>文学艺术界联合会</w:t>
      </w:r>
      <w:r>
        <w:rPr>
          <w:rFonts w:hint="eastAsia" w:ascii="宋体" w:hAnsi="宋体" w:eastAsia="仿宋_GB2312" w:cs="Times New Roman"/>
          <w:b/>
          <w:sz w:val="36"/>
          <w:szCs w:val="36"/>
        </w:rPr>
        <w:t>2021</w:t>
      </w:r>
      <w:r>
        <w:rPr>
          <w:rFonts w:ascii="宋体" w:hAnsi="宋体" w:eastAsia="仿宋_GB2312" w:cs="Times New Roman"/>
          <w:b/>
          <w:sz w:val="36"/>
          <w:szCs w:val="36"/>
        </w:rPr>
        <w:t>年</w:t>
      </w:r>
      <w:r>
        <w:rPr>
          <w:rFonts w:hint="eastAsia" w:ascii="宋体" w:hAnsi="宋体" w:eastAsia="仿宋_GB2312" w:cs="Times New Roman"/>
          <w:b/>
          <w:sz w:val="36"/>
          <w:szCs w:val="36"/>
        </w:rPr>
        <w:t>度一般公共预算财政拨款</w:t>
      </w:r>
      <w:r>
        <w:rPr>
          <w:rFonts w:ascii="宋体" w:hAnsi="宋体" w:eastAsia="仿宋_GB2312" w:cs="Times New Roman"/>
          <w:b/>
          <w:sz w:val="36"/>
          <w:szCs w:val="36"/>
        </w:rPr>
        <w:t>“三公</w:t>
      </w:r>
      <w:r>
        <w:rPr>
          <w:rFonts w:hint="eastAsia" w:ascii="宋体" w:hAnsi="宋体" w:eastAsia="仿宋_GB2312" w:cs="Times New Roman"/>
          <w:b/>
          <w:sz w:val="36"/>
          <w:szCs w:val="36"/>
        </w:rPr>
        <w:t>”</w:t>
      </w:r>
      <w:r>
        <w:rPr>
          <w:rFonts w:ascii="宋体" w:hAnsi="宋体" w:eastAsia="仿宋_GB2312" w:cs="Times New Roman"/>
          <w:b/>
          <w:sz w:val="36"/>
          <w:szCs w:val="36"/>
        </w:rPr>
        <w:t>经费</w:t>
      </w:r>
      <w:r>
        <w:rPr>
          <w:rFonts w:hint="eastAsia" w:ascii="宋体" w:hAnsi="宋体" w:eastAsia="仿宋_GB2312" w:cs="Times New Roman"/>
          <w:b/>
          <w:sz w:val="36"/>
          <w:szCs w:val="36"/>
        </w:rPr>
        <w:t>支出决算</w:t>
      </w:r>
    </w:p>
    <w:p>
      <w:pPr>
        <w:jc w:val="center"/>
        <w:rPr>
          <w:rFonts w:ascii="楷体_GB2312" w:hAnsi="Times New Roman" w:eastAsia="楷体_GB2312" w:cs="Times New Roman"/>
          <w:sz w:val="32"/>
          <w:szCs w:val="32"/>
        </w:rPr>
      </w:pPr>
    </w:p>
    <w:p>
      <w:pPr>
        <w:adjustRightInd w:val="0"/>
        <w:snapToGrid w:val="0"/>
        <w:spacing w:line="360" w:lineRule="auto"/>
        <w:jc w:val="center"/>
        <w:rPr>
          <w:rFonts w:ascii="宋体" w:hAnsi="宋体" w:eastAsia="仿宋_GB2312" w:cs="Times New Roman"/>
          <w:sz w:val="6"/>
          <w:szCs w:val="32"/>
        </w:rPr>
      </w:pPr>
    </w:p>
    <w:p>
      <w:pPr>
        <w:rPr>
          <w:rFonts w:ascii="黑体" w:hAnsi="黑体" w:eastAsia="黑体" w:cs="Times New Roman"/>
          <w:sz w:val="32"/>
          <w:szCs w:val="32"/>
        </w:rPr>
      </w:pPr>
      <w:r>
        <w:rPr>
          <w:rFonts w:ascii="黑体" w:hAnsi="黑体" w:eastAsia="黑体" w:cs="Times New Roman"/>
          <w:sz w:val="32"/>
          <w:szCs w:val="32"/>
        </w:rPr>
        <w:t xml:space="preserve">    </w:t>
      </w:r>
      <w:r>
        <w:rPr>
          <w:rFonts w:hint="eastAsia" w:ascii="黑体" w:hAnsi="黑体" w:eastAsia="黑体" w:cs="Times New Roman"/>
          <w:sz w:val="32"/>
          <w:szCs w:val="32"/>
        </w:rPr>
        <w:t>一、2021年度一般公共预算财政拨款“三公”经费支出决算表</w:t>
      </w:r>
    </w:p>
    <w:p>
      <w:pPr>
        <w:jc w:val="right"/>
        <w:rPr>
          <w:rFonts w:ascii="黑体" w:hAnsi="黑体" w:eastAsia="黑体" w:cs="Times New Roman"/>
          <w:sz w:val="32"/>
          <w:szCs w:val="32"/>
        </w:rPr>
      </w:pPr>
      <w:r>
        <w:rPr>
          <w:rFonts w:hint="eastAsia" w:ascii="仿宋_GB2312" w:hAnsi="仿宋_GB2312" w:eastAsia="仿宋_GB2312" w:cs="仿宋_GB2312"/>
          <w:sz w:val="32"/>
          <w:szCs w:val="32"/>
        </w:rPr>
        <w:t>单位：万元</w:t>
      </w:r>
    </w:p>
    <w:tbl>
      <w:tblPr>
        <w:tblStyle w:val="5"/>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仿宋_GB2312" w:cs="宋体"/>
                <w:b/>
                <w:bCs/>
                <w:kern w:val="0"/>
                <w:sz w:val="32"/>
                <w:szCs w:val="21"/>
              </w:rPr>
            </w:pPr>
            <w:r>
              <w:rPr>
                <w:rFonts w:hint="eastAsia" w:ascii="宋体" w:hAnsi="宋体" w:eastAsia="仿宋_GB2312" w:cs="宋体"/>
                <w:b/>
                <w:bCs/>
                <w:kern w:val="0"/>
                <w:sz w:val="32"/>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仿宋_GB2312" w:cs="宋体"/>
                <w:b/>
                <w:bCs/>
                <w:kern w:val="0"/>
                <w:sz w:val="32"/>
                <w:szCs w:val="21"/>
              </w:rPr>
            </w:pPr>
            <w:r>
              <w:rPr>
                <w:rFonts w:hint="eastAsia" w:ascii="宋体" w:hAnsi="宋体" w:eastAsia="仿宋_GB2312" w:cs="宋体"/>
                <w:b/>
                <w:bCs/>
                <w:kern w:val="0"/>
                <w:sz w:val="32"/>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仿宋_GB2312" w:cs="宋体"/>
                <w:b/>
                <w:bCs/>
                <w:kern w:val="0"/>
                <w:sz w:val="32"/>
                <w:szCs w:val="21"/>
              </w:rPr>
            </w:pPr>
            <w:r>
              <w:rPr>
                <w:rFonts w:hint="eastAsia" w:ascii="宋体" w:hAnsi="宋体" w:eastAsia="仿宋_GB2312" w:cs="宋体"/>
                <w:b/>
                <w:bCs/>
                <w:kern w:val="0"/>
                <w:sz w:val="32"/>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仿宋_GB2312" w:cs="宋体"/>
                <w:b/>
                <w:bCs/>
                <w:kern w:val="0"/>
                <w:sz w:val="32"/>
                <w:szCs w:val="21"/>
              </w:rPr>
            </w:pPr>
            <w:r>
              <w:rPr>
                <w:rFonts w:hint="eastAsia" w:ascii="宋体" w:hAnsi="宋体" w:eastAsia="仿宋_GB2312" w:cs="宋体"/>
                <w:b/>
                <w:bCs/>
                <w:kern w:val="0"/>
                <w:sz w:val="32"/>
                <w:szCs w:val="21"/>
              </w:rPr>
              <w:t>合  计</w:t>
            </w:r>
          </w:p>
        </w:tc>
        <w:tc>
          <w:tcPr>
            <w:tcW w:w="2157" w:type="dxa"/>
            <w:tcBorders>
              <w:top w:val="nil"/>
              <w:left w:val="nil"/>
              <w:bottom w:val="single" w:color="auto" w:sz="4" w:space="0"/>
              <w:right w:val="single" w:color="auto" w:sz="4" w:space="0"/>
            </w:tcBorders>
            <w:vAlign w:val="center"/>
          </w:tcPr>
          <w:p>
            <w:pPr>
              <w:widowControl/>
              <w:ind w:firstLine="321" w:firstLineChars="100"/>
              <w:jc w:val="both"/>
              <w:rPr>
                <w:rFonts w:hint="default" w:ascii="宋体" w:hAnsi="宋体" w:eastAsia="仿宋_GB2312" w:cs="宋体"/>
                <w:b/>
                <w:bCs/>
                <w:kern w:val="0"/>
                <w:sz w:val="32"/>
                <w:szCs w:val="21"/>
                <w:lang w:val="en-US" w:eastAsia="zh-CN"/>
              </w:rPr>
            </w:pPr>
            <w:r>
              <w:rPr>
                <w:rFonts w:hint="eastAsia" w:ascii="宋体" w:hAnsi="宋体" w:eastAsia="仿宋_GB2312" w:cs="宋体"/>
                <w:b/>
                <w:bCs/>
                <w:kern w:val="0"/>
                <w:sz w:val="32"/>
                <w:szCs w:val="21"/>
                <w:lang w:val="en-US" w:eastAsia="zh-CN"/>
              </w:rPr>
              <w:t>0.00</w:t>
            </w:r>
          </w:p>
        </w:tc>
        <w:tc>
          <w:tcPr>
            <w:tcW w:w="2220" w:type="dxa"/>
            <w:tcBorders>
              <w:top w:val="nil"/>
              <w:left w:val="nil"/>
              <w:bottom w:val="single" w:color="auto" w:sz="4" w:space="0"/>
              <w:right w:val="single" w:color="auto" w:sz="4" w:space="0"/>
            </w:tcBorders>
            <w:vAlign w:val="center"/>
          </w:tcPr>
          <w:p>
            <w:pPr>
              <w:widowControl/>
              <w:ind w:firstLine="321" w:firstLineChars="100"/>
              <w:jc w:val="both"/>
              <w:rPr>
                <w:rFonts w:ascii="宋体" w:hAnsi="宋体" w:eastAsia="仿宋_GB2312" w:cs="宋体"/>
                <w:b/>
                <w:bCs/>
                <w:kern w:val="0"/>
                <w:sz w:val="32"/>
                <w:szCs w:val="21"/>
              </w:rPr>
            </w:pPr>
            <w:r>
              <w:rPr>
                <w:rFonts w:hint="eastAsia" w:ascii="宋体" w:hAnsi="宋体" w:eastAsia="仿宋_GB2312" w:cs="宋体"/>
                <w:b/>
                <w:bCs/>
                <w:kern w:val="0"/>
                <w:sz w:val="32"/>
                <w:szCs w:val="21"/>
                <w:lang w:val="en-US" w:eastAsia="zh-CN"/>
              </w:rPr>
              <w:t>0.00</w:t>
            </w:r>
            <w:r>
              <w:rPr>
                <w:rFonts w:hint="eastAsia" w:ascii="宋体" w:hAnsi="宋体" w:eastAsia="仿宋_GB2312" w:cs="宋体"/>
                <w:b/>
                <w:bCs/>
                <w:kern w:val="0"/>
                <w:sz w:val="32"/>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32"/>
                <w:szCs w:val="21"/>
              </w:rPr>
            </w:pPr>
            <w:r>
              <w:rPr>
                <w:rFonts w:hint="eastAsia" w:ascii="宋体" w:hAnsi="宋体" w:eastAsia="仿宋_GB2312" w:cs="宋体"/>
                <w:kern w:val="0"/>
                <w:sz w:val="32"/>
                <w:szCs w:val="21"/>
              </w:rPr>
              <w:t>因公出国（境）费</w:t>
            </w:r>
          </w:p>
        </w:tc>
        <w:tc>
          <w:tcPr>
            <w:tcW w:w="2157" w:type="dxa"/>
            <w:tcBorders>
              <w:top w:val="nil"/>
              <w:left w:val="nil"/>
              <w:bottom w:val="single" w:color="auto" w:sz="4" w:space="0"/>
              <w:right w:val="single" w:color="auto" w:sz="4" w:space="0"/>
            </w:tcBorders>
            <w:vAlign w:val="bottom"/>
          </w:tcPr>
          <w:p>
            <w:pPr>
              <w:widowControl/>
              <w:jc w:val="left"/>
              <w:rPr>
                <w:rFonts w:ascii="宋体" w:hAnsi="宋体" w:eastAsia="仿宋_GB2312" w:cs="宋体"/>
                <w:kern w:val="0"/>
                <w:sz w:val="32"/>
                <w:szCs w:val="21"/>
              </w:rPr>
            </w:pPr>
            <w:r>
              <w:rPr>
                <w:rFonts w:hint="eastAsia" w:ascii="宋体" w:hAnsi="宋体" w:eastAsia="仿宋_GB2312" w:cs="宋体"/>
                <w:kern w:val="0"/>
                <w:sz w:val="32"/>
                <w:szCs w:val="21"/>
              </w:rPr>
              <w:t>　0.00</w:t>
            </w:r>
          </w:p>
        </w:tc>
        <w:tc>
          <w:tcPr>
            <w:tcW w:w="2220"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 w:val="32"/>
                <w:szCs w:val="21"/>
                <w:lang w:val="en-US" w:eastAsia="zh-CN"/>
              </w:rPr>
            </w:pPr>
            <w:r>
              <w:rPr>
                <w:rFonts w:hint="eastAsia" w:ascii="宋体" w:hAnsi="宋体" w:eastAsia="仿宋_GB2312" w:cs="宋体"/>
                <w:kern w:val="0"/>
                <w:sz w:val="32"/>
                <w:szCs w:val="21"/>
              </w:rPr>
              <w:t>　</w:t>
            </w:r>
            <w:r>
              <w:rPr>
                <w:rFonts w:hint="eastAsia" w:ascii="宋体" w:hAnsi="宋体" w:eastAsia="仿宋_GB2312" w:cs="宋体"/>
                <w:kern w:val="0"/>
                <w:sz w:val="32"/>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32"/>
                <w:szCs w:val="21"/>
              </w:rPr>
            </w:pPr>
            <w:r>
              <w:rPr>
                <w:rFonts w:hint="eastAsia" w:ascii="宋体" w:hAnsi="宋体" w:eastAsia="仿宋_GB2312" w:cs="宋体"/>
                <w:kern w:val="0"/>
                <w:sz w:val="32"/>
                <w:szCs w:val="21"/>
              </w:rPr>
              <w:t>公务接待费</w:t>
            </w:r>
          </w:p>
        </w:tc>
        <w:tc>
          <w:tcPr>
            <w:tcW w:w="2157"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 w:val="32"/>
                <w:szCs w:val="21"/>
                <w:lang w:val="en-US" w:eastAsia="zh-CN"/>
              </w:rPr>
            </w:pPr>
            <w:r>
              <w:rPr>
                <w:rFonts w:hint="eastAsia" w:ascii="宋体" w:hAnsi="宋体" w:eastAsia="仿宋_GB2312" w:cs="宋体"/>
                <w:kern w:val="0"/>
                <w:sz w:val="32"/>
                <w:szCs w:val="21"/>
              </w:rPr>
              <w:t>　</w:t>
            </w:r>
            <w:r>
              <w:rPr>
                <w:rFonts w:hint="eastAsia" w:ascii="宋体" w:hAnsi="宋体" w:eastAsia="仿宋_GB2312" w:cs="宋体"/>
                <w:kern w:val="0"/>
                <w:sz w:val="32"/>
                <w:szCs w:val="21"/>
                <w:lang w:val="en-US" w:eastAsia="zh-CN"/>
              </w:rPr>
              <w:t>0.00</w:t>
            </w:r>
          </w:p>
        </w:tc>
        <w:tc>
          <w:tcPr>
            <w:tcW w:w="2220"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 w:val="32"/>
                <w:szCs w:val="21"/>
                <w:lang w:val="en-US" w:eastAsia="zh-CN"/>
              </w:rPr>
            </w:pPr>
            <w:r>
              <w:rPr>
                <w:rFonts w:hint="eastAsia" w:ascii="宋体" w:hAnsi="宋体" w:eastAsia="仿宋_GB2312" w:cs="宋体"/>
                <w:kern w:val="0"/>
                <w:sz w:val="32"/>
                <w:szCs w:val="21"/>
              </w:rPr>
              <w:t>　</w:t>
            </w:r>
            <w:r>
              <w:rPr>
                <w:rFonts w:hint="eastAsia" w:ascii="宋体" w:hAnsi="宋体" w:eastAsia="仿宋_GB2312" w:cs="宋体"/>
                <w:kern w:val="0"/>
                <w:sz w:val="32"/>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32"/>
                <w:szCs w:val="21"/>
              </w:rPr>
            </w:pPr>
            <w:r>
              <w:rPr>
                <w:rFonts w:hint="eastAsia" w:ascii="宋体" w:hAnsi="宋体" w:eastAsia="仿宋_GB2312" w:cs="宋体"/>
                <w:kern w:val="0"/>
                <w:sz w:val="32"/>
                <w:szCs w:val="21"/>
              </w:rPr>
              <w:t>公务用车购置及运行维护费</w:t>
            </w:r>
          </w:p>
        </w:tc>
        <w:tc>
          <w:tcPr>
            <w:tcW w:w="2157"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 w:val="32"/>
                <w:szCs w:val="21"/>
                <w:lang w:val="en-US" w:eastAsia="zh-CN"/>
              </w:rPr>
            </w:pPr>
            <w:r>
              <w:rPr>
                <w:rFonts w:hint="eastAsia" w:ascii="宋体" w:hAnsi="宋体" w:eastAsia="仿宋_GB2312" w:cs="宋体"/>
                <w:kern w:val="0"/>
                <w:sz w:val="32"/>
                <w:szCs w:val="21"/>
              </w:rPr>
              <w:t>　</w:t>
            </w:r>
            <w:r>
              <w:rPr>
                <w:rFonts w:hint="eastAsia" w:ascii="宋体" w:hAnsi="宋体" w:eastAsia="仿宋_GB2312" w:cs="宋体"/>
                <w:kern w:val="0"/>
                <w:sz w:val="32"/>
                <w:szCs w:val="21"/>
                <w:lang w:val="en-US" w:eastAsia="zh-CN"/>
              </w:rPr>
              <w:t>0.00</w:t>
            </w:r>
          </w:p>
        </w:tc>
        <w:tc>
          <w:tcPr>
            <w:tcW w:w="2220"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 w:val="32"/>
                <w:szCs w:val="21"/>
                <w:lang w:val="en-US" w:eastAsia="zh-CN"/>
              </w:rPr>
            </w:pPr>
            <w:r>
              <w:rPr>
                <w:rFonts w:hint="eastAsia" w:ascii="宋体" w:hAnsi="宋体" w:eastAsia="仿宋_GB2312" w:cs="宋体"/>
                <w:kern w:val="0"/>
                <w:sz w:val="32"/>
                <w:szCs w:val="21"/>
              </w:rPr>
              <w:t>　</w:t>
            </w:r>
            <w:r>
              <w:rPr>
                <w:rFonts w:hint="eastAsia" w:ascii="宋体" w:hAnsi="宋体" w:eastAsia="仿宋_GB2312" w:cs="宋体"/>
                <w:kern w:val="0"/>
                <w:sz w:val="32"/>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32"/>
                <w:szCs w:val="21"/>
              </w:rPr>
            </w:pPr>
            <w:r>
              <w:rPr>
                <w:rFonts w:hint="eastAsia" w:ascii="宋体" w:hAnsi="宋体" w:eastAsia="仿宋_GB2312" w:cs="宋体"/>
                <w:kern w:val="0"/>
                <w:sz w:val="32"/>
                <w:szCs w:val="21"/>
              </w:rPr>
              <w:t xml:space="preserve">  其中：公务用车运行维护费</w:t>
            </w:r>
          </w:p>
        </w:tc>
        <w:tc>
          <w:tcPr>
            <w:tcW w:w="2157"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 w:val="32"/>
                <w:szCs w:val="21"/>
                <w:lang w:val="en-US" w:eastAsia="zh-CN"/>
              </w:rPr>
            </w:pPr>
            <w:r>
              <w:rPr>
                <w:rFonts w:hint="eastAsia" w:ascii="宋体" w:hAnsi="宋体" w:eastAsia="仿宋_GB2312" w:cs="宋体"/>
                <w:kern w:val="0"/>
                <w:sz w:val="32"/>
                <w:szCs w:val="21"/>
              </w:rPr>
              <w:t>　</w:t>
            </w:r>
            <w:r>
              <w:rPr>
                <w:rFonts w:hint="eastAsia" w:ascii="宋体" w:hAnsi="宋体" w:eastAsia="仿宋_GB2312" w:cs="宋体"/>
                <w:kern w:val="0"/>
                <w:sz w:val="32"/>
                <w:szCs w:val="21"/>
                <w:lang w:val="en-US" w:eastAsia="zh-CN"/>
              </w:rPr>
              <w:t>0.00</w:t>
            </w:r>
          </w:p>
        </w:tc>
        <w:tc>
          <w:tcPr>
            <w:tcW w:w="2220"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 w:val="32"/>
                <w:szCs w:val="21"/>
                <w:lang w:val="en-US" w:eastAsia="zh-CN"/>
              </w:rPr>
            </w:pPr>
            <w:r>
              <w:rPr>
                <w:rFonts w:hint="eastAsia" w:ascii="宋体" w:hAnsi="宋体" w:eastAsia="仿宋_GB2312" w:cs="宋体"/>
                <w:kern w:val="0"/>
                <w:sz w:val="32"/>
                <w:szCs w:val="21"/>
              </w:rPr>
              <w:t>　</w:t>
            </w:r>
            <w:r>
              <w:rPr>
                <w:rFonts w:hint="eastAsia" w:ascii="宋体" w:hAnsi="宋体" w:eastAsia="仿宋_GB2312" w:cs="宋体"/>
                <w:kern w:val="0"/>
                <w:sz w:val="32"/>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32"/>
                <w:szCs w:val="21"/>
              </w:rPr>
            </w:pPr>
            <w:r>
              <w:rPr>
                <w:rFonts w:hint="eastAsia" w:ascii="宋体" w:hAnsi="宋体" w:eastAsia="仿宋_GB2312" w:cs="宋体"/>
                <w:kern w:val="0"/>
                <w:sz w:val="32"/>
                <w:szCs w:val="21"/>
              </w:rPr>
              <w:t xml:space="preserve">        公务用车购置费 </w:t>
            </w:r>
          </w:p>
        </w:tc>
        <w:tc>
          <w:tcPr>
            <w:tcW w:w="2157"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 w:val="32"/>
                <w:szCs w:val="21"/>
                <w:lang w:val="en-US" w:eastAsia="zh-CN"/>
              </w:rPr>
            </w:pPr>
            <w:r>
              <w:rPr>
                <w:rFonts w:hint="eastAsia" w:ascii="宋体" w:hAnsi="宋体" w:eastAsia="仿宋_GB2312" w:cs="宋体"/>
                <w:kern w:val="0"/>
                <w:sz w:val="32"/>
                <w:szCs w:val="21"/>
              </w:rPr>
              <w:t>　</w:t>
            </w:r>
            <w:r>
              <w:rPr>
                <w:rFonts w:hint="eastAsia" w:ascii="宋体" w:hAnsi="宋体" w:eastAsia="仿宋_GB2312" w:cs="宋体"/>
                <w:kern w:val="0"/>
                <w:sz w:val="32"/>
                <w:szCs w:val="21"/>
                <w:lang w:val="en-US" w:eastAsia="zh-CN"/>
              </w:rPr>
              <w:t>0.00</w:t>
            </w:r>
          </w:p>
        </w:tc>
        <w:tc>
          <w:tcPr>
            <w:tcW w:w="2220"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 w:val="32"/>
                <w:szCs w:val="21"/>
                <w:lang w:val="en-US" w:eastAsia="zh-CN"/>
              </w:rPr>
            </w:pPr>
            <w:r>
              <w:rPr>
                <w:rFonts w:hint="eastAsia" w:ascii="宋体" w:hAnsi="宋体" w:eastAsia="仿宋_GB2312" w:cs="宋体"/>
                <w:kern w:val="0"/>
                <w:sz w:val="32"/>
                <w:szCs w:val="21"/>
              </w:rPr>
              <w:t>　</w:t>
            </w:r>
            <w:r>
              <w:rPr>
                <w:rFonts w:hint="eastAsia" w:ascii="宋体" w:hAnsi="宋体" w:eastAsia="仿宋_GB2312" w:cs="宋体"/>
                <w:kern w:val="0"/>
                <w:sz w:val="32"/>
                <w:szCs w:val="21"/>
                <w:lang w:val="en-US" w:eastAsia="zh-CN"/>
              </w:rPr>
              <w:t>0.00</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                                      </w:t>
      </w:r>
    </w:p>
    <w:p>
      <w:pPr>
        <w:rPr>
          <w:rFonts w:ascii="黑体" w:hAnsi="黑体" w:eastAsia="黑体" w:cs="Times New Roman"/>
          <w:sz w:val="32"/>
          <w:szCs w:val="32"/>
        </w:rPr>
      </w:pPr>
      <w:r>
        <w:rPr>
          <w:rFonts w:ascii="黑体" w:hAnsi="黑体" w:eastAsia="黑体" w:cs="Times New Roman"/>
          <w:sz w:val="32"/>
          <w:szCs w:val="32"/>
        </w:rPr>
        <w:t xml:space="preserve">    </w:t>
      </w:r>
      <w:r>
        <w:rPr>
          <w:rFonts w:hint="eastAsia" w:ascii="黑体" w:hAnsi="黑体" w:eastAsia="黑体" w:cs="Times New Roman"/>
          <w:sz w:val="32"/>
          <w:szCs w:val="32"/>
        </w:rPr>
        <w:t>二</w:t>
      </w:r>
      <w:r>
        <w:rPr>
          <w:rFonts w:ascii="黑体" w:hAnsi="黑体" w:eastAsia="黑体" w:cs="Times New Roman"/>
          <w:sz w:val="32"/>
          <w:szCs w:val="32"/>
        </w:rPr>
        <w:t>、</w:t>
      </w:r>
      <w:r>
        <w:rPr>
          <w:rFonts w:hint="eastAsia" w:ascii="黑体" w:hAnsi="黑体" w:eastAsia="黑体" w:cs="Times New Roman"/>
          <w:sz w:val="32"/>
          <w:szCs w:val="32"/>
        </w:rPr>
        <w:t>2021</w:t>
      </w:r>
      <w:r>
        <w:rPr>
          <w:rFonts w:ascii="黑体" w:hAnsi="黑体" w:eastAsia="黑体" w:cs="Times New Roman"/>
          <w:sz w:val="32"/>
          <w:szCs w:val="32"/>
        </w:rPr>
        <w:t>年</w:t>
      </w:r>
      <w:r>
        <w:rPr>
          <w:rFonts w:hint="eastAsia" w:ascii="黑体" w:hAnsi="黑体" w:eastAsia="黑体" w:cs="Times New Roman"/>
          <w:sz w:val="32"/>
          <w:szCs w:val="32"/>
        </w:rPr>
        <w:t>度一般公共预算财政拨款“三公”经费支出</w:t>
      </w:r>
      <w:r>
        <w:rPr>
          <w:rFonts w:ascii="黑体" w:hAnsi="黑体" w:eastAsia="黑体" w:cs="Times New Roman"/>
          <w:sz w:val="32"/>
          <w:szCs w:val="32"/>
        </w:rPr>
        <w:t>情况说明</w:t>
      </w:r>
    </w:p>
    <w:p>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（一）一般公共预算财政拨款“三公”经费支出决算总体情况说明。</w:t>
      </w:r>
    </w:p>
    <w:p>
      <w:pPr>
        <w:ind w:firstLine="640" w:firstLineChars="200"/>
        <w:rPr>
          <w:rFonts w:ascii="楷体_GB2312" w:hAnsi="仿宋" w:eastAsia="楷体_GB2312" w:cs="Times New Roman"/>
          <w:sz w:val="32"/>
          <w:szCs w:val="32"/>
        </w:rPr>
      </w:pPr>
      <w:r>
        <w:rPr>
          <w:rFonts w:hint="eastAsia" w:ascii="仿宋_GB2312" w:hAnsi="仿宋" w:eastAsia="仿宋_GB2312" w:cs="Times New Roman"/>
          <w:sz w:val="32"/>
          <w:szCs w:val="32"/>
        </w:rPr>
        <w:t>宿州市泗县</w:t>
      </w:r>
      <w:r>
        <w:rPr>
          <w:rFonts w:hint="eastAsia" w:ascii="仿宋_GB2312" w:hAnsi="仿宋" w:eastAsia="仿宋_GB2312" w:cs="Times New Roman"/>
          <w:sz w:val="32"/>
          <w:szCs w:val="32"/>
          <w:lang w:eastAsia="zh-CN"/>
        </w:rPr>
        <w:t>文学艺术界联合会</w:t>
      </w:r>
      <w:r>
        <w:rPr>
          <w:rFonts w:hint="eastAsia" w:ascii="仿宋_GB2312" w:hAnsi="仿宋" w:eastAsia="仿宋_GB2312" w:cs="Times New Roman"/>
          <w:sz w:val="32"/>
          <w:szCs w:val="32"/>
        </w:rPr>
        <w:t>2021年度一般公共预算财政拨款“三公”经费支出预算为</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万元，支出决算为</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万元，决算数</w:t>
      </w:r>
      <w:r>
        <w:rPr>
          <w:rFonts w:hint="eastAsia" w:ascii="仿宋_GB2312" w:hAnsi="仿宋" w:eastAsia="仿宋_GB2312" w:cs="Times New Roman"/>
          <w:sz w:val="32"/>
          <w:szCs w:val="32"/>
          <w:lang w:val="en-US" w:eastAsia="zh-CN"/>
        </w:rPr>
        <w:t>小</w:t>
      </w:r>
      <w:r>
        <w:rPr>
          <w:rFonts w:hint="eastAsia" w:ascii="仿宋_GB2312" w:hAnsi="仿宋" w:eastAsia="仿宋_GB2312" w:cs="Times New Roman"/>
          <w:sz w:val="32"/>
          <w:szCs w:val="32"/>
        </w:rPr>
        <w:t>于预算数的主要原因是认真贯彻落实中央八项规定精神和厉行节约要求，从严控制“三公”经费支出，全年实际支出比预算有所节约。为全面反映“三公”经费支出，本次公布的“三公”经费决算为单位汇总数，包含单位本级。</w:t>
      </w:r>
    </w:p>
    <w:p>
      <w:pPr>
        <w:ind w:firstLine="643" w:firstLineChars="200"/>
        <w:rPr>
          <w:rFonts w:ascii="仿宋_GB2312" w:hAnsi="仿宋" w:eastAsia="仿宋_GB2312" w:cs="Times New Roman"/>
          <w:b/>
          <w:sz w:val="32"/>
          <w:szCs w:val="32"/>
        </w:rPr>
      </w:pPr>
      <w:r>
        <w:rPr>
          <w:rFonts w:hint="eastAsia" w:ascii="仿宋_GB2312" w:hAnsi="仿宋" w:eastAsia="仿宋_GB2312" w:cs="Times New Roman"/>
          <w:b/>
          <w:bCs/>
          <w:sz w:val="32"/>
          <w:szCs w:val="32"/>
        </w:rPr>
        <w:t>（二）</w:t>
      </w:r>
      <w:r>
        <w:rPr>
          <w:rFonts w:hint="eastAsia" w:ascii="仿宋_GB2312" w:hAnsi="仿宋" w:eastAsia="仿宋_GB2312" w:cs="Times New Roman"/>
          <w:b/>
          <w:sz w:val="32"/>
          <w:szCs w:val="32"/>
        </w:rPr>
        <w:t>一般公共预算财政拨款“三公”经费支出决算具体情况说明。</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宿州市泗县</w:t>
      </w:r>
      <w:r>
        <w:rPr>
          <w:rFonts w:hint="eastAsia" w:ascii="仿宋_GB2312" w:hAnsi="仿宋" w:eastAsia="仿宋_GB2312" w:cs="Times New Roman"/>
          <w:sz w:val="32"/>
          <w:szCs w:val="32"/>
          <w:lang w:eastAsia="zh-CN"/>
        </w:rPr>
        <w:t>文学艺术界联合会</w:t>
      </w:r>
      <w:r>
        <w:rPr>
          <w:rFonts w:hint="eastAsia" w:ascii="仿宋_GB2312" w:hAnsi="仿宋" w:eastAsia="仿宋_GB2312" w:cs="Times New Roman"/>
          <w:sz w:val="32"/>
          <w:szCs w:val="32"/>
        </w:rPr>
        <w:t>2021年度一般公共预算财政拨款“三公”经费支出决算中，因公出国（境）费支出决算</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0.0</w:t>
      </w:r>
      <w:r>
        <w:rPr>
          <w:rFonts w:hint="eastAsia" w:ascii="仿宋_GB2312" w:hAnsi="仿宋" w:eastAsia="仿宋_GB2312" w:cs="Times New Roman"/>
          <w:sz w:val="32"/>
          <w:szCs w:val="32"/>
        </w:rPr>
        <w:t>%;公务接待费支出决算</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0.0</w:t>
      </w:r>
      <w:r>
        <w:rPr>
          <w:rFonts w:hint="eastAsia" w:ascii="仿宋_GB2312" w:hAnsi="仿宋" w:eastAsia="仿宋_GB2312" w:cs="Times New Roman"/>
          <w:sz w:val="32"/>
          <w:szCs w:val="32"/>
        </w:rPr>
        <w:t>%；公务用车购置及运行维护费支出决算</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0.0</w:t>
      </w:r>
      <w:r>
        <w:rPr>
          <w:rFonts w:hint="eastAsia" w:ascii="仿宋_GB2312" w:hAnsi="仿宋" w:eastAsia="仿宋_GB2312" w:cs="Times New Roman"/>
          <w:sz w:val="32"/>
          <w:szCs w:val="32"/>
        </w:rPr>
        <w:t>%。具体情况如下：</w:t>
      </w:r>
    </w:p>
    <w:p>
      <w:pPr>
        <w:ind w:firstLine="628"/>
        <w:rPr>
          <w:rFonts w:ascii="仿宋_GB2312" w:hAnsi="仿宋" w:eastAsia="仿宋_GB2312" w:cs="Times New Roman"/>
          <w:sz w:val="32"/>
          <w:szCs w:val="32"/>
        </w:rPr>
      </w:pPr>
      <w:r>
        <w:rPr>
          <w:rFonts w:hint="eastAsia" w:ascii="仿宋_GB2312" w:hAnsi="仿宋" w:eastAsia="仿宋_GB2312" w:cs="Times New Roman"/>
          <w:b/>
          <w:bCs/>
          <w:sz w:val="32"/>
          <w:szCs w:val="32"/>
        </w:rPr>
        <w:t>1.因公出国（境）费支出</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万元，与2021年度预算相比，减少</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万元，下降</w:t>
      </w:r>
      <w:r>
        <w:rPr>
          <w:rFonts w:hint="eastAsia" w:ascii="仿宋_GB2312" w:hAnsi="仿宋" w:eastAsia="仿宋_GB2312" w:cs="Times New Roman"/>
          <w:sz w:val="32"/>
          <w:szCs w:val="32"/>
          <w:lang w:val="en-US" w:eastAsia="zh-CN"/>
        </w:rPr>
        <w:t>0.0</w:t>
      </w:r>
      <w:r>
        <w:rPr>
          <w:rFonts w:hint="eastAsia" w:ascii="仿宋_GB2312" w:hAnsi="仿宋" w:eastAsia="仿宋_GB2312" w:cs="Times New Roman"/>
          <w:sz w:val="32"/>
          <w:szCs w:val="32"/>
        </w:rPr>
        <w:t>%，原因是2021年度未安排因公出国（境）计划。故2021年宿州市泗县</w:t>
      </w:r>
      <w:r>
        <w:rPr>
          <w:rFonts w:hint="eastAsia" w:ascii="仿宋_GB2312" w:hAnsi="仿宋" w:eastAsia="仿宋_GB2312" w:cs="Times New Roman"/>
          <w:sz w:val="32"/>
          <w:szCs w:val="32"/>
          <w:lang w:val="en-US" w:eastAsia="zh-CN"/>
        </w:rPr>
        <w:t>文学艺术界联合会</w:t>
      </w:r>
      <w:r>
        <w:rPr>
          <w:rFonts w:hint="eastAsia" w:ascii="仿宋_GB2312" w:hAnsi="仿宋" w:eastAsia="仿宋_GB2312" w:cs="Times New Roman"/>
          <w:sz w:val="32"/>
          <w:szCs w:val="32"/>
        </w:rPr>
        <w:t>因公出国（境）团组</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次，累计出国（境）</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人次。该项经费根据省外办批准的因公临时出国（境）计划，按照规定标准安排。经费使用严格按照《安徽省省直党政机关因公临时出国经费管理办法》（财行〔2014〕104号）、《安徽省省直党政机关因公短期出国培训费用管理办法》（财行〔2014〕527号）等相关规定执行。</w:t>
      </w:r>
    </w:p>
    <w:p>
      <w:pPr>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2.公务接待费支出</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万元, 与2021年度预算相比，减少</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万元，下降</w:t>
      </w:r>
      <w:r>
        <w:rPr>
          <w:rFonts w:hint="eastAsia" w:ascii="仿宋_GB2312" w:hAnsi="仿宋" w:eastAsia="仿宋_GB2312" w:cs="Times New Roman"/>
          <w:sz w:val="32"/>
          <w:szCs w:val="32"/>
          <w:lang w:val="en-US" w:eastAsia="zh-CN"/>
        </w:rPr>
        <w:t>0.0</w:t>
      </w:r>
      <w:r>
        <w:rPr>
          <w:rFonts w:hint="eastAsia" w:ascii="仿宋_GB2312" w:hAnsi="仿宋" w:eastAsia="仿宋_GB2312" w:cs="Times New Roman"/>
          <w:sz w:val="32"/>
          <w:szCs w:val="32"/>
        </w:rPr>
        <w:t>%。2021年</w:t>
      </w:r>
      <w:r>
        <w:rPr>
          <w:rFonts w:hint="eastAsia" w:ascii="仿宋_GB2312" w:hAnsi="仿宋" w:eastAsia="仿宋_GB2312" w:cs="Times New Roman"/>
          <w:sz w:val="32"/>
          <w:szCs w:val="32"/>
          <w:lang w:val="en-US" w:eastAsia="zh-CN"/>
        </w:rPr>
        <w:t>宿州市泗县</w:t>
      </w:r>
      <w:r>
        <w:rPr>
          <w:rFonts w:hint="eastAsia" w:ascii="仿宋_GB2312" w:hAnsi="仿宋" w:eastAsia="仿宋_GB2312" w:cs="Times New Roman"/>
          <w:sz w:val="32"/>
          <w:szCs w:val="32"/>
          <w:lang w:eastAsia="zh-CN"/>
        </w:rPr>
        <w:t>文学艺术界联合会</w:t>
      </w:r>
      <w:r>
        <w:rPr>
          <w:rFonts w:hint="eastAsia" w:ascii="仿宋_GB2312" w:hAnsi="仿宋" w:eastAsia="仿宋_GB2312" w:cs="Times New Roman"/>
          <w:sz w:val="32"/>
          <w:szCs w:val="32"/>
        </w:rPr>
        <w:t>国内公务接待共</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批次（其中外事接待</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批次），</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人次（其中外事接待</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人次）。主要是用于外县区相关单位业务指导和工作调研等公务往来。经费使用贯彻中央八项规定</w:t>
      </w:r>
      <w:bookmarkStart w:id="0" w:name="_GoBack"/>
      <w:bookmarkEnd w:id="0"/>
      <w:r>
        <w:rPr>
          <w:rFonts w:hint="eastAsia" w:ascii="仿宋_GB2312" w:hAnsi="仿宋" w:eastAsia="仿宋_GB2312" w:cs="Times New Roman"/>
          <w:sz w:val="32"/>
          <w:szCs w:val="32"/>
        </w:rPr>
        <w:t>和安徽省实施细则，严格执行《党政机关厉行节约反对浪费条例》、《中共泗县县委办公室泗县人民政府办公室关于进一步加强公务接待规范化管理的通知》（泗办秘〔2016〕66号）相关规定。</w:t>
      </w:r>
    </w:p>
    <w:p>
      <w:pPr>
        <w:ind w:firstLine="643" w:firstLineChars="200"/>
        <w:rPr>
          <w:rFonts w:hint="eastAsia" w:ascii="仿宋_GB2312" w:hAnsi="宋体" w:eastAsia="仿宋_GB2312" w:cs="宋体"/>
          <w:color w:val="282828"/>
          <w:kern w:val="0"/>
          <w:sz w:val="32"/>
          <w:szCs w:val="32"/>
          <w:lang w:val="en-US" w:eastAsia="zh-CN"/>
        </w:rPr>
      </w:pPr>
      <w:r>
        <w:rPr>
          <w:rFonts w:hint="eastAsia" w:ascii="仿宋_GB2312" w:hAnsi="仿宋" w:eastAsia="仿宋_GB2312" w:cs="Times New Roman"/>
          <w:b/>
          <w:bCs/>
          <w:sz w:val="32"/>
          <w:szCs w:val="32"/>
        </w:rPr>
        <w:t>3.公务用车购置及运行维护费支出</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万元，</w:t>
      </w:r>
      <w:r>
        <w:rPr>
          <w:rFonts w:hint="eastAsia" w:ascii="仿宋_GB2312" w:hAnsi="宋体" w:eastAsia="仿宋_GB2312" w:cs="宋体"/>
          <w:color w:val="282828"/>
          <w:kern w:val="0"/>
          <w:sz w:val="32"/>
          <w:szCs w:val="32"/>
        </w:rPr>
        <w:t>与2021年度预算相比，</w:t>
      </w:r>
      <w:r>
        <w:rPr>
          <w:rFonts w:hint="eastAsia" w:ascii="仿宋_GB2312" w:hAnsi="宋体" w:eastAsia="仿宋_GB2312" w:cs="宋体"/>
          <w:color w:val="282828"/>
          <w:kern w:val="0"/>
          <w:sz w:val="32"/>
          <w:szCs w:val="32"/>
          <w:lang w:val="en-US" w:eastAsia="zh-CN"/>
        </w:rPr>
        <w:t>无增减变化</w:t>
      </w:r>
      <w:r>
        <w:rPr>
          <w:rFonts w:hint="eastAsia" w:ascii="仿宋_GB2312" w:hAnsi="宋体" w:eastAsia="仿宋_GB2312" w:cs="宋体"/>
          <w:color w:val="282828"/>
          <w:kern w:val="0"/>
          <w:sz w:val="32"/>
          <w:szCs w:val="32"/>
        </w:rPr>
        <w:t>。其中，公务用车购置费</w:t>
      </w:r>
      <w:r>
        <w:rPr>
          <w:rFonts w:hint="eastAsia" w:ascii="仿宋_GB2312" w:hAnsi="宋体" w:eastAsia="仿宋_GB2312" w:cs="宋体"/>
          <w:color w:val="282828"/>
          <w:kern w:val="0"/>
          <w:sz w:val="32"/>
          <w:szCs w:val="32"/>
          <w:lang w:val="en-US" w:eastAsia="zh-CN"/>
        </w:rPr>
        <w:t>0</w:t>
      </w:r>
      <w:r>
        <w:rPr>
          <w:rFonts w:hint="eastAsia" w:ascii="仿宋_GB2312" w:hAnsi="宋体" w:eastAsia="仿宋_GB2312" w:cs="宋体"/>
          <w:color w:val="282828"/>
          <w:kern w:val="0"/>
          <w:sz w:val="32"/>
          <w:szCs w:val="32"/>
        </w:rPr>
        <w:t>万元，与2021年度预算相比，</w:t>
      </w:r>
      <w:r>
        <w:rPr>
          <w:rFonts w:hint="eastAsia" w:ascii="仿宋_GB2312" w:hAnsi="宋体" w:eastAsia="仿宋_GB2312" w:cs="宋体"/>
          <w:color w:val="282828"/>
          <w:kern w:val="0"/>
          <w:sz w:val="32"/>
          <w:szCs w:val="32"/>
          <w:lang w:val="en-US" w:eastAsia="zh-CN"/>
        </w:rPr>
        <w:t>无增减变化，</w:t>
      </w:r>
      <w:r>
        <w:rPr>
          <w:rFonts w:hint="eastAsia" w:ascii="仿宋_GB2312" w:hAnsi="宋体" w:eastAsia="仿宋_GB2312" w:cs="宋体"/>
          <w:color w:val="282828"/>
          <w:kern w:val="0"/>
          <w:sz w:val="32"/>
          <w:szCs w:val="32"/>
        </w:rPr>
        <w:t>2021年没有安排公务用车购置</w:t>
      </w:r>
      <w:r>
        <w:rPr>
          <w:rFonts w:hint="eastAsia" w:ascii="仿宋_GB2312" w:hAnsi="宋体" w:eastAsia="仿宋_GB2312" w:cs="宋体"/>
          <w:color w:val="282828"/>
          <w:kern w:val="0"/>
          <w:sz w:val="32"/>
          <w:szCs w:val="32"/>
          <w:lang w:val="en-US" w:eastAsia="zh-CN"/>
        </w:rPr>
        <w:t>费</w:t>
      </w:r>
      <w:r>
        <w:rPr>
          <w:rFonts w:hint="eastAsia" w:ascii="仿宋_GB2312" w:hAnsi="宋体" w:eastAsia="仿宋_GB2312" w:cs="宋体"/>
          <w:color w:val="282828"/>
          <w:kern w:val="0"/>
          <w:sz w:val="32"/>
          <w:szCs w:val="32"/>
        </w:rPr>
        <w:t>。公务用车运行维护费</w:t>
      </w:r>
      <w:r>
        <w:rPr>
          <w:rFonts w:hint="eastAsia" w:ascii="仿宋_GB2312" w:hAnsi="宋体" w:eastAsia="仿宋_GB2312" w:cs="宋体"/>
          <w:color w:val="282828"/>
          <w:kern w:val="0"/>
          <w:sz w:val="32"/>
          <w:szCs w:val="32"/>
          <w:lang w:val="en-US" w:eastAsia="zh-CN"/>
        </w:rPr>
        <w:t>0</w:t>
      </w:r>
      <w:r>
        <w:rPr>
          <w:rFonts w:hint="eastAsia" w:ascii="仿宋_GB2312" w:hAnsi="宋体" w:eastAsia="仿宋_GB2312" w:cs="宋体"/>
          <w:color w:val="282828"/>
          <w:kern w:val="0"/>
          <w:sz w:val="32"/>
          <w:szCs w:val="32"/>
        </w:rPr>
        <w:t>万元，与2021年度预算相比，</w:t>
      </w:r>
      <w:r>
        <w:rPr>
          <w:rFonts w:hint="eastAsia" w:ascii="仿宋_GB2312" w:hAnsi="宋体" w:eastAsia="仿宋_GB2312" w:cs="宋体"/>
          <w:color w:val="282828"/>
          <w:kern w:val="0"/>
          <w:sz w:val="32"/>
          <w:szCs w:val="32"/>
          <w:lang w:val="en-US" w:eastAsia="zh-CN"/>
        </w:rPr>
        <w:t>无增减变化</w:t>
      </w:r>
      <w:r>
        <w:rPr>
          <w:rFonts w:hint="eastAsia" w:ascii="仿宋_GB2312" w:hAnsi="仿宋" w:eastAsia="仿宋_GB2312" w:cs="Times New Roman"/>
          <w:sz w:val="32"/>
          <w:szCs w:val="32"/>
        </w:rPr>
        <w:t>。公务用</w:t>
      </w:r>
      <w:r>
        <w:rPr>
          <w:rFonts w:hint="eastAsia" w:ascii="仿宋_GB2312" w:hAnsi="宋体" w:eastAsia="仿宋_GB2312" w:cs="宋体"/>
          <w:color w:val="282828"/>
          <w:kern w:val="0"/>
          <w:sz w:val="32"/>
          <w:szCs w:val="32"/>
          <w:lang w:val="en-US" w:eastAsia="zh-CN"/>
        </w:rPr>
        <w:t>车运行维护费，包括车辆燃料费、维修费、过路过桥费、保险费等支出，主要用于日常公务、监督检查、政策调研等公务活动。截至2021年12月31日，宿州市泗县文学艺术界联合会开支财政拨款的公务用车保有量为0辆。</w:t>
      </w:r>
    </w:p>
    <w:p>
      <w:pPr>
        <w:ind w:left="1258" w:hanging="1258"/>
        <w:rPr>
          <w:rFonts w:hint="eastAsia" w:ascii="仿宋_GB2312" w:hAnsi="Times New Roman" w:eastAsia="仿宋_GB2312" w:cs="Times New Roman"/>
          <w:sz w:val="32"/>
          <w:szCs w:val="20"/>
        </w:rPr>
      </w:pPr>
    </w:p>
    <w:p>
      <w:pPr>
        <w:rPr>
          <w:rFonts w:hint="eastAsia" w:ascii="仿宋_GB2312" w:hAnsi="宋体" w:eastAsia="仿宋_GB2312" w:cs="宋体"/>
          <w:color w:val="282828"/>
          <w:kern w:val="0"/>
          <w:sz w:val="32"/>
          <w:szCs w:val="32"/>
          <w:lang w:val="en-US" w:eastAsia="zh-CN"/>
        </w:rPr>
      </w:pPr>
      <w:r>
        <w:rPr>
          <w:rFonts w:hint="eastAsia" w:ascii="仿宋_GB2312" w:hAnsi="Times New Roman" w:eastAsia="仿宋_GB2312" w:cs="Times New Roman"/>
          <w:sz w:val="32"/>
          <w:szCs w:val="20"/>
        </w:rPr>
        <w:t>联系方式：</w:t>
      </w:r>
      <w:r>
        <w:rPr>
          <w:rFonts w:hint="eastAsia" w:ascii="仿宋_GB2312" w:hAnsi="宋体" w:eastAsia="仿宋_GB2312" w:cs="宋体"/>
          <w:color w:val="282828"/>
          <w:kern w:val="0"/>
          <w:sz w:val="32"/>
          <w:szCs w:val="32"/>
          <w:lang w:val="en-US" w:eastAsia="zh-CN"/>
        </w:rPr>
        <w:t>宿州市泗县文学艺术界联合会政务公开</w:t>
      </w:r>
    </w:p>
    <w:p>
      <w:pPr>
        <w:rPr>
          <w:rFonts w:hint="eastAsia" w:ascii="仿宋_GB2312" w:hAnsi="宋体" w:eastAsia="仿宋_GB2312" w:cs="宋体"/>
          <w:color w:val="282828"/>
          <w:kern w:val="0"/>
          <w:sz w:val="32"/>
          <w:szCs w:val="32"/>
          <w:lang w:val="en-US" w:eastAsia="zh-CN"/>
        </w:rPr>
      </w:pPr>
      <w:r>
        <w:rPr>
          <w:rFonts w:hint="eastAsia" w:ascii="仿宋_GB2312" w:hAnsi="宋体" w:eastAsia="仿宋_GB2312" w:cs="宋体"/>
          <w:color w:val="282828"/>
          <w:kern w:val="0"/>
          <w:sz w:val="32"/>
          <w:szCs w:val="32"/>
          <w:lang w:val="en-US" w:eastAsia="zh-CN"/>
        </w:rPr>
        <w:t>邮箱：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Y2QyZThkNjk1ZTIwYjczNGU1ZjYxNTJiOTk3YzAifQ=="/>
  </w:docVars>
  <w:rsids>
    <w:rsidRoot w:val="00480F73"/>
    <w:rsid w:val="00402D6F"/>
    <w:rsid w:val="00480F73"/>
    <w:rsid w:val="00706A88"/>
    <w:rsid w:val="00A4396F"/>
    <w:rsid w:val="00B3076F"/>
    <w:rsid w:val="332611B9"/>
    <w:rsid w:val="34842E2F"/>
    <w:rsid w:val="4A045C8A"/>
    <w:rsid w:val="64BE7167"/>
    <w:rsid w:val="757A4928"/>
    <w:rsid w:val="79F5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8"/>
    <w:autoRedefine/>
    <w:semiHidden/>
    <w:unhideWhenUsed/>
    <w:qFormat/>
    <w:uiPriority w:val="99"/>
    <w:pPr>
      <w:jc w:val="left"/>
    </w:pPr>
  </w:style>
  <w:style w:type="paragraph" w:styleId="3">
    <w:name w:val="Balloon Text"/>
    <w:basedOn w:val="1"/>
    <w:link w:val="10"/>
    <w:autoRedefine/>
    <w:semiHidden/>
    <w:unhideWhenUsed/>
    <w:qFormat/>
    <w:uiPriority w:val="99"/>
    <w:rPr>
      <w:sz w:val="18"/>
      <w:szCs w:val="18"/>
    </w:rPr>
  </w:style>
  <w:style w:type="paragraph" w:styleId="4">
    <w:name w:val="annotation subject"/>
    <w:basedOn w:val="2"/>
    <w:next w:val="2"/>
    <w:link w:val="9"/>
    <w:autoRedefine/>
    <w:semiHidden/>
    <w:unhideWhenUsed/>
    <w:qFormat/>
    <w:uiPriority w:val="99"/>
    <w:rPr>
      <w:b/>
      <w:bCs/>
    </w:rPr>
  </w:style>
  <w:style w:type="character" w:styleId="7">
    <w:name w:val="annotation reference"/>
    <w:basedOn w:val="6"/>
    <w:autoRedefine/>
    <w:semiHidden/>
    <w:unhideWhenUsed/>
    <w:qFormat/>
    <w:uiPriority w:val="99"/>
    <w:rPr>
      <w:sz w:val="21"/>
      <w:szCs w:val="21"/>
    </w:rPr>
  </w:style>
  <w:style w:type="character" w:customStyle="1" w:styleId="8">
    <w:name w:val="批注文字 Char"/>
    <w:basedOn w:val="6"/>
    <w:link w:val="2"/>
    <w:autoRedefine/>
    <w:semiHidden/>
    <w:qFormat/>
    <w:uiPriority w:val="99"/>
  </w:style>
  <w:style w:type="character" w:customStyle="1" w:styleId="9">
    <w:name w:val="批注主题 Char"/>
    <w:basedOn w:val="8"/>
    <w:link w:val="4"/>
    <w:autoRedefine/>
    <w:semiHidden/>
    <w:qFormat/>
    <w:uiPriority w:val="99"/>
    <w:rPr>
      <w:b/>
      <w:bCs/>
    </w:rPr>
  </w:style>
  <w:style w:type="character" w:customStyle="1" w:styleId="10">
    <w:name w:val="批注框文本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万佳数码连锁</Company>
  <Pages>4</Pages>
  <Words>220</Words>
  <Characters>1259</Characters>
  <Lines>10</Lines>
  <Paragraphs>2</Paragraphs>
  <TotalTime>4</TotalTime>
  <ScaleCrop>false</ScaleCrop>
  <LinksUpToDate>false</LinksUpToDate>
  <CharactersWithSpaces>1477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2022-08-31T09:16:00Z</dcterms:created>
  <dc:creator>万佳用户</dc:creator>
  <cp:lastModifiedBy>Administrator</cp:lastModifiedBy>
  <dcterms:modified xsi:type="dcterms:W3CDTF">2023-12-25T08:57:13Z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92D3D03678694221817921DC0A5E9E20_12</vt:lpwstr>
  </property>
</Properties>
</file>