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70" w:firstLineChars="800"/>
        <w:jc w:val="both"/>
        <w:rPr>
          <w:rFonts w:hint="eastAsia"/>
          <w:b/>
          <w:bCs/>
          <w:sz w:val="32"/>
          <w:szCs w:val="32"/>
        </w:rPr>
      </w:pPr>
      <w:r>
        <w:rPr>
          <w:rFonts w:hint="eastAsia"/>
          <w:b/>
          <w:bCs/>
          <w:sz w:val="32"/>
          <w:szCs w:val="32"/>
        </w:rPr>
        <w:t>驾驶人基本信息查询</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1.《机动车驾驶证申领和使用规定》（公安部139令）第三条：省级、设区的市或者相当于同级的公安机关交通管理部门应当在互联网上建立主页，发布信息，便于群众查阅办理机动车驾驶证的有关规定，查询驾驶证使用状态、交通违法及记分等情况，下载、使用有关表格。</w:t>
      </w:r>
    </w:p>
    <w:p>
      <w:pPr>
        <w:numPr>
          <w:ilvl w:val="0"/>
          <w:numId w:val="1"/>
        </w:numPr>
        <w:rPr>
          <w:rFonts w:hint="eastAsia"/>
          <w:b w:val="0"/>
          <w:bCs w:val="0"/>
          <w:sz w:val="32"/>
          <w:szCs w:val="32"/>
          <w:lang w:val="en-US" w:eastAsia="zh-CN"/>
        </w:rPr>
      </w:pPr>
      <w:r>
        <w:rPr>
          <w:rFonts w:hint="eastAsia"/>
          <w:b w:val="0"/>
          <w:bCs w:val="0"/>
          <w:sz w:val="32"/>
          <w:szCs w:val="32"/>
          <w:lang w:val="en-US" w:eastAsia="zh-CN"/>
        </w:rPr>
        <w:t>2.《关于认真做好公安部14项便民利民措施贯彻落实工作的通知》(皖公交管〔2012〕407号)：在互联网上面向社会开放“驾驶人基本信息查询”功能。</w:t>
      </w:r>
    </w:p>
    <w:p>
      <w:pPr>
        <w:numPr>
          <w:ilvl w:val="0"/>
          <w:numId w:val="2"/>
        </w:numPr>
        <w:rPr>
          <w:rFonts w:hint="eastAsia"/>
          <w:b w:val="0"/>
          <w:bCs w:val="0"/>
          <w:sz w:val="32"/>
          <w:szCs w:val="32"/>
          <w:lang w:val="en-US" w:eastAsia="zh-CN"/>
        </w:rPr>
      </w:pPr>
      <w:r>
        <w:rPr>
          <w:rFonts w:hint="eastAsia"/>
          <w:b/>
          <w:bCs/>
          <w:sz w:val="32"/>
          <w:szCs w:val="32"/>
          <w:lang w:val="en-US" w:eastAsia="zh-CN"/>
        </w:rPr>
        <w:t>承办机构：</w:t>
      </w:r>
      <w:r>
        <w:rPr>
          <w:rFonts w:hint="eastAsia"/>
          <w:b w:val="0"/>
          <w:bCs w:val="0"/>
          <w:sz w:val="32"/>
          <w:szCs w:val="32"/>
          <w:lang w:val="en-US" w:eastAsia="zh-CN"/>
        </w:rPr>
        <w:t>泗县政务服务中心交通管理办事大厅</w:t>
      </w:r>
    </w:p>
    <w:p>
      <w:pPr>
        <w:numPr>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机动车所有人。</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1、申请：申请人备齐材料安徽政务服务网提交电子材料或者到泗县服务交通管理办事大厅公安综合窗口递交材料；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2、受理：泗县政务服务交通管理办事大厅窗口受理；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 xml:space="preserve">3、审核：审核人员核对材料进行审核，材料齐全且符合法定形式，出具《受理通知书》； </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4、办结：对于审核通过的，窗口人员给予办结。证件领取可以快递或者窗口领取。</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bCs/>
          <w:sz w:val="32"/>
          <w:szCs w:val="32"/>
          <w:lang w:val="en-US" w:eastAsia="zh-CN"/>
        </w:rPr>
      </w:pPr>
      <w:r>
        <w:rPr>
          <w:rFonts w:hint="eastAsia"/>
          <w:b/>
          <w:bCs/>
          <w:sz w:val="32"/>
          <w:szCs w:val="32"/>
          <w:lang w:val="en-US" w:eastAsia="zh-CN"/>
        </w:rPr>
        <w:t>七、收费依据、收费标准：免费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电话：0557-7023979</w:t>
      </w: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9000"/>
    <w:multiLevelType w:val="singleLevel"/>
    <w:tmpl w:val="656E9000"/>
    <w:lvl w:ilvl="0" w:tentative="0">
      <w:start w:val="1"/>
      <w:numFmt w:val="chineseCounting"/>
      <w:suff w:val="nothing"/>
      <w:lvlText w:val="%1、"/>
      <w:lvlJc w:val="left"/>
    </w:lvl>
  </w:abstractNum>
  <w:abstractNum w:abstractNumId="1">
    <w:nsid w:val="656EDF42"/>
    <w:multiLevelType w:val="singleLevel"/>
    <w:tmpl w:val="656EDF4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55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2023-12-05T08:25:58Z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