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互联网上网服务场所安全管理审核意见书补发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便民利民、服务群众承诺事项，已常态化开展。</w:t>
      </w:r>
    </w:p>
    <w:p>
      <w:pPr>
        <w:numPr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二、承办机构：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网安大队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自然人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互联网上网服务场所安全管理审核意见书灭失。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2.受理：对申请材料进行受理，对申请材料齐全且符合法定形式的，出具《受理通知书》。申请材料不齐全或不符合法定形式，网上或当场一次性告知需要补正的全部内容，并出具《补齐补正通知书》。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3.审查：对其受理材料进行合法性审查。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7个工作日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电话：0557-7015767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ED98E"/>
    <w:multiLevelType w:val="singleLevel"/>
    <w:tmpl w:val="656ED98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2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2023-12-05T08:02:16Z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