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91" w:firstLineChars="900"/>
        <w:jc w:val="both"/>
        <w:rPr>
          <w:rFonts w:hint="eastAsia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刑事案件状态查询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一、办理依据：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1.《中华人民共和国刑事诉讼法》：侦查机关要准确、及时地查明犯罪事实，尊重和保障人权，规范、公正、文明执法，自觉接受群众监督。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2.《安徽省公安厅办公室关于开通全省“刑事案件状态查询”服务系统的通知》（皖公办〔2016〕175号）:为大力推进执法公开、警务公开，落实好公安部“三回告三告知”制度,决定在全省上线启动“刑事案件状态查询”服务系统，并依托“安徽公安便民服务e网通”为当事人提供刑事案件状态查询服务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二、承办机构：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泗县公安局刑侦大队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三、服务对象：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自然人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四、服务条件：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安徽公安网刑事案件状态查询服务平台，根据每个刑事案件报案人预留的手机号码，自动向报案人发送短信。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五、服务流程：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1.申请：申请人通过安徽政务服务网宿州分厅（http://sz.ahzwfw.gov.cn/）或到泗县政务服务中心进行申请。2.受理：对申请材料进行受理，对申请材料齐全且符合法定形式的，出具《受理通知书》。申请材料不齐全或不符合法定形式，网上或当场一次性告知需要补正的全部内容，并出具《补齐补正通知书》。3.办结：根据审查结果对符合办理条件的予以办结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六、办理时限：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1个工作日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七、收费依据、收费标准：免费</w:t>
      </w:r>
    </w:p>
    <w:p>
      <w:r>
        <w:rPr>
          <w:rFonts w:hint="eastAsia"/>
          <w:b/>
          <w:bCs/>
          <w:sz w:val="32"/>
          <w:szCs w:val="32"/>
          <w:lang w:val="en-US" w:eastAsia="zh-CN"/>
        </w:rPr>
        <w:t>八、咨询方式：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电话：0557-7022509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3959B9"/>
    <w:rsid w:val="5D673B41"/>
    <w:rsid w:val="7D2B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2023-12-05T02:45:03Z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