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rPr>
      </w:pPr>
      <w:r>
        <w:rPr>
          <w:rFonts w:hint="eastAsia"/>
          <w:b/>
          <w:bCs/>
          <w:sz w:val="32"/>
          <w:szCs w:val="32"/>
        </w:rPr>
        <w:t>道路交通事故损害赔偿争议调解</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《中华人民共和国道路交通安全法》第七十四条：对道路交通事故损害赔偿的争议，当事人可以请求公安机关交通管理部门调解，也可以直接向人民法院提起民事诉讼。……</w:t>
      </w:r>
    </w:p>
    <w:p>
      <w:pPr>
        <w:numPr>
          <w:ilvl w:val="0"/>
          <w:numId w:val="1"/>
        </w:numPr>
        <w:rPr>
          <w:rFonts w:hint="eastAsia"/>
          <w:b w:val="0"/>
          <w:bCs w:val="0"/>
          <w:sz w:val="32"/>
          <w:szCs w:val="32"/>
          <w:lang w:val="en-US" w:eastAsia="zh-CN"/>
        </w:rPr>
      </w:pPr>
      <w:r>
        <w:rPr>
          <w:rFonts w:hint="eastAsia"/>
          <w:b/>
          <w:bCs/>
          <w:sz w:val="32"/>
          <w:szCs w:val="32"/>
          <w:lang w:val="en-US" w:eastAsia="zh-CN"/>
        </w:rPr>
        <w:t>受理条件：</w:t>
      </w:r>
      <w:r>
        <w:rPr>
          <w:rFonts w:hint="eastAsia"/>
          <w:b w:val="0"/>
          <w:bCs w:val="0"/>
          <w:sz w:val="32"/>
          <w:szCs w:val="32"/>
          <w:lang w:val="en-US" w:eastAsia="zh-CN"/>
        </w:rPr>
        <w:t>（一）申请人是否具有道路交通事故损害赔偿权利人、义务人主体资格；（二）申请书是否自收到道路交通事故认定书、道路交通事故证明或者上一级公安机关交通管理部门维持原道路交通事故认定的复核结论之日起十日内提出，或者自人民调解委员会作出终止调解之日起三日内提出。</w:t>
      </w:r>
    </w:p>
    <w:p>
      <w:pPr>
        <w:numPr>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中华人民共和国居民身份证</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法定办结时限：10天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0557-7022929</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966F"/>
    <w:multiLevelType w:val="singleLevel"/>
    <w:tmpl w:val="65A8966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9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