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房屋承租人基本情况登记备案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租赁房屋治安管理规定》（公安部令第24号）第七条：房屋出租人的治安责任……（三）对承租人的姓名、性别、年龄、常住户口所在地、职业或者主要经济来源、服务处所等基本情况进行登记并向公安派出所备案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房屋出租人的治安责任：对承租人的姓名、性别、年龄、常住户口所在地、职业或者主要经济来源、服务处所等基本情况进行登记并向公安派出所备案。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1、房屋所有权证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2、居民身份证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3、居民户口簿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4、租赁合同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法定办结时限：20天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承诺办结时限：1天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七、结果送达：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窗口领取或邮寄送达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八、年检要求：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九、联系电话：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0557-7028286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十、监督电话：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0557-7358008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79602"/>
    <w:multiLevelType w:val="singleLevel"/>
    <w:tmpl w:val="65A796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2RlODY1ZTczYjkzMDI5OGEyYTA0ZWU5NDlkZmYifQ=="/>
  </w:docVars>
  <w:rsids>
    <w:rsidRoot w:val="00000000"/>
    <w:rsid w:val="1E731074"/>
    <w:rsid w:val="2398202F"/>
    <w:rsid w:val="691066D0"/>
    <w:rsid w:val="736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545E2BD815604297BB8EFB035436FAAC_12</vt:lpwstr>
  </property>
</Properties>
</file>