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受理退出中国国籍的申请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《中华人民共和国国籍法》（常务委员会委员长令1980年第8号）第十五条：“受理国籍申请的机关，在国内为当地市、县公安局，在国外为中国外交代表机关和领事机关”。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第十条 中国公民具有下列条件之一的，可以经申请批准退出中国国籍：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一、外国人的近亲属；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二、定居在外国的；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三、有其它正当理由。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第十一条 申请退出中国国籍获得批准的，即丧失中国国籍。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第十二条 国家工作人员和现役军人，不得退出中国国籍。</w:t>
      </w: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申请人自愿申请退出中国国籍的书面申明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法定办结时限：20天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受理退出中国国籍的申请公安部《关于调整外国人签证、证件收费标准的通知》（ 公通字[1996]89号）,公安部、财政部《关于公安出入境证照收费有关问题的通知》（公通字[2000]99号）；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申请手续费：每人50元；国籍证书费用：每人200元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七、结果送达：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窗口领取即可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八、年检要求：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0557-7015769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十、监督电话：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9546"/>
    <w:multiLevelType w:val="singleLevel"/>
    <w:tmpl w:val="65A8954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