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治安调解</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办理依据：</w:t>
      </w:r>
      <w:r>
        <w:rPr>
          <w:rFonts w:hint="eastAsia"/>
          <w:b w:val="0"/>
          <w:bCs w:val="0"/>
          <w:sz w:val="32"/>
          <w:szCs w:val="32"/>
          <w:lang w:val="en-US" w:eastAsia="zh-CN"/>
        </w:rPr>
        <w:t>《治安管理处罚法》第九条：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pPr>
        <w:numPr>
          <w:ilvl w:val="0"/>
          <w:numId w:val="0"/>
        </w:numPr>
        <w:rPr>
          <w:rFonts w:hint="eastAsia"/>
          <w:b w:val="0"/>
          <w:bCs w:val="0"/>
          <w:sz w:val="32"/>
          <w:szCs w:val="32"/>
          <w:lang w:val="en-US" w:eastAsia="zh-CN"/>
        </w:rPr>
      </w:pPr>
      <w:r>
        <w:rPr>
          <w:rFonts w:hint="eastAsia"/>
          <w:b/>
          <w:bCs/>
          <w:sz w:val="32"/>
          <w:szCs w:val="32"/>
          <w:lang w:val="en-US" w:eastAsia="zh-CN"/>
        </w:rPr>
        <w:t>二、受理条件：</w:t>
      </w:r>
      <w:r>
        <w:rPr>
          <w:rFonts w:hint="eastAsia"/>
          <w:b w:val="0"/>
          <w:bCs w:val="0"/>
          <w:sz w:val="32"/>
          <w:szCs w:val="32"/>
          <w:lang w:val="en-US" w:eastAsia="zh-CN"/>
        </w:rPr>
        <w:t>对于因民间纠纷引起的殴打他人、故意伤害、侮辱、诽谤、诬告陷害、故意损毁财物、干扰他人正常生活、侵犯隐私、非法侵入住宅等违反治安管理行为，情节较轻，且具有下列情形之一的，可以调解处理：</w:t>
      </w:r>
    </w:p>
    <w:p>
      <w:pPr>
        <w:numPr>
          <w:ilvl w:val="0"/>
          <w:numId w:val="0"/>
        </w:numPr>
        <w:rPr>
          <w:rFonts w:hint="eastAsia"/>
          <w:b w:val="0"/>
          <w:bCs w:val="0"/>
          <w:sz w:val="32"/>
          <w:szCs w:val="32"/>
          <w:lang w:val="en-US" w:eastAsia="zh-CN"/>
        </w:rPr>
      </w:pPr>
      <w:r>
        <w:rPr>
          <w:rFonts w:hint="eastAsia"/>
          <w:b w:val="0"/>
          <w:bCs w:val="0"/>
          <w:sz w:val="32"/>
          <w:szCs w:val="32"/>
          <w:lang w:val="en-US" w:eastAsia="zh-CN"/>
        </w:rPr>
        <w:t>（一）亲友、邻里、同事、在校学生之间因琐事发生纠纷引起的；</w:t>
      </w:r>
    </w:p>
    <w:p>
      <w:pPr>
        <w:numPr>
          <w:ilvl w:val="0"/>
          <w:numId w:val="0"/>
        </w:numPr>
        <w:rPr>
          <w:rFonts w:hint="eastAsia"/>
          <w:b w:val="0"/>
          <w:bCs w:val="0"/>
          <w:sz w:val="32"/>
          <w:szCs w:val="32"/>
          <w:lang w:val="en-US" w:eastAsia="zh-CN"/>
        </w:rPr>
      </w:pPr>
      <w:r>
        <w:rPr>
          <w:rFonts w:hint="eastAsia"/>
          <w:b w:val="0"/>
          <w:bCs w:val="0"/>
          <w:sz w:val="32"/>
          <w:szCs w:val="32"/>
          <w:lang w:val="en-US" w:eastAsia="zh-CN"/>
        </w:rPr>
        <w:t>（二）行为人的侵害行为系由被侵害人事前的过错行为引起的；</w:t>
      </w:r>
    </w:p>
    <w:p>
      <w:pPr>
        <w:numPr>
          <w:ilvl w:val="0"/>
          <w:numId w:val="0"/>
        </w:numPr>
        <w:rPr>
          <w:rFonts w:hint="eastAsia"/>
          <w:b w:val="0"/>
          <w:bCs w:val="0"/>
          <w:sz w:val="32"/>
          <w:szCs w:val="32"/>
          <w:lang w:val="en-US" w:eastAsia="zh-CN"/>
        </w:rPr>
      </w:pPr>
      <w:r>
        <w:rPr>
          <w:rFonts w:hint="eastAsia"/>
          <w:b w:val="0"/>
          <w:bCs w:val="0"/>
          <w:sz w:val="32"/>
          <w:szCs w:val="32"/>
          <w:lang w:val="en-US" w:eastAsia="zh-CN"/>
        </w:rPr>
        <w:t>（三）适用调解处理更易化解矛盾的。</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1、中华人民共和国居民身份证</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3.审查：对其受理材料进行合法性审查。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法定办结时限：10天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0557-7028286</w:t>
      </w:r>
    </w:p>
    <w:p>
      <w:pPr>
        <w:numPr>
          <w:ilvl w:val="0"/>
          <w:numId w:val="0"/>
        </w:numPr>
        <w:rPr>
          <w:rFonts w:hint="eastAsia"/>
          <w:b w:val="0"/>
          <w:bCs w:val="0"/>
          <w:sz w:val="32"/>
          <w:szCs w:val="32"/>
          <w:lang w:val="en-US" w:eastAsia="zh-CN"/>
        </w:rPr>
      </w:pPr>
      <w:bookmarkStart w:id="0" w:name="_GoBack"/>
      <w:bookmarkEnd w:id="0"/>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0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2024-01-18T01:03:07Z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