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zh-CN"/>
        </w:rPr>
      </w:pPr>
      <w:bookmarkStart w:id="0" w:name="_GoBack"/>
      <w:bookmarkEnd w:id="0"/>
      <w:r>
        <w:rPr>
          <w:rFonts w:hint="eastAsia" w:ascii="方正小标宋简体" w:hAnsi="方正小标宋简体" w:eastAsia="方正小标宋简体" w:cs="方正小标宋简体"/>
          <w:sz w:val="44"/>
          <w:szCs w:val="44"/>
          <w:lang w:val="zh-CN"/>
        </w:rPr>
        <w:t>中国税收居民身份证明的开具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办事指南</w:t>
      </w:r>
    </w:p>
    <w:p>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zh-CN"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一、办理依据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1.《国家税务总局关于开具〈中国税收居民身份证明〉有关事项的公告》（国家税务总局公告2016年第40号发布，国家税务总局公告2018年第31号修改）第一条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2.《国家税务总局关于调整〈中国税收居民身份证明〉有关事项的公告》（国家税务总局公告2019年第17号）第一条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二、承办机构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税政股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三、服务对象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自然人、</w:t>
      </w:r>
      <w:r>
        <w:rPr>
          <w:rFonts w:ascii="Times New Roman" w:hAnsi="Times New Roman" w:eastAsia="仿宋_GB2312"/>
          <w:sz w:val="32"/>
          <w:szCs w:val="32"/>
        </w:rPr>
        <w:t>企业</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四、申请条件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申报材料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37"/>
        <w:gridCol w:w="2699"/>
        <w:gridCol w:w="95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材料名称</w:t>
            </w:r>
          </w:p>
        </w:tc>
        <w:tc>
          <w:tcPr>
            <w:tcW w:w="95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数量</w:t>
            </w:r>
          </w:p>
        </w:tc>
        <w:tc>
          <w:tcPr>
            <w:tcW w:w="199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kern w:val="24"/>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r>
              <w:rPr>
                <w:rFonts w:ascii="黑体" w:hAnsi="黑体" w:eastAsia="黑体" w:cs="黑体"/>
                <w:kern w:val="24"/>
                <w:sz w:val="18"/>
                <w:szCs w:val="18"/>
              </w:rPr>
              <w:t>《〈中国税收居民身份证明〉申请表》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kern w:val="24"/>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与拟享受税收协定待遇的收入有关的合同、协议、</w:t>
            </w:r>
          </w:p>
          <w:p>
            <w:pPr>
              <w:wordWrap w:val="0"/>
              <w:spacing w:line="240" w:lineRule="auto"/>
              <w:ind w:firstLine="0" w:firstLineChars="0"/>
              <w:jc w:val="center"/>
              <w:rPr>
                <w:rFonts w:hint="default" w:ascii="黑体" w:hAnsi="黑体" w:eastAsia="黑体"/>
                <w:kern w:val="24"/>
                <w:sz w:val="18"/>
                <w:szCs w:val="18"/>
              </w:rPr>
            </w:pPr>
            <w:r>
              <w:rPr>
                <w:rFonts w:ascii="黑体" w:hAnsi="黑体" w:eastAsia="黑体" w:cs="黑体"/>
                <w:kern w:val="24"/>
                <w:sz w:val="18"/>
                <w:szCs w:val="18"/>
              </w:rPr>
              <w:t>董事会或者股东会决议、支付凭证等证明资料</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r>
              <w:rPr>
                <w:rFonts w:ascii="黑体" w:hAnsi="黑体" w:eastAsia="黑体" w:cs="Microsoft Himalaya"/>
                <w:kern w:val="24"/>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sz w:val="21"/>
                <w:szCs w:val="21"/>
                <w:lang w:val="zh-CN"/>
              </w:rPr>
            </w:pPr>
            <w:r>
              <w:rPr>
                <w:rFonts w:ascii="黑体" w:hAnsi="黑体" w:eastAsia="黑体"/>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17"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sz w:val="21"/>
                <w:szCs w:val="21"/>
              </w:rPr>
            </w:pPr>
            <w:r>
              <w:rPr>
                <w:rFonts w:ascii="黑体" w:hAnsi="黑体" w:eastAsia="黑体"/>
                <w:sz w:val="21"/>
                <w:szCs w:val="21"/>
              </w:rPr>
              <w:t>适用情形</w:t>
            </w:r>
          </w:p>
        </w:tc>
        <w:tc>
          <w:tcPr>
            <w:tcW w:w="269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sz w:val="21"/>
                <w:szCs w:val="21"/>
              </w:rPr>
            </w:pPr>
            <w:r>
              <w:rPr>
                <w:rFonts w:ascii="黑体" w:hAnsi="黑体" w:eastAsia="黑体"/>
                <w:sz w:val="21"/>
                <w:szCs w:val="21"/>
              </w:rPr>
              <w:t>材料名称</w:t>
            </w:r>
          </w:p>
        </w:tc>
        <w:tc>
          <w:tcPr>
            <w:tcW w:w="95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sz w:val="21"/>
                <w:szCs w:val="21"/>
              </w:rPr>
            </w:pPr>
            <w:r>
              <w:rPr>
                <w:rFonts w:ascii="黑体" w:hAnsi="黑体" w:eastAsia="黑体"/>
                <w:sz w:val="21"/>
                <w:szCs w:val="21"/>
              </w:rPr>
              <w:t>数量</w:t>
            </w:r>
          </w:p>
        </w:tc>
        <w:tc>
          <w:tcPr>
            <w:tcW w:w="199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ordWrap w:val="0"/>
              <w:spacing w:line="240" w:lineRule="auto"/>
              <w:ind w:firstLine="0" w:firstLineChars="0"/>
              <w:jc w:val="center"/>
              <w:rPr>
                <w:rFonts w:hint="default" w:ascii="黑体" w:hAnsi="黑体" w:eastAsia="黑体"/>
                <w:sz w:val="21"/>
                <w:szCs w:val="21"/>
              </w:rPr>
            </w:pPr>
            <w:r>
              <w:rPr>
                <w:rFonts w:ascii="黑体" w:hAnsi="黑体" w:eastAsia="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51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rPr>
            </w:pPr>
            <w:r>
              <w:rPr>
                <w:rFonts w:ascii="黑体" w:hAnsi="黑体" w:eastAsia="黑体" w:cs="黑体"/>
                <w:kern w:val="24"/>
                <w:sz w:val="18"/>
                <w:szCs w:val="18"/>
              </w:rPr>
              <w:t>申请人为个人且在中国境内有住所</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因户籍、家庭、经济利益关系而在中国境内习惯性居住的证明材料，包括申请人身份信息、住所情况说明等资料</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51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rPr>
            </w:pPr>
            <w:r>
              <w:rPr>
                <w:rFonts w:ascii="黑体" w:hAnsi="黑体" w:eastAsia="黑体" w:cs="黑体"/>
                <w:kern w:val="24"/>
                <w:sz w:val="18"/>
                <w:szCs w:val="18"/>
              </w:rPr>
              <w:t>申请人为个人且在中国境内无住所，而一个纳税年度内在中国境内居住累计满</w:t>
            </w:r>
            <w:r>
              <w:rPr>
                <w:rFonts w:eastAsia="黑体"/>
                <w:kern w:val="24"/>
                <w:sz w:val="18"/>
                <w:szCs w:val="18"/>
              </w:rPr>
              <w:t>183</w:t>
            </w:r>
            <w:r>
              <w:rPr>
                <w:rFonts w:ascii="黑体" w:hAnsi="黑体" w:eastAsia="黑体" w:cs="黑体"/>
                <w:kern w:val="24"/>
                <w:sz w:val="18"/>
                <w:szCs w:val="18"/>
              </w:rPr>
              <w:t>天</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宋体"/>
                <w:sz w:val="18"/>
                <w:szCs w:val="18"/>
              </w:rPr>
            </w:pPr>
            <w:r>
              <w:rPr>
                <w:rFonts w:ascii="黑体" w:hAnsi="黑体" w:eastAsia="黑体" w:cs="宋体"/>
                <w:sz w:val="18"/>
                <w:szCs w:val="18"/>
              </w:rPr>
              <w:t>在中国境内实际居住时间的相关证明材料或者说明材料，包括出入境信息等资料</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kern w:val="24"/>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1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境内、外分支机构通过其</w:t>
            </w:r>
          </w:p>
          <w:p>
            <w:pPr>
              <w:wordWrap w:val="0"/>
              <w:spacing w:line="240" w:lineRule="auto"/>
              <w:ind w:firstLine="0" w:firstLineChars="0"/>
              <w:jc w:val="center"/>
              <w:rPr>
                <w:rFonts w:hint="default" w:ascii="黑体" w:hAnsi="黑体" w:eastAsia="黑体"/>
                <w:kern w:val="24"/>
              </w:rPr>
            </w:pPr>
            <w:r>
              <w:rPr>
                <w:rFonts w:ascii="黑体" w:hAnsi="黑体" w:eastAsia="黑体" w:cs="黑体"/>
                <w:kern w:val="24"/>
                <w:sz w:val="18"/>
                <w:szCs w:val="18"/>
              </w:rPr>
              <w:t>总机构提出申请</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r>
              <w:rPr>
                <w:rFonts w:ascii="黑体" w:hAnsi="黑体" w:eastAsia="黑体" w:cs="黑体"/>
                <w:kern w:val="24"/>
                <w:sz w:val="18"/>
                <w:szCs w:val="18"/>
              </w:rPr>
              <w:t>总分机构的登记注册情况</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kern w:val="24"/>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1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以合伙企业的中国居民</w:t>
            </w:r>
          </w:p>
          <w:p>
            <w:pPr>
              <w:wordWrap w:val="0"/>
              <w:spacing w:line="240" w:lineRule="auto"/>
              <w:ind w:firstLine="0" w:firstLineChars="0"/>
              <w:jc w:val="center"/>
              <w:rPr>
                <w:rFonts w:hint="default" w:ascii="黑体" w:hAnsi="黑体" w:eastAsia="黑体"/>
                <w:kern w:val="24"/>
              </w:rPr>
            </w:pPr>
            <w:r>
              <w:rPr>
                <w:rFonts w:ascii="黑体" w:hAnsi="黑体" w:eastAsia="黑体" w:cs="黑体"/>
                <w:kern w:val="24"/>
                <w:sz w:val="18"/>
                <w:szCs w:val="18"/>
              </w:rPr>
              <w:t>合伙人提出申请</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r>
              <w:rPr>
                <w:rFonts w:ascii="黑体" w:hAnsi="黑体" w:eastAsia="黑体" w:cs="黑体"/>
                <w:kern w:val="24"/>
                <w:sz w:val="18"/>
                <w:szCs w:val="18"/>
              </w:rPr>
              <w:t>合伙企业登记注册情况</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kern w:val="24"/>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1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缔约对方税务主管当局对</w:t>
            </w:r>
          </w:p>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《税收居民证明》样式有</w:t>
            </w:r>
          </w:p>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特殊要求</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eastAsia="黑体" w:cs="黑体"/>
                <w:kern w:val="0"/>
                <w:sz w:val="18"/>
                <w:szCs w:val="18"/>
                <w:lang w:val="zh-CN"/>
              </w:rPr>
              <w:t>需要特殊要求书面说明以及《税收居民证明》样式</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2517"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主管税务机关或者上级税务机关根据申请人提交资料无法作出判断</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lang w:val="zh-CN"/>
              </w:rPr>
            </w:pPr>
            <w:r>
              <w:rPr>
                <w:rFonts w:ascii="黑体" w:hAnsi="黑体" w:eastAsia="黑体" w:cs="黑体"/>
                <w:kern w:val="24"/>
                <w:sz w:val="18"/>
                <w:szCs w:val="18"/>
                <w:lang w:val="zh-CN"/>
              </w:rPr>
              <w:t>补充提供的相关资料</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1份</w:t>
            </w:r>
          </w:p>
        </w:tc>
        <w:tc>
          <w:tcPr>
            <w:tcW w:w="1994"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uto"/>
              <w:ind w:firstLine="0" w:firstLineChars="0"/>
              <w:jc w:val="center"/>
              <w:rPr>
                <w:rFonts w:hint="default" w:ascii="黑体" w:hAnsi="黑体" w:eastAsia="黑体" w:cs="黑体"/>
                <w:kern w:val="24"/>
                <w:sz w:val="18"/>
                <w:szCs w:val="18"/>
              </w:rPr>
            </w:pP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351790</wp:posOffset>
                </wp:positionV>
                <wp:extent cx="5334000" cy="2209800"/>
                <wp:effectExtent l="0" t="0" r="0" b="0"/>
                <wp:wrapNone/>
                <wp:docPr id="1" name="文本框 1"/>
                <wp:cNvGraphicFramePr/>
                <a:graphic xmlns:a="http://schemas.openxmlformats.org/drawingml/2006/main">
                  <a:graphicData uri="http://schemas.microsoft.com/office/word/2010/wordprocessingShape">
                    <wps:wsp>
                      <wps:cNvSpPr txBox="1"/>
                      <wps:spPr>
                        <a:xfrm>
                          <a:off x="1203960" y="7183120"/>
                          <a:ext cx="5334000" cy="2209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宋体" w:hAnsi="宋体"/>
                              </w:rPr>
                              <w:drawing>
                                <wp:inline distT="0" distB="0" distL="114300" distR="114300">
                                  <wp:extent cx="5184140" cy="1773555"/>
                                  <wp:effectExtent l="0" t="0" r="16510" b="17145"/>
                                  <wp:docPr id="2" name="图片 2"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2" name="图片 2" descr="C:\Users\baoqianyu\Desktop\流程图\流转\申请人.png申请人"/>
                                          <pic:cNvPicPr/>
                                        </pic:nvPicPr>
                                        <pic:blipFill>
                                          <a:blip r:embed="rId4"/>
                                          <a:stretch>
                                            <a:fillRect/>
                                          </a:stretch>
                                        </pic:blipFill>
                                        <pic:spPr>
                                          <a:xfrm>
                                            <a:off x="0" y="0"/>
                                            <a:ext cx="5184140" cy="1773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27.7pt;height:174pt;width:420pt;z-index:251659264;mso-width-relative:page;mso-height-relative:page;" fillcolor="#FFFFFF [3201]" filled="t" stroked="f" coordsize="21600,21600" o:gfxdata="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WcPEG0wAAAAgB&#10;AAAPAAAAAAAAAAEAIAAAACIAAABkcnMvZG93bnJldi54bWxQSwECFAAUAAAACACHTuJA13cTsVkC&#10;AACcBAAADgAAAAAAAAABACAAAAAiAQAAZHJzL2Uyb0RvYy54bWxQSwUGAAAAAAYABgBZAQAA7QUA&#10;AAAA&#10;">
                <v:fill on="t" focussize="0,0"/>
                <v:stroke on="f" weight="0.5pt"/>
                <v:imagedata o:title=""/>
                <o:lock v:ext="edit" aspectratio="f"/>
                <v:textbox>
                  <w:txbxContent>
                    <w:p>
                      <w:r>
                        <w:rPr>
                          <w:rFonts w:ascii="宋体" w:hAnsi="宋体"/>
                        </w:rPr>
                        <w:drawing>
                          <wp:inline distT="0" distB="0" distL="114300" distR="114300">
                            <wp:extent cx="5184140" cy="1773555"/>
                            <wp:effectExtent l="0" t="0" r="16510" b="17145"/>
                            <wp:docPr id="2" name="图片 2"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2" name="图片 2" descr="C:\Users\baoqianyu\Desktop\流程图\流转\申请人.png申请人"/>
                                    <pic:cNvPicPr/>
                                  </pic:nvPicPr>
                                  <pic:blipFill>
                                    <a:blip r:embed="rId4"/>
                                    <a:stretch>
                                      <a:fillRect/>
                                    </a:stretch>
                                  </pic:blipFill>
                                  <pic:spPr>
                                    <a:xfrm>
                                      <a:off x="0" y="0"/>
                                      <a:ext cx="5184140" cy="1773555"/>
                                    </a:xfrm>
                                    <a:prstGeom prst="rect">
                                      <a:avLst/>
                                    </a:prstGeom>
                                    <a:noFill/>
                                    <a:ln>
                                      <a:noFill/>
                                    </a:ln>
                                  </pic:spPr>
                                </pic:pic>
                              </a:graphicData>
                            </a:graphic>
                          </wp:inline>
                        </w:drawing>
                      </w:r>
                    </w:p>
                  </w:txbxContent>
                </v:textbox>
              </v:shape>
            </w:pict>
          </mc:Fallback>
        </mc:AlternateContent>
      </w:r>
      <w:r>
        <w:rPr>
          <w:rFonts w:ascii="Times New Roman" w:hAnsi="Times New Roman" w:eastAsia="黑体"/>
          <w:sz w:val="32"/>
          <w:szCs w:val="32"/>
        </w:rPr>
        <w:t>六、服务流程</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七、办理时限</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主管税务机关自受理申请之日起10个工作日内办结；无法准确判断居民身份的，需要报告上级税务机关的，20个工作日内办结。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八、收费依据及标准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不收费</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咨询方式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电话咨询、面对面咨询、网络咨询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CD807"/>
    <w:multiLevelType w:val="singleLevel"/>
    <w:tmpl w:val="C2BCD807"/>
    <w:lvl w:ilvl="0" w:tentative="0">
      <w:start w:val="9"/>
      <w:numFmt w:val="chineseCounting"/>
      <w:suff w:val="nothing"/>
      <w:lvlText w:val="%1、"/>
      <w:lvlJc w:val="left"/>
      <w:rPr>
        <w:rFonts w:hint="eastAsia"/>
      </w:rPr>
    </w:lvl>
  </w:abstractNum>
  <w:abstractNum w:abstractNumId="1">
    <w:nsid w:val="3EFFD214"/>
    <w:multiLevelType w:val="singleLevel"/>
    <w:tmpl w:val="3EFFD21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87CF2"/>
    <w:rsid w:val="0276393D"/>
    <w:rsid w:val="052378A1"/>
    <w:rsid w:val="0A887CF2"/>
    <w:rsid w:val="17D87232"/>
    <w:rsid w:val="2A133401"/>
    <w:rsid w:val="2E976D4D"/>
    <w:rsid w:val="2F2B4DD7"/>
    <w:rsid w:val="30461A93"/>
    <w:rsid w:val="32D63232"/>
    <w:rsid w:val="3D1A5FA4"/>
    <w:rsid w:val="4C287622"/>
    <w:rsid w:val="54D8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2022-12-15T03:10:00Z</dcterms:created>
  <dc:creator>陈曦</dc:creator>
  <cp:lastModifiedBy>贾迪</cp:lastModifiedBy>
  <dcterms:modified xsi:type="dcterms:W3CDTF">2024-01-11T06:44:55Z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