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销售、购买易制爆危险化学品情况备案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一、办理依据：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《危险化学品安全管理条例》第四十一条第二款：剧毒化学品、易制爆危险化学品的销售企业、购买单位应当在销售、购买后5日内，将所销售、购买的剧毒化学品、易制爆危险化学品的品种、数量以及流向信息报所在地县级人民政府公安机关备案，并输入计算机系统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二、受理条件：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《危险化学品安全管理条例》第四十一条:剧毒化学品、易制爆危险化学品的销售企业、购买单位应当在销售、购买后5日内，将所销售、购买的剧毒化学品、易制爆危险化学品的品种、数量以及流向信息报所在地县级人民政府公安机关备案，并输入计算机系统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销售备案的，属于危险化学品生产、经营企业，在销售后5日内备案。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三、申请材料：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1、易制爆危险化学品销售情况备案材料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2、易制爆危险化学品购买情况备案材料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四、办理流程：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1.申请：申请人通过安徽政务服务网宿州分厅（http://sz.ahzwfw.gov.cn/）或到泗县政务服务中心进行申请。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2.受理：窗口工作人员进行受理，对符合法定形式的，出具《受理通知书》。对于不符合法定形式，网上或当场一次性告知需要补正的全部内容。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3.审查：按照审查标准进行合法性审查。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4.办结：根据审查结果对符合办理条件的予以办结。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六、办理时限：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法定办结时限：15个工作日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承诺办结时限：1个工作日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七、收费依据、收费标准：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免费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八、数量限制：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无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九、年审年检：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无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十、注意事项：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十一、联系电话：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0557-7028286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i w:val="0"/>
          <w:iCs w:val="0"/>
          <w:sz w:val="32"/>
          <w:szCs w:val="32"/>
          <w:lang w:val="en-US" w:eastAsia="zh-CN"/>
        </w:rPr>
        <w:t>十二、</w:t>
      </w:r>
      <w:r>
        <w:rPr>
          <w:rFonts w:hint="eastAsia"/>
          <w:b/>
          <w:bCs/>
          <w:i w:val="0"/>
          <w:iCs w:val="0"/>
          <w:sz w:val="30"/>
          <w:szCs w:val="30"/>
          <w:lang w:val="en-US" w:eastAsia="zh-CN"/>
        </w:rPr>
        <w:t>监督电话：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0557-7358008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9E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2024-01-18T05:57:22Z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