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928" w:firstLineChars="600"/>
        <w:rPr>
          <w:rFonts w:hint="eastAsia"/>
          <w:b/>
          <w:bCs/>
          <w:sz w:val="32"/>
          <w:szCs w:val="32"/>
        </w:rPr>
      </w:pPr>
      <w:r>
        <w:rPr>
          <w:rFonts w:hint="eastAsia"/>
          <w:b/>
          <w:bCs/>
          <w:sz w:val="32"/>
          <w:szCs w:val="32"/>
        </w:rPr>
        <w:t>曾经同户人员间亲属关系证明</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第四条：户口登记机关应当设立户口登记簿。……户口登记簿和户口簿登记的事项，具有证明公民身份的效力。</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泗县公安局大队</w:t>
      </w:r>
    </w:p>
    <w:p>
      <w:pPr>
        <w:numPr>
          <w:ilvl w:val="0"/>
          <w:numId w:val="0"/>
        </w:numPr>
        <w:rPr>
          <w:rFonts w:hint="eastAsia"/>
          <w:b/>
          <w:bCs/>
          <w:sz w:val="32"/>
          <w:szCs w:val="32"/>
          <w:lang w:val="en-US" w:eastAsia="zh-CN"/>
        </w:rPr>
      </w:pPr>
      <w:bookmarkStart w:id="0" w:name="_GoBack"/>
      <w:bookmarkEnd w:id="0"/>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曾经同户人员间的亲属关系，历史户籍档案等能够反映，需要开具证明的，公安派出所在核实后应当出具。</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1、申请：申请人备齐申请材料通过安徽政务网上提交电子申请或申请人到户籍地派出所窗口或者政务服务大厅二楼公安综合窗口申请；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3、审查：户籍窗口予以调查审核；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4、办结：情况属实予以办理，打印户口本或证明邮寄申请人。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3个工作日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4DD6"/>
    <w:rsid w:val="4974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2023-12-12T00:53:38Z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