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249" w:firstLineChars="700"/>
        <w:rPr>
          <w:rFonts w:hint="eastAsia"/>
          <w:b/>
          <w:bCs/>
          <w:sz w:val="32"/>
          <w:szCs w:val="32"/>
        </w:rPr>
      </w:pPr>
      <w:r>
        <w:rPr>
          <w:rFonts w:hint="eastAsia"/>
          <w:b/>
          <w:bCs/>
          <w:sz w:val="32"/>
          <w:szCs w:val="32"/>
        </w:rPr>
        <w:t>出国境定居注销户口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第八条：公民死亡，……由户主、亲属、抚养人或者邻居向户口登记机关申报死亡登记，注销户口。……</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《安徽省户政管理工作规范》第四十六条 〔定居国（境）外注销〕定居国（境）外的中国公民，本人应当凭住在国（地区）出具的足以证明其定居该国的有关证件、证明，以及具有资质机构出具的上述外国证件、证明的相应翻译件，向户口所在地公安派出所申报注销户口登记，并交回居民身份证。</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w:t>
      </w:r>
      <w:bookmarkStart w:id="0" w:name="_GoBack"/>
      <w:bookmarkEnd w:id="0"/>
      <w:r>
        <w:rPr>
          <w:rFonts w:hint="eastAsia"/>
          <w:b w:val="0"/>
          <w:bCs w:val="0"/>
          <w:sz w:val="32"/>
          <w:szCs w:val="32"/>
          <w:lang w:val="en-US" w:eastAsia="zh-CN"/>
        </w:rPr>
        <w:t>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pPr>
        <w:numPr>
          <w:ilvl w:val="0"/>
          <w:numId w:val="0"/>
        </w:numPr>
        <w:rPr>
          <w:rFonts w:hint="eastAsia"/>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5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2023-12-06T07:11:23Z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