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2570" w:firstLineChars="8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个人国际联网备案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计算机信息网络国际联网安全保护管理办法》（公安部令第33号）第十二条：互联单位、接入单位、使用计算机信息网络国际联网的法人或其他组织（包括跨省、自治区、直辖市联网的单位和所属的分支机构），应当自网络正式联通之日起三十日内，到所在地的省、自治区、直辖市人民政府公安机关指定的受理机关办理备案手续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二、承办机构：</w:t>
      </w:r>
      <w:bookmarkStart w:id="0" w:name="_GoBack"/>
      <w:r>
        <w:rPr>
          <w:rFonts w:hint="eastAsia"/>
          <w:b w:val="0"/>
          <w:bCs w:val="0"/>
          <w:sz w:val="32"/>
          <w:szCs w:val="32"/>
          <w:lang w:val="en-US" w:eastAsia="zh-CN"/>
        </w:rPr>
        <w:t>泗县公安局行政审批室</w:t>
      </w:r>
    </w:p>
    <w:bookmarkEnd w:id="0"/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自网络正式连通之日起三十日内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2.受理：窗口工作人员进行受理，对符合法定形式的，出具《受理通知书》。对于不符合法定形式，网上或当场一次性告知需要补正的全部内容。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3.审查：按照审查标准进行合法性审查。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21个工作日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电话：0557-7028286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D3D53"/>
    <w:rsid w:val="5021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2023-12-07T01:41:08Z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