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身份证挂失、解挂</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0"/>
        </w:numPr>
        <w:rPr>
          <w:rFonts w:hint="eastAsia"/>
          <w:b/>
          <w:bCs/>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治安大队</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居民身份证遗失及找回。</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无</w:t>
      </w:r>
    </w:p>
    <w:p>
      <w:p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w:t>
      </w:r>
      <w:bookmarkStart w:id="0" w:name="_GoBack"/>
      <w:bookmarkEnd w:id="0"/>
      <w:r>
        <w:rPr>
          <w:rFonts w:hint="eastAsia"/>
          <w:b w:val="0"/>
          <w:bCs w:val="0"/>
          <w:sz w:val="32"/>
          <w:szCs w:val="32"/>
          <w:lang w:val="en-US" w:eastAsia="zh-CN"/>
        </w:rPr>
        <w:t>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2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2023-12-07T07:48:35Z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