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570" w:firstLineChars="800"/>
        <w:rPr>
          <w:rFonts w:hint="eastAsia"/>
          <w:b/>
          <w:bCs/>
          <w:sz w:val="32"/>
          <w:szCs w:val="32"/>
        </w:rPr>
      </w:pPr>
      <w:r>
        <w:rPr>
          <w:rFonts w:hint="eastAsia"/>
          <w:b/>
          <w:bCs/>
          <w:sz w:val="32"/>
          <w:szCs w:val="32"/>
        </w:rPr>
        <w:t>无户口人员登记户口</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《中华人民共和国户口登记条例》第三条：户口登记工作，由各级公安机关主管。……</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第七条：婴儿出生后一个月内，由户主、亲属、抚养人或者邻居向婴儿常住地户口登记机关申报出生登记。弃婴，由收养人或者育婴机关向户口登记机关申报出生登记。</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中华人民共和国护照或者入境证件；3.被人民法院、人民检察院或者公安机关释放的人，凭释放机关发给的证件。</w:t>
      </w:r>
    </w:p>
    <w:p>
      <w:pPr>
        <w:numPr>
          <w:ilvl w:val="0"/>
          <w:numId w:val="0"/>
        </w:numPr>
        <w:rPr>
          <w:rFonts w:hint="eastAsia" w:eastAsiaTheme="minorEastAsia"/>
          <w:b w:val="0"/>
          <w:bCs w:val="0"/>
          <w:sz w:val="32"/>
          <w:szCs w:val="32"/>
          <w:lang w:val="en-US" w:eastAsia="zh-CN"/>
        </w:rPr>
      </w:pPr>
      <w:r>
        <w:rPr>
          <w:rFonts w:hint="eastAsia"/>
          <w:b/>
          <w:bCs/>
          <w:sz w:val="32"/>
          <w:szCs w:val="32"/>
          <w:lang w:val="en-US" w:eastAsia="zh-CN"/>
        </w:rPr>
        <w:t>二、承办机构：</w:t>
      </w:r>
    </w:p>
    <w:p>
      <w:pPr>
        <w:numPr>
          <w:ilvl w:val="0"/>
          <w:numId w:val="0"/>
        </w:numPr>
        <w:rPr>
          <w:rFonts w:hint="eastAsia"/>
          <w:b/>
          <w:bCs/>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《安徽省户政管理工作规范》第四十条 〔特殊原因造成的无户口人员〕特殊原因造成的无户口人员，本人或者承担监护职责的单位或个人可以提出申请，经公安机关会同有关部门调查核实后，办理户口登记。经民政部门和公安机关按照有关规定开展身份查询和寻亲服务后，仍无法查明其亲属、所在单位、户籍地、居住地的生活无着的流浪乞讨人员，由县级以上民政部门按照有关规定凭县级以上民政部门申报户口函、流浪人员基本情况、救助管理机构救助情况、寻亲情况及无户口情况说明及公安机关出具的DNA采样证明，向当地公安派出所申请为其办理户口登记。公安派出所予以公示后，按照“户籍补录”报县级公安机关审核，呈市级公安机关审批后办理。14周岁以上无户口人员，由本人或监护人提出书面申请，说明原因并提供相应的证明材料，向当地公安机关申请办理户口登记。公安机关进行DNA采样排除被拐卖情况，由两名以上民警调查知情人两人以上，公安派出所予以公示后，按照“户籍补录”报县级公安机关审核，呈市级公安机关审批后办理。</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20个工作日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电话：0557-35835</w:t>
      </w:r>
      <w:bookmarkStart w:id="0" w:name="_GoBack"/>
      <w:bookmarkEnd w:id="0"/>
      <w:r>
        <w:rPr>
          <w:rFonts w:hint="eastAsia"/>
          <w:b w:val="0"/>
          <w:bCs w:val="0"/>
          <w:sz w:val="32"/>
          <w:szCs w:val="32"/>
          <w:lang w:val="en-US" w:eastAsia="zh-CN"/>
        </w:rPr>
        <w:t>75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D2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2023-12-06T08:01:28Z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