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168" w:firstLineChars="600"/>
        <w:rPr>
          <w:rFonts w:hint="eastAsia"/>
          <w:b/>
          <w:bCs/>
          <w:sz w:val="36"/>
          <w:szCs w:val="36"/>
        </w:rPr>
      </w:pPr>
      <w:r>
        <w:rPr>
          <w:rFonts w:hint="eastAsia"/>
          <w:b/>
          <w:bCs/>
          <w:sz w:val="36"/>
          <w:szCs w:val="36"/>
        </w:rPr>
        <w:t>与户主关系的登记及变更</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1"/>
        </w:numPr>
        <w:rPr>
          <w:rFonts w:hint="eastAsia"/>
          <w:b w:val="0"/>
          <w:bCs w:val="0"/>
          <w:sz w:val="32"/>
          <w:szCs w:val="32"/>
          <w:lang w:val="en-US" w:eastAsia="zh-CN"/>
        </w:rPr>
      </w:pPr>
      <w:r>
        <w:rPr>
          <w:rFonts w:hint="eastAsia"/>
          <w:b/>
          <w:bCs/>
          <w:sz w:val="32"/>
          <w:szCs w:val="32"/>
          <w:lang w:val="en-US" w:eastAsia="zh-CN"/>
        </w:rPr>
        <w:t xml:space="preserve">承办机构: </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《安徽省户政管理工作规范》第九十一条  〔与户主关系的登记及变更〕与户主关系的登记，本人是户主的，登记为户主；家庭户内人员，登记本人与户主的血亲或姻亲关系等具体称谓；集体户内人员，登记为非亲属关系。</w:t>
      </w:r>
    </w:p>
    <w:p>
      <w:pPr>
        <w:numPr>
          <w:ilvl w:val="0"/>
          <w:numId w:val="0"/>
        </w:numPr>
        <w:rPr>
          <w:rFonts w:hint="eastAsia"/>
          <w:b w:val="0"/>
          <w:bCs w:val="0"/>
          <w:sz w:val="32"/>
          <w:szCs w:val="32"/>
          <w:lang w:val="en-US" w:eastAsia="zh-CN"/>
        </w:rPr>
      </w:pPr>
      <w:r>
        <w:rPr>
          <w:rFonts w:hint="eastAsia"/>
          <w:b w:val="0"/>
          <w:bCs w:val="0"/>
          <w:sz w:val="32"/>
          <w:szCs w:val="32"/>
          <w:lang w:val="en-US" w:eastAsia="zh-CN"/>
        </w:rPr>
        <w:t>变更户主时，应当同时调整户内成员与户主关系。</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w:t>
      </w:r>
      <w:bookmarkStart w:id="0" w:name="_GoBack"/>
      <w:bookmarkEnd w:id="0"/>
      <w:r>
        <w:rPr>
          <w:rFonts w:hint="eastAsia"/>
          <w:b w:val="0"/>
          <w:bCs w:val="0"/>
          <w:sz w:val="32"/>
          <w:szCs w:val="32"/>
          <w:lang w:val="en-US" w:eastAsia="zh-CN"/>
        </w:rPr>
        <w:t>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96094"/>
    <w:rsid w:val="5A0547AD"/>
    <w:rsid w:val="75CD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2023-12-11T08:27:17Z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