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249" w:firstLineChars="700"/>
        <w:rPr>
          <w:rFonts w:hint="eastAsia"/>
          <w:b/>
          <w:bCs/>
          <w:sz w:val="32"/>
          <w:szCs w:val="32"/>
        </w:rPr>
      </w:pPr>
      <w:r>
        <w:rPr>
          <w:rFonts w:hint="eastAsia"/>
          <w:b/>
          <w:bCs/>
          <w:sz w:val="32"/>
          <w:szCs w:val="32"/>
        </w:rPr>
        <w:t>因参军注销恢复户口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第七条：婴儿出生后一个月内，由户主、亲属、抚养人或者邻居向婴儿常住地户口登记机关申报出生登记。弃婴，由收养人或者育婴机关向户口登记机关申报出生登记。</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eastAsiaTheme="minor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泗县公安局行政审批室</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《安徽省户政管理工作规范》第五十六条 〔因参军入伍注销户口恢复〕因参军入伍已注销户口的，在退出现役后或者被部队做退兵处理、开除军籍、除名，应当持安置地退役军人事务管理部门出具的介绍信或者部队退兵处理、开除军籍、除名的文件，依据情况在原户口注销地或现居住地公安派出所申报恢复户口登记。跨军地改革集体转制单位退役军人落户工作按照国家有关规定执行。</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25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2023-12-06T08:13:39Z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