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807" w:firstLineChars="500"/>
        <w:rPr>
          <w:rFonts w:hint="eastAsia" w:eastAsiaTheme="minorEastAsia"/>
          <w:b/>
          <w:bCs/>
          <w:sz w:val="36"/>
          <w:szCs w:val="36"/>
          <w:lang w:eastAsia="zh-CN"/>
        </w:rPr>
      </w:pPr>
      <w:r>
        <w:rPr>
          <w:rFonts w:hint="eastAsia"/>
          <w:b/>
          <w:bCs/>
          <w:sz w:val="36"/>
          <w:szCs w:val="36"/>
        </w:rPr>
        <w:t>出入境通行证签发</w:t>
      </w:r>
      <w:r>
        <w:rPr>
          <w:rFonts w:hint="eastAsia"/>
          <w:b/>
          <w:bCs/>
          <w:sz w:val="36"/>
          <w:szCs w:val="36"/>
          <w:lang w:eastAsia="zh-CN"/>
        </w:rPr>
        <w:t>服务指南</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《中华人民共和国护照法》第二十四条：公民从事边境贸易、边境旅游服务或者参加边境旅游等情形，可以向公安部委托的县级以上地方人民政府公安机关出入境管理机构申请中华人民共和国出入境通行证。</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《中国公民因私事往来香港地区或者澳门地区的暂行管理办法》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第十四条：……不经常来内地的港澳同胞，可申请领取入出境通行证。申领办法与申领港澳同胞回乡证相同。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香港或者澳门的内地居民返回内地期间，往来港澳通行证遗失、失效或者签注失效急需返回香港或者澳门的，国籍冲突类未成年人临时需要出入境的。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近期免冠照片</w:t>
      </w:r>
    </w:p>
    <w:p>
      <w:pPr>
        <w:numPr>
          <w:ilvl w:val="0"/>
          <w:numId w:val="1"/>
        </w:numPr>
        <w:rPr>
          <w:rFonts w:hint="eastAsia"/>
          <w:b w:val="0"/>
          <w:bCs w:val="0"/>
          <w:sz w:val="30"/>
          <w:szCs w:val="30"/>
          <w:lang w:val="en-US" w:eastAsia="zh-CN"/>
        </w:rPr>
      </w:pPr>
      <w:r>
        <w:rPr>
          <w:rFonts w:hint="eastAsia"/>
          <w:b w:val="0"/>
          <w:bCs w:val="0"/>
          <w:sz w:val="30"/>
          <w:szCs w:val="30"/>
          <w:lang w:val="en-US" w:eastAsia="zh-CN"/>
        </w:rPr>
        <w:t>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未满十六周岁所需材料（户口薄、出生证明、护照、港澳居民身份证）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《中华人民共和国出入境通行证申请表》</w:t>
      </w:r>
    </w:p>
    <w:p>
      <w:pPr>
        <w:numPr>
          <w:ilvl w:val="0"/>
          <w:numId w:val="1"/>
        </w:numPr>
        <w:rPr>
          <w:rFonts w:hint="eastAsia"/>
          <w:b w:val="0"/>
          <w:bCs w:val="0"/>
          <w:sz w:val="30"/>
          <w:szCs w:val="30"/>
          <w:lang w:val="en-US" w:eastAsia="zh-CN"/>
        </w:rPr>
      </w:pPr>
      <w:r>
        <w:rPr>
          <w:rFonts w:hint="eastAsia"/>
          <w:b w:val="0"/>
          <w:bCs w:val="0"/>
          <w:sz w:val="30"/>
          <w:szCs w:val="30"/>
          <w:lang w:val="en-US" w:eastAsia="zh-CN"/>
        </w:rPr>
        <w:t>单位同意函</w:t>
      </w:r>
    </w:p>
    <w:p>
      <w:pPr>
        <w:numPr>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国家发展改革委、财政部印发了《关于降低电信网码号资源占用费等部分行政事业性收费标准的通知》（发改价格〔2017〕1186号）</w:t>
      </w:r>
    </w:p>
    <w:p>
      <w:pPr>
        <w:numPr>
          <w:ilvl w:val="0"/>
          <w:numId w:val="0"/>
        </w:numPr>
        <w:rPr>
          <w:rFonts w:hint="eastAsia"/>
          <w:b w:val="0"/>
          <w:bCs w:val="0"/>
          <w:sz w:val="30"/>
          <w:szCs w:val="30"/>
          <w:lang w:val="en-US" w:eastAsia="zh-CN"/>
        </w:rPr>
      </w:pPr>
      <w:r>
        <w:rPr>
          <w:rFonts w:hint="eastAsia"/>
          <w:b w:val="0"/>
          <w:bCs w:val="0"/>
          <w:sz w:val="30"/>
          <w:szCs w:val="30"/>
          <w:lang w:val="en-US" w:eastAsia="zh-CN"/>
        </w:rPr>
        <w:t>一次出入境有效的15元/本；多次出入境有效的80元/本（港澳流动渔船内地渔工、珠澳小额贸易人员免征出入境通行证证件收费）。</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中华人民共和国出入境通行证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51B8E"/>
    <w:rsid w:val="1AE72BA4"/>
    <w:rsid w:val="1EBB7088"/>
    <w:rsid w:val="500D0B18"/>
    <w:rsid w:val="64E14CFA"/>
    <w:rsid w:val="684C40A0"/>
    <w:rsid w:val="7428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2024-01-12T01:53:07Z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