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摩托车注销登记</w:t>
      </w:r>
    </w:p>
    <w:p>
      <w:pPr>
        <w:numPr>
          <w:ilvl w:val="0"/>
          <w:numId w:val="0"/>
        </w:numPr>
        <w:jc w:val="both"/>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jc w:val="both"/>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机动车号牌</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b/>
          <w:bCs/>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四年以内的每2年在检测站上线检测一次，超过4年的，每一年需在检测线站上线检测。</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6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