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eastAsia="zh-CN"/>
        </w:rPr>
      </w:pPr>
      <w:r>
        <w:rPr>
          <w:rFonts w:hint="eastAsia"/>
          <w:b/>
          <w:bCs/>
          <w:sz w:val="36"/>
          <w:szCs w:val="36"/>
        </w:rPr>
        <w:t>猎民配置枪支许可</w:t>
      </w:r>
    </w:p>
    <w:p>
      <w:pPr>
        <w:numPr>
          <w:ilvl w:val="0"/>
          <w:numId w:val="1"/>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设定依据：</w:t>
      </w:r>
      <w:r>
        <w:rPr>
          <w:rFonts w:hint="eastAsia" w:asciiTheme="minorEastAsia" w:hAnsiTheme="minorEastAsia" w:eastAsiaTheme="minorEastAsia" w:cstheme="minorEastAsia"/>
          <w:b w:val="0"/>
          <w:bCs w:val="0"/>
          <w:sz w:val="32"/>
          <w:szCs w:val="32"/>
          <w:lang w:val="en-US" w:eastAsia="zh-CN"/>
        </w:rPr>
        <w:t>《中华人民共和国枪支管理法》第十条：……猎民申请配置猎枪的，应当凭其所在地的县级人民政府野生动物行政主管部门核发的狩猎证和个人身份证件，向所在地的县级人民政府公安机关提出；……受理申请的公安机关审查批准后，应当报请设区的市级人民政府公安机关核发民用枪支配购证件。</w:t>
      </w:r>
    </w:p>
    <w:p>
      <w:pPr>
        <w:numPr>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第四十八条：制造、配售、运输枪支的主要零部件和用于枪支的弹药，适用本法的有关规定。</w:t>
      </w:r>
    </w:p>
    <w:p>
      <w:pPr>
        <w:numPr>
          <w:ilvl w:val="0"/>
          <w:numId w:val="0"/>
        </w:numP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bCs/>
          <w:sz w:val="32"/>
          <w:szCs w:val="32"/>
          <w:lang w:val="en-US" w:eastAsia="zh-CN"/>
        </w:rPr>
        <w:t>二、申请条件：</w:t>
      </w:r>
      <w:r>
        <w:rPr>
          <w:rFonts w:hint="eastAsia" w:asciiTheme="minorEastAsia" w:hAnsiTheme="minorEastAsia" w:cstheme="minorEastAsia"/>
          <w:b w:val="0"/>
          <w:bCs w:val="0"/>
          <w:sz w:val="32"/>
          <w:szCs w:val="32"/>
          <w:lang w:val="en-US" w:eastAsia="zh-CN"/>
        </w:rPr>
        <w:t>准予行政许可的条件：</w:t>
      </w:r>
    </w:p>
    <w:p>
      <w:pPr>
        <w:numPr>
          <w:ilvl w:val="0"/>
          <w:numId w:val="0"/>
        </w:numP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（1）具备猎民身份；</w:t>
      </w:r>
    </w:p>
    <w:p>
      <w:pPr>
        <w:numPr>
          <w:ilvl w:val="0"/>
          <w:numId w:val="0"/>
        </w:numP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（2）具有所在地县级及以上人民政府野生动物保护主管部门核发的狩猎证或特许猎捕证；</w:t>
      </w:r>
    </w:p>
    <w:p>
      <w:pPr>
        <w:numPr>
          <w:ilvl w:val="0"/>
          <w:numId w:val="0"/>
        </w:numP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（3）有民事行为能力且经过专门用枪培训；</w:t>
      </w:r>
    </w:p>
    <w:p>
      <w:pPr>
        <w:numPr>
          <w:ilvl w:val="0"/>
          <w:numId w:val="0"/>
        </w:numP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（4）具备安全保管枪支的条件；</w:t>
      </w:r>
    </w:p>
    <w:p>
      <w:pPr>
        <w:numPr>
          <w:ilvl w:val="0"/>
          <w:numId w:val="0"/>
        </w:numPr>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（5）法律、法规和规章规定的条件。</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三、</w:t>
      </w:r>
      <w:r>
        <w:rPr>
          <w:rFonts w:hint="eastAsia" w:asciiTheme="minorEastAsia" w:hAnsiTheme="minorEastAsia" w:eastAsiaTheme="minorEastAsia" w:cstheme="minorEastAsia"/>
          <w:b/>
          <w:bCs/>
          <w:sz w:val="30"/>
          <w:szCs w:val="30"/>
          <w:lang w:val="en-US" w:eastAsia="zh-CN"/>
        </w:rPr>
        <w:t>申请材料</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中华人民共和国居民身份证</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cstheme="minorEastAsia"/>
          <w:b/>
          <w:bCs/>
          <w:sz w:val="30"/>
          <w:szCs w:val="30"/>
          <w:lang w:val="en-US" w:eastAsia="zh-CN"/>
        </w:rPr>
        <w:t>四</w:t>
      </w:r>
      <w:r>
        <w:rPr>
          <w:rFonts w:hint="eastAsia" w:asciiTheme="minorEastAsia" w:hAnsiTheme="minorEastAsia" w:eastAsiaTheme="minorEastAsia" w:cstheme="minorEastAsia"/>
          <w:b/>
          <w:bCs/>
          <w:sz w:val="30"/>
          <w:szCs w:val="30"/>
          <w:lang w:val="en-US" w:eastAsia="zh-CN"/>
        </w:rPr>
        <w:t>、审批流程：</w:t>
      </w:r>
      <w:r>
        <w:rPr>
          <w:rFonts w:hint="eastAsia" w:asciiTheme="minorEastAsia" w:hAnsiTheme="minorEastAsia" w:eastAsiaTheme="minorEastAsia" w:cstheme="minorEastAsia"/>
          <w:b w:val="0"/>
          <w:bCs w:val="0"/>
          <w:sz w:val="30"/>
          <w:szCs w:val="30"/>
          <w:lang w:val="en-US" w:eastAsia="zh-CN"/>
        </w:rPr>
        <w:t>1、申请：申请人到公安窗口申请或备齐申请材料通过安徽政务网上提交电子申请；</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2、受理： 公安窗口确认申请人申请材料齐全、符合受理条件的予以受理；</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3、审查：公安窗口予以调查审核；</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4、办结：情况属实予以办理，邮寄申请人。</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五、</w:t>
      </w:r>
      <w:r>
        <w:rPr>
          <w:rFonts w:hint="eastAsia" w:asciiTheme="minorEastAsia" w:hAnsiTheme="minorEastAsia" w:eastAsiaTheme="minorEastAsia" w:cstheme="minorEastAsia"/>
          <w:b/>
          <w:bCs/>
          <w:sz w:val="30"/>
          <w:szCs w:val="30"/>
          <w:lang w:val="en-US" w:eastAsia="zh-CN"/>
        </w:rPr>
        <w:t>审批时限：</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法定办结时限：</w:t>
      </w:r>
      <w:r>
        <w:rPr>
          <w:rFonts w:hint="eastAsia" w:asciiTheme="minorEastAsia" w:hAnsiTheme="minorEastAsia" w:cstheme="minorEastAsia"/>
          <w:b w:val="0"/>
          <w:bCs w:val="0"/>
          <w:sz w:val="30"/>
          <w:szCs w:val="30"/>
          <w:lang w:val="en-US" w:eastAsia="zh-CN"/>
        </w:rPr>
        <w:t>20</w:t>
      </w:r>
      <w:r>
        <w:rPr>
          <w:rFonts w:hint="eastAsia" w:asciiTheme="minorEastAsia" w:hAnsiTheme="minorEastAsia" w:eastAsiaTheme="minorEastAsia" w:cstheme="minorEastAsia"/>
          <w:b w:val="0"/>
          <w:bCs w:val="0"/>
          <w:sz w:val="30"/>
          <w:szCs w:val="30"/>
          <w:lang w:val="en-US" w:eastAsia="zh-CN"/>
        </w:rPr>
        <w:t>个工作日</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承诺办结时限：1个工作日</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六</w:t>
      </w:r>
      <w:r>
        <w:rPr>
          <w:rFonts w:hint="eastAsia" w:asciiTheme="minorEastAsia" w:hAnsiTheme="minorEastAsia" w:eastAsiaTheme="minorEastAsia" w:cstheme="minorEastAsia"/>
          <w:b/>
          <w:bCs/>
          <w:sz w:val="30"/>
          <w:szCs w:val="30"/>
          <w:lang w:val="en-US" w:eastAsia="zh-CN"/>
        </w:rPr>
        <w:t>、收费依据及标准：</w:t>
      </w:r>
      <w:r>
        <w:rPr>
          <w:rFonts w:hint="eastAsia" w:asciiTheme="minorEastAsia" w:hAnsiTheme="minorEastAsia" w:eastAsiaTheme="minorEastAsia" w:cstheme="minorEastAsia"/>
          <w:b w:val="0"/>
          <w:bCs w:val="0"/>
          <w:sz w:val="30"/>
          <w:szCs w:val="30"/>
          <w:lang w:val="en-US" w:eastAsia="zh-CN"/>
        </w:rPr>
        <w:t>免费</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七</w:t>
      </w:r>
      <w:r>
        <w:rPr>
          <w:rFonts w:hint="eastAsia" w:asciiTheme="minorEastAsia" w:hAnsiTheme="minorEastAsia" w:eastAsiaTheme="minorEastAsia" w:cstheme="minorEastAsia"/>
          <w:b/>
          <w:bCs/>
          <w:sz w:val="30"/>
          <w:szCs w:val="30"/>
          <w:lang w:val="en-US" w:eastAsia="zh-CN"/>
        </w:rPr>
        <w:t>、数量限制：</w:t>
      </w:r>
      <w:r>
        <w:rPr>
          <w:rFonts w:hint="eastAsia" w:asciiTheme="minorEastAsia" w:hAnsiTheme="minorEastAsia" w:eastAsiaTheme="minorEastAsia" w:cstheme="minorEastAsia"/>
          <w:b w:val="0"/>
          <w:bCs w:val="0"/>
          <w:sz w:val="30"/>
          <w:szCs w:val="30"/>
          <w:lang w:val="en-US" w:eastAsia="zh-CN"/>
        </w:rPr>
        <w:t>无</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八、</w:t>
      </w:r>
      <w:r>
        <w:rPr>
          <w:rFonts w:hint="eastAsia" w:asciiTheme="minorEastAsia" w:hAnsiTheme="minorEastAsia" w:cstheme="minorEastAsia"/>
          <w:b/>
          <w:bCs/>
          <w:sz w:val="30"/>
          <w:szCs w:val="30"/>
          <w:lang w:val="en-US" w:eastAsia="zh-CN"/>
        </w:rPr>
        <w:t>注意事项：</w:t>
      </w:r>
      <w:r>
        <w:rPr>
          <w:rFonts w:hint="eastAsia" w:asciiTheme="minorEastAsia" w:hAnsiTheme="minorEastAsia" w:cstheme="minorEastAsia"/>
          <w:b w:val="0"/>
          <w:bCs w:val="0"/>
          <w:sz w:val="30"/>
          <w:szCs w:val="30"/>
          <w:lang w:val="en-US" w:eastAsia="zh-CN"/>
        </w:rPr>
        <w:t>无</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bCs/>
          <w:sz w:val="30"/>
          <w:szCs w:val="30"/>
          <w:lang w:val="en-US" w:eastAsia="zh-CN"/>
        </w:rPr>
        <w:t>九、联系电话：</w:t>
      </w:r>
      <w:r>
        <w:rPr>
          <w:rFonts w:hint="eastAsia" w:asciiTheme="minorEastAsia" w:hAnsiTheme="minorEastAsia" w:eastAsiaTheme="minorEastAsia" w:cstheme="minorEastAsia"/>
          <w:b w:val="0"/>
          <w:bCs w:val="0"/>
          <w:sz w:val="30"/>
          <w:szCs w:val="30"/>
          <w:lang w:val="en-US" w:eastAsia="zh-CN"/>
        </w:rPr>
        <w:t>0557-7028286</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十、监督电话：</w:t>
      </w:r>
      <w:r>
        <w:rPr>
          <w:rFonts w:hint="eastAsia" w:asciiTheme="minorEastAsia" w:hAnsiTheme="minorEastAsia" w:eastAsiaTheme="minorEastAsia" w:cstheme="minorEastAsia"/>
          <w:b w:val="0"/>
          <w:bCs w:val="0"/>
          <w:sz w:val="30"/>
          <w:szCs w:val="30"/>
          <w:lang w:val="en-US" w:eastAsia="zh-CN"/>
        </w:rPr>
        <w:t>0557-735</w:t>
      </w:r>
      <w:bookmarkStart w:id="0" w:name="_GoBack"/>
      <w:bookmarkEnd w:id="0"/>
      <w:r>
        <w:rPr>
          <w:rFonts w:hint="eastAsia" w:asciiTheme="minorEastAsia" w:hAnsiTheme="minorEastAsia" w:eastAsiaTheme="minorEastAsia" w:cstheme="minorEastAsia"/>
          <w:b w:val="0"/>
          <w:bCs w:val="0"/>
          <w:sz w:val="30"/>
          <w:szCs w:val="30"/>
          <w:lang w:val="en-US" w:eastAsia="zh-CN"/>
        </w:rPr>
        <w:t>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David">
    <w:panose1 w:val="020E0502060401010101"/>
    <w:charset w:val="00"/>
    <w:family w:val="auto"/>
    <w:pitch w:val="default"/>
    <w:sig w:usb0="00000801" w:usb1="00000000" w:usb2="00000000" w:usb3="00000000" w:csb0="00000020" w:csb1="00200000"/>
  </w:font>
  <w:font w:name="EucrosiaUPC">
    <w:panose1 w:val="02020603050405020304"/>
    <w:charset w:val="00"/>
    <w:family w:val="auto"/>
    <w:pitch w:val="default"/>
    <w:sig w:usb0="8100002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T Extra">
    <w:panose1 w:val="05050102010205020202"/>
    <w:charset w:val="00"/>
    <w:family w:val="auto"/>
    <w:pitch w:val="default"/>
    <w:sig w:usb0="8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Shruti">
    <w:panose1 w:val="020B0502040204020203"/>
    <w:charset w:val="00"/>
    <w:family w:val="auto"/>
    <w:pitch w:val="default"/>
    <w:sig w:usb0="0004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Verdana">
    <w:panose1 w:val="020B0604030504040204"/>
    <w:charset w:val="00"/>
    <w:family w:val="auto"/>
    <w:pitch w:val="default"/>
    <w:sig w:usb0="A10006FF" w:usb1="4000205B" w:usb2="00000010" w:usb3="00000000" w:csb0="2000019F" w:csb1="00000000"/>
  </w:font>
  <w:font w:name="MV Boli">
    <w:panose1 w:val="02000500030200090000"/>
    <w:charset w:val="00"/>
    <w:family w:val="auto"/>
    <w:pitch w:val="default"/>
    <w:sig w:usb0="00000003" w:usb1="00000000" w:usb2="00000100" w:usb3="00000000" w:csb0="00000001" w:csb1="00000000"/>
  </w:font>
  <w:font w:name="Leelawadee">
    <w:panose1 w:val="020B0502040204020203"/>
    <w:charset w:val="00"/>
    <w:family w:val="auto"/>
    <w:pitch w:val="default"/>
    <w:sig w:usb0="810000AF" w:usb1="4000204B" w:usb2="00000000" w:usb3="00000000" w:csb0="20010001" w:csb1="00000000"/>
  </w:font>
  <w:font w:name="Latha">
    <w:panose1 w:val="020B0604020202020204"/>
    <w:charset w:val="00"/>
    <w:family w:val="auto"/>
    <w:pitch w:val="default"/>
    <w:sig w:usb0="001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Gautami">
    <w:panose1 w:val="020B0502040204020203"/>
    <w:charset w:val="00"/>
    <w:family w:val="auto"/>
    <w:pitch w:val="default"/>
    <w:sig w:usb0="00200003" w:usb1="00000000" w:usb2="00000000" w:usb3="00000000" w:csb0="00000001" w:csb1="00000000"/>
  </w:font>
  <w:font w:name="FreesiaUPC">
    <w:panose1 w:val="020B0604020202020204"/>
    <w:charset w:val="00"/>
    <w:family w:val="auto"/>
    <w:pitch w:val="default"/>
    <w:sig w:usb0="0100000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Euphemia">
    <w:panose1 w:val="020B0503040102020104"/>
    <w:charset w:val="00"/>
    <w:family w:val="auto"/>
    <w:pitch w:val="default"/>
    <w:sig w:usb0="8000006F" w:usb1="0000004A" w:usb2="00002000" w:usb3="00000000" w:csb0="00000001" w:csb1="00000000"/>
  </w:font>
  <w:font w:name="Estrangelo Edessa">
    <w:panose1 w:val="03080600000000000000"/>
    <w:charset w:val="00"/>
    <w:family w:val="auto"/>
    <w:pitch w:val="default"/>
    <w:sig w:usb0="80002043" w:usb1="00000000" w:usb2="00000080" w:usb3="00000000" w:csb0="00000001" w:csb1="000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7AC62"/>
    <w:multiLevelType w:val="singleLevel"/>
    <w:tmpl w:val="6597AC6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C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2024-01-15T07:19:16Z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