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6"/>
          <w:szCs w:val="36"/>
        </w:rPr>
      </w:pPr>
      <w:r>
        <w:rPr>
          <w:rFonts w:hint="eastAsia"/>
          <w:b/>
          <w:bCs/>
          <w:sz w:val="36"/>
          <w:szCs w:val="36"/>
        </w:rPr>
        <w:t>旅馆业特种行业许可证核发</w:t>
      </w:r>
    </w:p>
    <w:p>
      <w:pPr>
        <w:numPr>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《旅</w:t>
      </w:r>
      <w:bookmarkStart w:id="0" w:name="_GoBack"/>
      <w:bookmarkEnd w:id="0"/>
      <w:r>
        <w:rPr>
          <w:rFonts w:hint="eastAsia"/>
          <w:b w:val="0"/>
          <w:bCs w:val="0"/>
          <w:sz w:val="32"/>
          <w:szCs w:val="32"/>
          <w:lang w:val="en-US" w:eastAsia="zh-CN"/>
        </w:rPr>
        <w:t>馆业治安管理办法》《国务院对确需保留的行政审批项目设定行政许可的决定》《关于深化娱乐服务场所和特种行业治安管理改革进一步依法加强事中事后监管的工作意见》（公治〔2017〕529号）</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1、有合法、规定的经营场所。2、建筑安全、消防安全符合规定。3、具备必要的安全防范设施及视频监控设备。4、从业人员具有完成行为能力，配备必要的安全保卫人员。</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申请报告表</w:t>
      </w:r>
    </w:p>
    <w:p>
      <w:pPr>
        <w:numPr>
          <w:ilvl w:val="0"/>
          <w:numId w:val="2"/>
        </w:numPr>
        <w:rPr>
          <w:rFonts w:hint="eastAsia"/>
          <w:b w:val="0"/>
          <w:bCs w:val="0"/>
          <w:sz w:val="30"/>
          <w:szCs w:val="30"/>
          <w:lang w:val="en-US" w:eastAsia="zh-CN"/>
        </w:rPr>
      </w:pPr>
      <w:r>
        <w:rPr>
          <w:rFonts w:hint="eastAsia"/>
          <w:b w:val="0"/>
          <w:bCs w:val="0"/>
          <w:sz w:val="30"/>
          <w:szCs w:val="30"/>
          <w:lang w:val="en-US" w:eastAsia="zh-CN"/>
        </w:rPr>
        <w:t>营业执照</w:t>
      </w:r>
    </w:p>
    <w:p>
      <w:pPr>
        <w:numPr>
          <w:ilvl w:val="0"/>
          <w:numId w:val="2"/>
        </w:numPr>
        <w:rPr>
          <w:rFonts w:hint="eastAsia"/>
          <w:b w:val="0"/>
          <w:bCs w:val="0"/>
          <w:sz w:val="30"/>
          <w:szCs w:val="30"/>
          <w:lang w:val="en-US" w:eastAsia="zh-CN"/>
        </w:rPr>
      </w:pPr>
      <w:r>
        <w:rPr>
          <w:rFonts w:hint="eastAsia"/>
          <w:b w:val="0"/>
          <w:bCs w:val="0"/>
          <w:sz w:val="30"/>
          <w:szCs w:val="30"/>
          <w:lang w:val="en-US" w:eastAsia="zh-CN"/>
        </w:rPr>
        <w:t>身份证件</w:t>
      </w:r>
    </w:p>
    <w:p>
      <w:pPr>
        <w:numPr>
          <w:ilvl w:val="0"/>
          <w:numId w:val="2"/>
        </w:numPr>
        <w:rPr>
          <w:rFonts w:hint="eastAsia"/>
          <w:b w:val="0"/>
          <w:bCs w:val="0"/>
          <w:sz w:val="30"/>
          <w:szCs w:val="30"/>
          <w:lang w:val="en-US" w:eastAsia="zh-CN"/>
        </w:rPr>
      </w:pPr>
      <w:r>
        <w:rPr>
          <w:rFonts w:hint="eastAsia"/>
          <w:b w:val="0"/>
          <w:bCs w:val="0"/>
          <w:sz w:val="30"/>
          <w:szCs w:val="30"/>
          <w:lang w:val="en-US" w:eastAsia="zh-CN"/>
        </w:rPr>
        <w:t>治安安全防范设备证明材料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示意图</w:t>
      </w:r>
    </w:p>
    <w:p>
      <w:pPr>
        <w:numPr>
          <w:ilvl w:val="0"/>
          <w:numId w:val="2"/>
        </w:numPr>
        <w:rPr>
          <w:rFonts w:hint="eastAsia"/>
          <w:b w:val="0"/>
          <w:bCs w:val="0"/>
          <w:sz w:val="30"/>
          <w:szCs w:val="30"/>
          <w:lang w:val="en-US" w:eastAsia="zh-CN"/>
        </w:rPr>
      </w:pPr>
      <w:r>
        <w:rPr>
          <w:rFonts w:hint="eastAsia"/>
          <w:b w:val="0"/>
          <w:bCs w:val="0"/>
          <w:sz w:val="30"/>
          <w:szCs w:val="30"/>
          <w:lang w:val="en-US" w:eastAsia="zh-CN"/>
        </w:rPr>
        <w:t>经营场所房屋产权证明</w:t>
      </w:r>
    </w:p>
    <w:p>
      <w:pPr>
        <w:numPr>
          <w:ilvl w:val="0"/>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法定办结时限：20个工作日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免费</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特种行业许可证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0557-3583575</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F53E7"/>
    <w:multiLevelType w:val="singleLevel"/>
    <w:tmpl w:val="659F53E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80DFB"/>
    <w:rsid w:val="5AB1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2024-01-15T08:50:53Z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