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机动车驾驶证核发、审验(大型客车、牵引车、城市公交车、中型客车、大型货车驾驶证审验)</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第二十三条：公安机关交通管理部门依照法律、行政法规的规定，定期对机动车驾驶证实施审验。</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《中华人民共和国道路交通安全法实施条例》第十九条：符合国务院公安部门规定的驾驶许可条件的人，可以向公安机关交通管理部门申请机动车驾驶证。机动车驾驶证由国务院公安部门规定式样并监制。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二条：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机动车驾驶证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1、申请：到泗县政务服务交通管理办事大厅公安综合窗口申请；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审验证明、中华人民共和国机动车驾驶证</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快递或者窗口领取</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w:t>
      </w:r>
      <w:bookmarkStart w:id="0" w:name="_GoBack"/>
      <w:bookmarkEnd w:id="0"/>
      <w:r>
        <w:rPr>
          <w:rFonts w:hint="eastAsia"/>
          <w:b w:val="0"/>
          <w:bCs w:val="0"/>
          <w:sz w:val="30"/>
          <w:szCs w:val="30"/>
          <w:lang w:val="en-US" w:eastAsia="zh-CN"/>
        </w:rPr>
        <w:t>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B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2024-01-15T03:28:35Z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