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内地居民往来港澳通行证补发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0"/>
        </w:numPr>
        <w:rPr>
          <w:rFonts w:hint="eastAsia"/>
          <w:b/>
          <w:bCs/>
          <w:sz w:val="30"/>
          <w:szCs w:val="30"/>
          <w:lang w:val="en-US" w:eastAsia="zh-CN"/>
        </w:rPr>
      </w:pPr>
      <w:r>
        <w:rPr>
          <w:rFonts w:hint="eastAsia"/>
          <w:b/>
          <w:bCs/>
          <w:sz w:val="32"/>
          <w:szCs w:val="32"/>
          <w:lang w:val="en-US" w:eastAsia="zh-CN"/>
        </w:rPr>
        <w:t>二、申请条件：</w:t>
      </w:r>
      <w:r>
        <w:rPr>
          <w:rFonts w:hint="eastAsia"/>
          <w:b w:val="0"/>
          <w:bCs w:val="0"/>
          <w:sz w:val="32"/>
          <w:szCs w:val="32"/>
          <w:lang w:val="en-US" w:eastAsia="zh-CN"/>
        </w:rPr>
        <w:t>往来港澳通行证损毁、遗失或者被盗抢的。</w:t>
      </w: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国家发展改革委、财政部《关于降低电信网码号资源占用费等部分行政事业性收费标准的通知》（发改价格〔2017〕1186号）；60元/本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53E7"/>
    <w:multiLevelType w:val="singleLevel"/>
    <w:tmpl w:val="659F53E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4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2024-01-12T01:44:28Z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