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内地居民往来港澳通行证首次签发（含签注）</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内地居民同时申请往来港澳通行证和签注，或者单独申请签注的，须具备下列事由之一并符合相应条件：（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外交部驻香港或者澳门特派员公署、中央人民政府驻香港或者澳门联络办公室工作人员、中国人民解放军驻香港或者澳门部队干部的内地亲属申请赴香港或者澳门探亲，另行规定。（二）商务。企业机构人员、个体工商户经营者赴香港、澳门从事商务活动的或者驾驶专用交通工具往返广东省与香港或者澳门。“企业机构”是指经国家工商管理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并登记本企业机构需申办多次商务签注的人员名单,各企业机构备案登记的人数须根据企业机构的规模和纳税额确定。各省、自治区、直辖市公安厅（局）出入境管理局（总队）根据本地区实际情况制定备案的具体办法，并对外公布。驾驶专用交通工具往返广东省与香港或者澳门人员申请赴香港澳门商务签注的具体办法，由广东省公安厅出入境管理局制定，并对外公布。（三）团队旅游。参加国家旅游局指定旅行社组织的团队赴香港或者澳门旅游。（四）个人旅游。开办个人赴港澳旅游业务城市的常住户口居民，或者符合公安部规定条件的非常住户口居民，申请个人赴香港或者澳门旅游。（五）逗留。经香港有关部门批准赴香港随任、就学、就业、居留、培训以及作为受养人赴香港依亲的；经澳门有关部门批准赴澳门随任、就学、就业人员，经澳门有关部门批准赴澳门居留的就业人员亲属。（六）因治病、奔丧、探望危重病人、诉讼、应试、处理产业、学术交流等特殊事由申请赴香港或者澳门；持逗留签注在香港（澳门）期间，申请前往澳门（香港）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2"/>
        </w:numPr>
        <w:rPr>
          <w:rFonts w:hint="eastAsia"/>
          <w:b w:val="0"/>
          <w:bCs w:val="0"/>
          <w:sz w:val="30"/>
          <w:szCs w:val="30"/>
          <w:lang w:val="en-US" w:eastAsia="zh-CN"/>
        </w:rPr>
      </w:pPr>
      <w:r>
        <w:rPr>
          <w:rFonts w:hint="eastAsia"/>
          <w:b w:val="0"/>
          <w:bCs w:val="0"/>
          <w:sz w:val="30"/>
          <w:szCs w:val="30"/>
          <w:lang w:val="en-US" w:eastAsia="zh-CN"/>
        </w:rPr>
        <w:t>延期许可</w:t>
      </w:r>
    </w:p>
    <w:p>
      <w:pPr>
        <w:numPr>
          <w:ilvl w:val="0"/>
          <w:numId w:val="2"/>
        </w:numPr>
        <w:rPr>
          <w:rFonts w:hint="eastAsia"/>
          <w:b w:val="0"/>
          <w:bCs w:val="0"/>
          <w:sz w:val="30"/>
          <w:szCs w:val="30"/>
          <w:lang w:val="en-US" w:eastAsia="zh-CN"/>
        </w:rPr>
      </w:pPr>
      <w:r>
        <w:rPr>
          <w:rFonts w:hint="eastAsia"/>
          <w:b w:val="0"/>
          <w:bCs w:val="0"/>
          <w:sz w:val="30"/>
          <w:szCs w:val="30"/>
          <w:lang w:val="en-US" w:eastAsia="zh-CN"/>
        </w:rPr>
        <w:t>内地商务部门签发的证明文件</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w:t>
      </w:r>
      <w:bookmarkStart w:id="0" w:name="_GoBack"/>
      <w:bookmarkEnd w:id="0"/>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国家发展改革委、财政部《关于降低电信网码号资源占用费等部分行政事业性收费标准的通知》（发改价格〔2017〕1186号）；往来港澳通行证60元/证，一次有效签注15元/件， 二次有效签注30元/件，短期（不超过一年）多次有效签注80元/件，一年以上（不含一年）两年以下（含两年）多次有效签注120元/件， 两年以上三年以下（不含三年）多次有效签注160元/件， 长期（三年以上， 含三年）多次有效签注240元/件</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B410"/>
    <w:multiLevelType w:val="singleLevel"/>
    <w:tmpl w:val="659FB410"/>
    <w:lvl w:ilvl="0" w:tentative="0">
      <w:start w:val="4"/>
      <w:numFmt w:val="chineseCounting"/>
      <w:suff w:val="nothing"/>
      <w:lvlText w:val="%1、"/>
      <w:lvlJc w:val="left"/>
    </w:lvl>
  </w:abstractNum>
  <w:abstractNum w:abstractNumId="2">
    <w:nsid w:val="65A0F42D"/>
    <w:multiLevelType w:val="singleLevel"/>
    <w:tmpl w:val="65A0F42D"/>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C4F8C"/>
    <w:rsid w:val="60174F6C"/>
    <w:rsid w:val="6222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