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eastAsia="zh-CN"/>
        </w:rPr>
      </w:pPr>
      <w:r>
        <w:rPr>
          <w:rFonts w:hint="eastAsia"/>
          <w:b/>
          <w:bCs/>
          <w:sz w:val="36"/>
          <w:szCs w:val="36"/>
        </w:rPr>
        <w:t>野生动物保护、饲养、科研单位配置枪支许可</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cstheme="minorEastAsia"/>
          <w:b/>
          <w:bCs/>
          <w:sz w:val="32"/>
          <w:szCs w:val="32"/>
          <w:lang w:val="en-US" w:eastAsia="zh-CN"/>
        </w:rPr>
        <w:t>一、</w:t>
      </w:r>
      <w:r>
        <w:rPr>
          <w:rFonts w:hint="eastAsia" w:asciiTheme="minorEastAsia" w:hAnsiTheme="minorEastAsia" w:eastAsiaTheme="minorEastAsia" w:cstheme="minorEastAsia"/>
          <w:b/>
          <w:bCs/>
          <w:sz w:val="32"/>
          <w:szCs w:val="32"/>
          <w:lang w:val="en-US" w:eastAsia="zh-CN"/>
        </w:rPr>
        <w:t>设定依据：</w:t>
      </w:r>
      <w:r>
        <w:rPr>
          <w:rFonts w:hint="eastAsia" w:asciiTheme="minorEastAsia" w:hAnsiTheme="minorEastAsia" w:eastAsiaTheme="minorEastAsia" w:cstheme="minorEastAsia"/>
          <w:b w:val="0"/>
          <w:bCs w:val="0"/>
          <w:sz w:val="32"/>
          <w:szCs w:val="32"/>
          <w:lang w:val="en-US" w:eastAsia="zh-CN"/>
        </w:rPr>
        <w:t>《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受理申请的公安机关审查批准后，应当报请设区的市级人民政府公安机关核发民用枪支配购证件。</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第四十八条：制造、配售、运输枪支的主要零部件和用于枪支的弹药，适用本法的有关规定。</w:t>
      </w:r>
    </w:p>
    <w:p>
      <w:pPr>
        <w:numPr>
          <w:ilvl w:val="0"/>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bCs/>
          <w:sz w:val="32"/>
          <w:szCs w:val="32"/>
          <w:lang w:val="en-US" w:eastAsia="zh-CN"/>
        </w:rPr>
        <w:t>二、申请条件：</w:t>
      </w:r>
      <w:r>
        <w:rPr>
          <w:rFonts w:hint="eastAsia" w:asciiTheme="minorEastAsia" w:hAnsiTheme="minorEastAsia" w:cstheme="minorEastAsia"/>
          <w:b w:val="0"/>
          <w:bCs w:val="0"/>
          <w:sz w:val="32"/>
          <w:szCs w:val="32"/>
          <w:lang w:val="en-US" w:eastAsia="zh-CN"/>
        </w:rPr>
        <w:t>准予行政许可的条件：</w:t>
      </w:r>
    </w:p>
    <w:p>
      <w:pPr>
        <w:numPr>
          <w:ilvl w:val="0"/>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（1）具备野生动物保护、人工繁育、科研单位资质；</w:t>
      </w:r>
    </w:p>
    <w:p>
      <w:pPr>
        <w:numPr>
          <w:ilvl w:val="0"/>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（2）具有所在地县级人民政府野生动物行政主管部门核发的狩猎证或者特许猎捕证，或者具有合法使用枪支事由；</w:t>
      </w:r>
    </w:p>
    <w:p>
      <w:pPr>
        <w:numPr>
          <w:ilvl w:val="0"/>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（3）有专门的枪支管理人员并建立枪弹管理制度；</w:t>
      </w:r>
    </w:p>
    <w:p>
      <w:pPr>
        <w:numPr>
          <w:ilvl w:val="0"/>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（4）具备符合国家标准的枪支弹药库（室、柜）；</w:t>
      </w:r>
    </w:p>
    <w:p>
      <w:pPr>
        <w:numPr>
          <w:ilvl w:val="0"/>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（5）法律、法规和规章规定的条件。</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三、</w:t>
      </w:r>
      <w:r>
        <w:rPr>
          <w:rFonts w:hint="eastAsia" w:asciiTheme="minorEastAsia" w:hAnsiTheme="minorEastAsia" w:eastAsiaTheme="minorEastAsia" w:cstheme="minorEastAsia"/>
          <w:b/>
          <w:bCs/>
          <w:sz w:val="30"/>
          <w:szCs w:val="30"/>
          <w:lang w:val="en-US" w:eastAsia="zh-CN"/>
        </w:rPr>
        <w:t>申请材料</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1、</w:t>
      </w:r>
      <w:r>
        <w:rPr>
          <w:rFonts w:hint="eastAsia" w:asciiTheme="minorEastAsia" w:hAnsiTheme="minorEastAsia" w:eastAsiaTheme="minorEastAsia" w:cstheme="minorEastAsia"/>
          <w:b w:val="0"/>
          <w:bCs w:val="0"/>
          <w:sz w:val="30"/>
          <w:szCs w:val="30"/>
          <w:lang w:val="en-US" w:eastAsia="zh-CN"/>
        </w:rPr>
        <w:t>配置枪支申请文件</w:t>
      </w:r>
    </w:p>
    <w:p>
      <w:pPr>
        <w:numPr>
          <w:ilvl w:val="0"/>
          <w:numId w:val="0"/>
        </w:numPr>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2、狩猎证或特许猎捕证</w:t>
      </w:r>
    </w:p>
    <w:p>
      <w:pPr>
        <w:numPr>
          <w:ilvl w:val="0"/>
          <w:numId w:val="0"/>
        </w:numPr>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3、枪支管理人员和枪弹管理制度情况材料</w:t>
      </w:r>
    </w:p>
    <w:p>
      <w:pPr>
        <w:numPr>
          <w:ilvl w:val="0"/>
          <w:numId w:val="0"/>
        </w:numPr>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4、枪支弹药库检查验收合格报告</w:t>
      </w:r>
    </w:p>
    <w:p>
      <w:pPr>
        <w:numPr>
          <w:ilvl w:val="0"/>
          <w:numId w:val="0"/>
        </w:numPr>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5、中华人民共和国居民身份证</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cstheme="minorEastAsia"/>
          <w:b/>
          <w:bCs/>
          <w:sz w:val="30"/>
          <w:szCs w:val="30"/>
          <w:lang w:val="en-US" w:eastAsia="zh-CN"/>
        </w:rPr>
        <w:t>四</w:t>
      </w:r>
      <w:r>
        <w:rPr>
          <w:rFonts w:hint="eastAsia" w:asciiTheme="minorEastAsia" w:hAnsiTheme="minorEastAsia" w:eastAsiaTheme="minorEastAsia" w:cstheme="minorEastAsia"/>
          <w:b/>
          <w:bCs/>
          <w:sz w:val="30"/>
          <w:szCs w:val="30"/>
          <w:lang w:val="en-US" w:eastAsia="zh-CN"/>
        </w:rPr>
        <w:t>、审批流程：</w:t>
      </w:r>
      <w:r>
        <w:rPr>
          <w:rFonts w:hint="eastAsia" w:asciiTheme="minorEastAsia" w:hAnsiTheme="minorEastAsia" w:eastAsiaTheme="minorEastAsia" w:cstheme="minorEastAsia"/>
          <w:b w:val="0"/>
          <w:bCs w:val="0"/>
          <w:sz w:val="30"/>
          <w:szCs w:val="30"/>
          <w:lang w:val="en-US" w:eastAsia="zh-CN"/>
        </w:rPr>
        <w:t>1、申请：申请人到公安窗口申请或备齐申请材料通过安徽政务网上提交电子申请；</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2、受理： 公安综合窗口确认申请人申请材料齐全、符合受理条件的予以受理；</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3、审查：公安综合窗口予以调查审核；</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4、办结：情况属实予以办理，邮寄申请人。</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五、</w:t>
      </w:r>
      <w:r>
        <w:rPr>
          <w:rFonts w:hint="eastAsia" w:asciiTheme="minorEastAsia" w:hAnsiTheme="minorEastAsia" w:eastAsiaTheme="minorEastAsia" w:cstheme="minorEastAsia"/>
          <w:b/>
          <w:bCs/>
          <w:sz w:val="30"/>
          <w:szCs w:val="30"/>
          <w:lang w:val="en-US" w:eastAsia="zh-CN"/>
        </w:rPr>
        <w:t>审批时限：</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法定办结时限：</w:t>
      </w:r>
      <w:bookmarkStart w:id="0" w:name="_GoBack"/>
      <w:bookmarkEnd w:id="0"/>
      <w:r>
        <w:rPr>
          <w:rFonts w:hint="eastAsia" w:asciiTheme="minorEastAsia" w:hAnsiTheme="minorEastAsia" w:cstheme="minorEastAsia"/>
          <w:b w:val="0"/>
          <w:bCs w:val="0"/>
          <w:sz w:val="30"/>
          <w:szCs w:val="30"/>
          <w:lang w:val="en-US" w:eastAsia="zh-CN"/>
        </w:rPr>
        <w:t>20</w:t>
      </w:r>
      <w:r>
        <w:rPr>
          <w:rFonts w:hint="eastAsia" w:asciiTheme="minorEastAsia" w:hAnsiTheme="minorEastAsia" w:eastAsiaTheme="minorEastAsia" w:cstheme="minorEastAsia"/>
          <w:b w:val="0"/>
          <w:bCs w:val="0"/>
          <w:sz w:val="30"/>
          <w:szCs w:val="30"/>
          <w:lang w:val="en-US" w:eastAsia="zh-CN"/>
        </w:rPr>
        <w:t>个工作日</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承诺办结时限：1个工作日</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六</w:t>
      </w:r>
      <w:r>
        <w:rPr>
          <w:rFonts w:hint="eastAsia" w:asciiTheme="minorEastAsia" w:hAnsiTheme="minorEastAsia" w:eastAsiaTheme="minorEastAsia" w:cstheme="minorEastAsia"/>
          <w:b/>
          <w:bCs/>
          <w:sz w:val="30"/>
          <w:szCs w:val="30"/>
          <w:lang w:val="en-US" w:eastAsia="zh-CN"/>
        </w:rPr>
        <w:t>、收费依据及标准：</w:t>
      </w:r>
      <w:r>
        <w:rPr>
          <w:rFonts w:hint="eastAsia" w:asciiTheme="minorEastAsia" w:hAnsiTheme="minorEastAsia" w:eastAsiaTheme="minorEastAsia" w:cstheme="minorEastAsia"/>
          <w:b w:val="0"/>
          <w:bCs w:val="0"/>
          <w:sz w:val="30"/>
          <w:szCs w:val="30"/>
          <w:lang w:val="en-US" w:eastAsia="zh-CN"/>
        </w:rPr>
        <w:t>免费</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七</w:t>
      </w:r>
      <w:r>
        <w:rPr>
          <w:rFonts w:hint="eastAsia" w:asciiTheme="minorEastAsia" w:hAnsiTheme="minorEastAsia" w:eastAsiaTheme="minorEastAsia" w:cstheme="minorEastAsia"/>
          <w:b/>
          <w:bCs/>
          <w:sz w:val="30"/>
          <w:szCs w:val="30"/>
          <w:lang w:val="en-US" w:eastAsia="zh-CN"/>
        </w:rPr>
        <w:t>、数量限制：</w:t>
      </w:r>
      <w:r>
        <w:rPr>
          <w:rFonts w:hint="eastAsia" w:asciiTheme="minorEastAsia" w:hAnsiTheme="minorEastAsia" w:eastAsiaTheme="minorEastAsia" w:cstheme="minorEastAsia"/>
          <w:b w:val="0"/>
          <w:bCs w:val="0"/>
          <w:sz w:val="30"/>
          <w:szCs w:val="30"/>
          <w:lang w:val="en-US" w:eastAsia="zh-CN"/>
        </w:rPr>
        <w:t>无</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八、</w:t>
      </w:r>
      <w:r>
        <w:rPr>
          <w:rFonts w:hint="eastAsia" w:asciiTheme="minorEastAsia" w:hAnsiTheme="minorEastAsia" w:cstheme="minorEastAsia"/>
          <w:b/>
          <w:bCs/>
          <w:sz w:val="30"/>
          <w:szCs w:val="30"/>
          <w:lang w:val="en-US" w:eastAsia="zh-CN"/>
        </w:rPr>
        <w:t>注意事项：</w:t>
      </w:r>
      <w:r>
        <w:rPr>
          <w:rFonts w:hint="eastAsia" w:asciiTheme="minorEastAsia" w:hAnsiTheme="minorEastAsia" w:cstheme="minorEastAsia"/>
          <w:b w:val="0"/>
          <w:bCs w:val="0"/>
          <w:sz w:val="30"/>
          <w:szCs w:val="30"/>
          <w:lang w:val="en-US" w:eastAsia="zh-CN"/>
        </w:rPr>
        <w:t>无</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bCs/>
          <w:sz w:val="30"/>
          <w:szCs w:val="30"/>
          <w:lang w:val="en-US" w:eastAsia="zh-CN"/>
        </w:rPr>
        <w:t>九、联系电话：</w:t>
      </w:r>
      <w:r>
        <w:rPr>
          <w:rFonts w:hint="eastAsia" w:asciiTheme="minorEastAsia" w:hAnsiTheme="minorEastAsia" w:eastAsiaTheme="minorEastAsia" w:cstheme="minorEastAsia"/>
          <w:b w:val="0"/>
          <w:bCs w:val="0"/>
          <w:sz w:val="30"/>
          <w:szCs w:val="30"/>
          <w:lang w:val="en-US" w:eastAsia="zh-CN"/>
        </w:rPr>
        <w:t>0557-7028286</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十、监督电话：</w:t>
      </w:r>
      <w:r>
        <w:rPr>
          <w:rFonts w:hint="eastAsia" w:asciiTheme="minorEastAsia" w:hAnsiTheme="minorEastAsia" w:eastAsiaTheme="minorEastAsia" w:cstheme="minor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David">
    <w:panose1 w:val="020E0502060401010101"/>
    <w:charset w:val="00"/>
    <w:family w:val="auto"/>
    <w:pitch w:val="default"/>
    <w:sig w:usb0="00000801" w:usb1="00000000" w:usb2="00000000" w:usb3="00000000" w:csb0="00000020" w:csb1="00200000"/>
  </w:font>
  <w:font w:name="EucrosiaUPC">
    <w:panose1 w:val="02020603050405020304"/>
    <w:charset w:val="00"/>
    <w:family w:val="auto"/>
    <w:pitch w:val="default"/>
    <w:sig w:usb0="8100002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T Extra">
    <w:panose1 w:val="05050102010205020202"/>
    <w:charset w:val="00"/>
    <w:family w:val="auto"/>
    <w:pitch w:val="default"/>
    <w:sig w:usb0="8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Shruti">
    <w:panose1 w:val="020B0502040204020203"/>
    <w:charset w:val="00"/>
    <w:family w:val="auto"/>
    <w:pitch w:val="default"/>
    <w:sig w:usb0="0004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Verdana">
    <w:panose1 w:val="020B0604030504040204"/>
    <w:charset w:val="00"/>
    <w:family w:val="auto"/>
    <w:pitch w:val="default"/>
    <w:sig w:usb0="A10006FF" w:usb1="4000205B" w:usb2="00000010" w:usb3="00000000" w:csb0="2000019F" w:csb1="00000000"/>
  </w:font>
  <w:font w:name="MV Boli">
    <w:panose1 w:val="02000500030200090000"/>
    <w:charset w:val="00"/>
    <w:family w:val="auto"/>
    <w:pitch w:val="default"/>
    <w:sig w:usb0="00000003" w:usb1="00000000" w:usb2="00000100" w:usb3="00000000" w:csb0="00000001" w:csb1="00000000"/>
  </w:font>
  <w:font w:name="Leelawadee">
    <w:panose1 w:val="020B0502040204020203"/>
    <w:charset w:val="00"/>
    <w:family w:val="auto"/>
    <w:pitch w:val="default"/>
    <w:sig w:usb0="810000AF" w:usb1="4000204B" w:usb2="00000000" w:usb3="00000000" w:csb0="20010001" w:csb1="00000000"/>
  </w:font>
  <w:font w:name="Latha">
    <w:panose1 w:val="020B0604020202020204"/>
    <w:charset w:val="00"/>
    <w:family w:val="auto"/>
    <w:pitch w:val="default"/>
    <w:sig w:usb0="001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Gautami">
    <w:panose1 w:val="020B0502040204020203"/>
    <w:charset w:val="00"/>
    <w:family w:val="auto"/>
    <w:pitch w:val="default"/>
    <w:sig w:usb0="00200003" w:usb1="00000000" w:usb2="00000000" w:usb3="00000000" w:csb0="00000001" w:csb1="00000000"/>
  </w:font>
  <w:font w:name="FreesiaUPC">
    <w:panose1 w:val="020B0604020202020204"/>
    <w:charset w:val="00"/>
    <w:family w:val="auto"/>
    <w:pitch w:val="default"/>
    <w:sig w:usb0="0100000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Euphemia">
    <w:panose1 w:val="020B0503040102020104"/>
    <w:charset w:val="00"/>
    <w:family w:val="auto"/>
    <w:pitch w:val="default"/>
    <w:sig w:usb0="8000006F" w:usb1="0000004A" w:usb2="00002000" w:usb3="00000000" w:csb0="00000001" w:csb1="00000000"/>
  </w:font>
  <w:font w:name="Estrangelo Edessa">
    <w:panose1 w:val="03080600000000000000"/>
    <w:charset w:val="00"/>
    <w:family w:val="auto"/>
    <w:pitch w:val="default"/>
    <w:sig w:usb0="80002043" w:usb1="00000000" w:usb2="00000080" w:usb3="00000000" w:csb0="00000001" w:csb1="000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2024-01-16T01:55:21Z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