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69F4" w14:textId="77777777" w:rsidR="00C87465" w:rsidRDefault="00000000">
      <w:pPr>
        <w:pStyle w:val="a7"/>
        <w:wordWrap w:val="0"/>
        <w:overflowPunct w:val="0"/>
        <w:autoSpaceDE w:val="0"/>
        <w:spacing w:before="0" w:beforeAutospacing="0" w:after="0" w:afterAutospacing="0" w:line="600" w:lineRule="exact"/>
        <w:ind w:firstLine="641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bookmarkStart w:id="0" w:name="OLE_LINK1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泗县医疗保障局202</w:t>
      </w: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年政府</w:t>
      </w:r>
    </w:p>
    <w:p w14:paraId="146AA86F" w14:textId="77777777" w:rsidR="00C87465" w:rsidRDefault="00000000">
      <w:pPr>
        <w:pStyle w:val="a7"/>
        <w:wordWrap w:val="0"/>
        <w:overflowPunct w:val="0"/>
        <w:autoSpaceDE w:val="0"/>
        <w:spacing w:before="0" w:beforeAutospacing="0" w:after="0" w:afterAutospacing="0" w:line="600" w:lineRule="exact"/>
        <w:ind w:firstLine="641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信息公开工作年度报告</w:t>
      </w:r>
    </w:p>
    <w:p w14:paraId="5ACC684A" w14:textId="77777777" w:rsidR="00C87465" w:rsidRDefault="00C87465">
      <w:pPr>
        <w:pStyle w:val="a7"/>
        <w:wordWrap w:val="0"/>
        <w:overflowPunct w:val="0"/>
        <w:autoSpaceDE w:val="0"/>
        <w:spacing w:before="0" w:beforeAutospacing="0" w:after="0" w:afterAutospacing="0" w:line="600" w:lineRule="exact"/>
        <w:ind w:firstLine="641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6EC9C109" w14:textId="77777777" w:rsidR="00C87465" w:rsidRDefault="00000000">
      <w:pPr>
        <w:pStyle w:val="a7"/>
        <w:overflowPunct w:val="0"/>
        <w:autoSpaceDE w:val="0"/>
        <w:spacing w:before="0" w:beforeAutospacing="0" w:after="0" w:afterAutospacing="0" w:line="570" w:lineRule="exact"/>
        <w:ind w:firstLine="641"/>
        <w:jc w:val="both"/>
        <w:rPr>
          <w:rFonts w:ascii="Times New Roman" w:eastAsia="方正仿宋_GBK" w:hAnsi="Times New Roman" w:cs="方正仿宋_GBK"/>
          <w:kern w:val="2"/>
          <w:sz w:val="32"/>
          <w:szCs w:val="32"/>
        </w:rPr>
      </w:pPr>
      <w:bookmarkStart w:id="1" w:name="OLE_LINK2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根据《中华人民共和国政府信息公开条例》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 (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国务院令第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711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号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,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以下简称《条例》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)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的规定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,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现发布《泗县医保局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2023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年政府信息公开工作年度报告》。本年度报告中使用数据统计期限为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2023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1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1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日至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12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31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日，电子版可通过泗县</w:t>
      </w:r>
      <w:proofErr w:type="gramStart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医</w:t>
      </w:r>
      <w:proofErr w:type="gramEnd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保局政府信息公开专栏（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https://www.sixian.gov.cn/public/column/25772?type=4&amp;nav=3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）下载。</w:t>
      </w:r>
    </w:p>
    <w:p w14:paraId="4CFF7486" w14:textId="77777777" w:rsidR="00C87465" w:rsidRDefault="00000000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一、总体情况 </w:t>
      </w:r>
    </w:p>
    <w:p w14:paraId="7F261510" w14:textId="77777777" w:rsidR="00C87465" w:rsidRDefault="00000000">
      <w:pPr>
        <w:pStyle w:val="a7"/>
        <w:overflowPunct w:val="0"/>
        <w:autoSpaceDE w:val="0"/>
        <w:spacing w:before="0" w:beforeAutospacing="0" w:after="0" w:afterAutospacing="0" w:line="570" w:lineRule="exact"/>
        <w:ind w:firstLine="640"/>
        <w:jc w:val="both"/>
        <w:rPr>
          <w:rFonts w:ascii="Times New Roman" w:eastAsia="方正仿宋_GBK" w:hAnsi="Times New Roman" w:cs="方正仿宋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（一） 主动公开情况。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2023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年以来，县</w:t>
      </w:r>
      <w:proofErr w:type="gramStart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医</w:t>
      </w:r>
      <w:proofErr w:type="gramEnd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保局在政府门户网站公开信息数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132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条。创新形式，丰富内容，积极公开医疗保障领域最新的政策和法律法规、政策解读、</w:t>
      </w:r>
      <w:proofErr w:type="gramStart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医</w:t>
      </w:r>
      <w:proofErr w:type="gramEnd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保目录调整情况、基本医疗保障基金运行情况、医疗救助资金和生育保险基金发放情况、</w:t>
      </w:r>
      <w:proofErr w:type="gramStart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医</w:t>
      </w:r>
      <w:proofErr w:type="gramEnd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保监管相关情况等，同时向社会公众全方位展示泗县</w:t>
      </w:r>
      <w:proofErr w:type="gramStart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医</w:t>
      </w:r>
      <w:proofErr w:type="gramEnd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保工作动态和最新成果。</w:t>
      </w:r>
    </w:p>
    <w:p w14:paraId="73030597" w14:textId="77777777" w:rsidR="00C87465" w:rsidRDefault="00000000">
      <w:pPr>
        <w:pStyle w:val="a7"/>
        <w:overflowPunct w:val="0"/>
        <w:autoSpaceDE w:val="0"/>
        <w:spacing w:before="0" w:beforeAutospacing="0" w:after="0" w:afterAutospacing="0" w:line="570" w:lineRule="exact"/>
        <w:ind w:firstLine="640"/>
        <w:jc w:val="both"/>
        <w:rPr>
          <w:rFonts w:ascii="Times New Roman" w:eastAsia="方正仿宋_GBK" w:hAnsi="Times New Roman" w:cs="方正仿宋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（二）依申请公开情况。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本单位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2023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年收到依申请公开数量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0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条，无因依申请公开引起的行政诉讼和行政复议情况。</w:t>
      </w:r>
    </w:p>
    <w:p w14:paraId="55FA5895" w14:textId="77777777" w:rsidR="00C87465" w:rsidRDefault="00000000">
      <w:pPr>
        <w:pStyle w:val="a7"/>
        <w:overflowPunct w:val="0"/>
        <w:autoSpaceDE w:val="0"/>
        <w:spacing w:before="0" w:beforeAutospacing="0" w:after="0" w:afterAutospacing="0" w:line="570" w:lineRule="exact"/>
        <w:ind w:firstLine="640"/>
        <w:jc w:val="both"/>
        <w:rPr>
          <w:rFonts w:ascii="Times New Roman" w:eastAsia="方正仿宋_GBK" w:hAnsi="Times New Roman" w:cs="方正仿宋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（三）政府信息管理情况。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今年以来，我局坚持主要负责人抓统一调度、分管负责人抓业务管理、局办公室抓具体工作实施的原则，明确信息公开专职人员，各业务股室和中心负责公开信息的上报工作。按照“三审”程序及时、准确、全面地进行信息发布。</w:t>
      </w:r>
    </w:p>
    <w:p w14:paraId="0025272C" w14:textId="77777777" w:rsidR="00C87465" w:rsidRDefault="00000000">
      <w:pPr>
        <w:pStyle w:val="a7"/>
        <w:overflowPunct w:val="0"/>
        <w:autoSpaceDE w:val="0"/>
        <w:spacing w:before="0" w:beforeAutospacing="0" w:after="0" w:afterAutospacing="0" w:line="570" w:lineRule="exact"/>
        <w:ind w:firstLine="640"/>
        <w:jc w:val="both"/>
        <w:rPr>
          <w:rFonts w:ascii="Times New Roman" w:eastAsia="方正仿宋_GBK" w:hAnsi="Times New Roman" w:cs="方正仿宋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lastRenderedPageBreak/>
        <w:t>（四）平台建设情况。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加大原创信息发布力度，依托“泗县</w:t>
      </w:r>
      <w:proofErr w:type="gramStart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医</w:t>
      </w:r>
      <w:proofErr w:type="gramEnd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保”新媒体，大力宣传参保政策和医疗保障相关法律法规，保障参保缴费工作平稳推进；加大医疗保障相关政策和最新资讯的公开力度，确保</w:t>
      </w:r>
      <w:proofErr w:type="gramStart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医</w:t>
      </w:r>
      <w:proofErr w:type="gramEnd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保定点医药机构和参保</w:t>
      </w:r>
      <w:proofErr w:type="gramStart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群众第</w:t>
      </w:r>
      <w:proofErr w:type="gramEnd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一时间知晓政策。同时加大本部门政策实施情况、医疗保障基金运行情况、医疗救助情况及“三公”经费使用情况等情况的公开力度，使平台内容更加丰富，公开程度更加深入。</w:t>
      </w:r>
    </w:p>
    <w:p w14:paraId="2C5C6AB3" w14:textId="77777777" w:rsidR="00C87465" w:rsidRDefault="00000000">
      <w:pPr>
        <w:pStyle w:val="a7"/>
        <w:overflowPunct w:val="0"/>
        <w:autoSpaceDE w:val="0"/>
        <w:spacing w:before="0" w:beforeAutospacing="0" w:after="0" w:afterAutospacing="0" w:line="570" w:lineRule="exact"/>
        <w:ind w:firstLine="640"/>
        <w:jc w:val="both"/>
        <w:rPr>
          <w:rFonts w:ascii="Times New Roman" w:eastAsia="方正仿宋_GBK" w:hAnsi="Times New Roman" w:cs="方正仿宋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（五）监督保障情况。</w:t>
      </w:r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根据省市县政务公开工作要求，结合我局工作实际，始终坚持做好信息公开内容的审核更新，保证信息公开规范及时。积极组织相关工作人员参加县政府组织的政府信息公开工作培训</w:t>
      </w:r>
      <w:proofErr w:type="gramStart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及集中</w:t>
      </w:r>
      <w:proofErr w:type="gramEnd"/>
      <w:r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整改工作，不断适应政务公开工作新要求。对第三方测评反馈的问题逐项分析存在的问题和不足，有针对性地补短板、强弱项，加强对标管理，确保整改取得实效。强化信息公开考核，完善政务信息公开的监督和考核制度，确保政务信息及时、准确、规范的对外公开，不断提高我局政务公开整体工作水平。</w:t>
      </w:r>
    </w:p>
    <w:p w14:paraId="707612D8" w14:textId="77777777" w:rsidR="00C87465" w:rsidRDefault="0000000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二、主动公开政府信息情况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 </w:t>
      </w:r>
    </w:p>
    <w:tbl>
      <w:tblPr>
        <w:tblW w:w="90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1757"/>
      </w:tblGrid>
      <w:tr w:rsidR="00C87465" w14:paraId="1824733E" w14:textId="77777777">
        <w:trPr>
          <w:trHeight w:val="340"/>
          <w:jc w:val="center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DCB12" w14:textId="77777777" w:rsidR="00C87465" w:rsidRDefault="00000000">
            <w:pPr>
              <w:pStyle w:val="a7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第二十条第（一）项</w:t>
            </w:r>
          </w:p>
        </w:tc>
      </w:tr>
      <w:tr w:rsidR="00C87465" w14:paraId="3662DB67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65D52F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信息内容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B046BC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both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本年制发件数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969242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both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本年废止件数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5C065" w14:textId="77777777" w:rsidR="00C87465" w:rsidRDefault="00000000">
            <w:pPr>
              <w:pStyle w:val="a7"/>
              <w:overflowPunct w:val="0"/>
              <w:autoSpaceDE w:val="0"/>
              <w:spacing w:before="0" w:beforeAutospacing="0" w:after="0" w:afterAutospacing="0" w:line="600" w:lineRule="exact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现行有效件数</w:t>
            </w:r>
          </w:p>
        </w:tc>
      </w:tr>
      <w:tr w:rsidR="00C87465" w14:paraId="70DCE3BB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87C9E0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58467B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both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 xml:space="preserve">　　</w:t>
            </w:r>
            <w:r>
              <w:rPr>
                <w:rFonts w:ascii="Times New Roman" w:eastAsia="方正仿宋_GBK" w:hAnsi="Times New Roman" w:cs="Times New Roman" w:hint="eastAsia"/>
                <w:color w:val="00000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4A7B1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both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 </w:t>
            </w:r>
            <w:r>
              <w:rPr>
                <w:rFonts w:ascii="Times New Roman" w:eastAsia="方正仿宋_GBK" w:hAnsi="Times New Roman" w:cs="Times New Roman" w:hint="eastAsia"/>
                <w:color w:val="000000"/>
              </w:rPr>
              <w:t xml:space="preserve">　</w:t>
            </w:r>
            <w:r>
              <w:rPr>
                <w:rFonts w:ascii="Times New Roman" w:eastAsia="方正仿宋_GBK" w:hAnsi="Times New Roman" w:cs="Times New Roman" w:hint="eastAsia"/>
                <w:color w:val="000000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F1DDF6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both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  <w:color w:val="000000"/>
              </w:rPr>
              <w:t> </w:t>
            </w:r>
            <w:r>
              <w:rPr>
                <w:rFonts w:ascii="Times New Roman" w:eastAsia="方正仿宋_GBK" w:hAnsi="Times New Roman" w:cs="Times New Roman" w:hint="eastAsia"/>
                <w:color w:val="000000"/>
              </w:rPr>
              <w:t>0</w:t>
            </w:r>
          </w:p>
        </w:tc>
      </w:tr>
      <w:tr w:rsidR="00C87465" w14:paraId="4DEF621A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97411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6A930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both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 xml:space="preserve">　　</w:t>
            </w:r>
            <w:r>
              <w:rPr>
                <w:rFonts w:ascii="Times New Roman" w:eastAsia="方正仿宋_GBK" w:hAnsi="Times New Roman" w:cs="Times New Roman" w:hint="eastAsia"/>
                <w:color w:val="00000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155753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both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 </w:t>
            </w:r>
            <w:r>
              <w:rPr>
                <w:rFonts w:ascii="Times New Roman" w:eastAsia="方正仿宋_GBK" w:hAnsi="Times New Roman" w:cs="Times New Roman" w:hint="eastAsia"/>
                <w:color w:val="000000"/>
              </w:rPr>
              <w:t xml:space="preserve">　</w:t>
            </w:r>
            <w:r>
              <w:rPr>
                <w:rFonts w:ascii="Times New Roman" w:eastAsia="方正仿宋_GBK" w:hAnsi="Times New Roman" w:cs="Times New Roman" w:hint="eastAsia"/>
                <w:color w:val="000000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3F088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both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  <w:color w:val="000000"/>
              </w:rPr>
              <w:t> </w:t>
            </w:r>
            <w:r>
              <w:rPr>
                <w:rFonts w:ascii="Times New Roman" w:eastAsia="方正仿宋_GBK" w:hAnsi="Times New Roman" w:cs="Times New Roman" w:hint="eastAsia"/>
                <w:color w:val="000000"/>
              </w:rPr>
              <w:t>0</w:t>
            </w:r>
          </w:p>
        </w:tc>
      </w:tr>
      <w:tr w:rsidR="00C87465" w14:paraId="7A6FCDAD" w14:textId="77777777">
        <w:trPr>
          <w:trHeight w:val="340"/>
          <w:jc w:val="center"/>
        </w:trPr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937155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第二十条第（五）项</w:t>
            </w:r>
          </w:p>
        </w:tc>
      </w:tr>
      <w:tr w:rsidR="00C87465" w14:paraId="2823E982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32532B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jc w:val="both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信息内容</w:t>
            </w:r>
          </w:p>
        </w:tc>
        <w:tc>
          <w:tcPr>
            <w:tcW w:w="6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AD730F" w14:textId="77777777" w:rsidR="00C87465" w:rsidRDefault="00000000">
            <w:pPr>
              <w:pStyle w:val="a7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本年处理决定数量</w:t>
            </w:r>
          </w:p>
        </w:tc>
      </w:tr>
      <w:tr w:rsidR="00C87465" w14:paraId="10C2F5FD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1D8A7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jc w:val="both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lastRenderedPageBreak/>
              <w:t>行政许可</w:t>
            </w:r>
          </w:p>
        </w:tc>
        <w:tc>
          <w:tcPr>
            <w:tcW w:w="6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12988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0</w:t>
            </w:r>
          </w:p>
        </w:tc>
      </w:tr>
      <w:tr w:rsidR="00C87465" w14:paraId="64B71701" w14:textId="77777777">
        <w:trPr>
          <w:trHeight w:val="340"/>
          <w:jc w:val="center"/>
        </w:trPr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63AB80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第二十条第（六）项</w:t>
            </w:r>
          </w:p>
        </w:tc>
      </w:tr>
      <w:tr w:rsidR="00C87465" w14:paraId="1635AC19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FA6278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jc w:val="both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信息内容</w:t>
            </w:r>
          </w:p>
        </w:tc>
        <w:tc>
          <w:tcPr>
            <w:tcW w:w="6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A07F05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本年处理决定数量</w:t>
            </w:r>
          </w:p>
        </w:tc>
      </w:tr>
      <w:tr w:rsidR="00C87465" w14:paraId="4633EE12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180749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jc w:val="both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行政处罚</w:t>
            </w:r>
          </w:p>
        </w:tc>
        <w:tc>
          <w:tcPr>
            <w:tcW w:w="6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C4AF1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  <w:color w:val="000000"/>
              </w:rPr>
              <w:t>11</w:t>
            </w:r>
          </w:p>
        </w:tc>
      </w:tr>
      <w:tr w:rsidR="00C87465" w14:paraId="22B91285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40FF4E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jc w:val="both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行政强制</w:t>
            </w:r>
          </w:p>
        </w:tc>
        <w:tc>
          <w:tcPr>
            <w:tcW w:w="6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8F3A36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0</w:t>
            </w:r>
          </w:p>
        </w:tc>
      </w:tr>
      <w:tr w:rsidR="00C87465" w14:paraId="2339C8C3" w14:textId="77777777">
        <w:trPr>
          <w:trHeight w:val="340"/>
          <w:jc w:val="center"/>
        </w:trPr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8372F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第二十条第（八）项</w:t>
            </w:r>
          </w:p>
        </w:tc>
      </w:tr>
      <w:tr w:rsidR="00C87465" w14:paraId="47FE9C84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D7ADA3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jc w:val="both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信息内容</w:t>
            </w:r>
          </w:p>
        </w:tc>
        <w:tc>
          <w:tcPr>
            <w:tcW w:w="6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D4D63" w14:textId="77777777" w:rsidR="00C87465" w:rsidRDefault="00000000">
            <w:pPr>
              <w:pStyle w:val="a7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本年收费金额（单位：万元）</w:t>
            </w:r>
          </w:p>
        </w:tc>
      </w:tr>
      <w:tr w:rsidR="00C87465" w14:paraId="5EEE165E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74DB8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jc w:val="both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行政事业性收费</w:t>
            </w:r>
          </w:p>
        </w:tc>
        <w:tc>
          <w:tcPr>
            <w:tcW w:w="6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D568C" w14:textId="77777777" w:rsidR="00C87465" w:rsidRDefault="00000000">
            <w:pPr>
              <w:pStyle w:val="a7"/>
              <w:wordWrap w:val="0"/>
              <w:overflowPunct w:val="0"/>
              <w:autoSpaceDE w:val="0"/>
              <w:spacing w:before="0" w:beforeAutospacing="0" w:after="0" w:afterAutospacing="0" w:line="600" w:lineRule="exact"/>
              <w:ind w:firstLine="641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0</w:t>
            </w:r>
          </w:p>
        </w:tc>
      </w:tr>
    </w:tbl>
    <w:p w14:paraId="6EDD085C" w14:textId="77777777" w:rsidR="00C87465" w:rsidRDefault="00C87465">
      <w:pPr>
        <w:pStyle w:val="a7"/>
        <w:wordWrap w:val="0"/>
        <w:overflowPunct w:val="0"/>
        <w:autoSpaceDE w:val="0"/>
        <w:spacing w:before="0" w:beforeAutospacing="0" w:after="0" w:afterAutospacing="0" w:line="600" w:lineRule="exact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3096A710" w14:textId="77777777" w:rsidR="00C87465" w:rsidRDefault="00000000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三、收到和处理政府信息公开申请情况</w:t>
      </w:r>
    </w:p>
    <w:tbl>
      <w:tblPr>
        <w:tblW w:w="9480" w:type="dxa"/>
        <w:jc w:val="center"/>
        <w:tblBorders>
          <w:top w:val="none" w:sz="6" w:space="0" w:color="333333"/>
          <w:left w:val="none" w:sz="6" w:space="0" w:color="333333"/>
          <w:bottom w:val="none" w:sz="6" w:space="0" w:color="333333"/>
          <w:right w:val="none" w:sz="6" w:space="0" w:color="333333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421"/>
      </w:tblGrid>
      <w:tr w:rsidR="00C87465" w14:paraId="76485AEA" w14:textId="77777777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CB2F" w14:textId="77777777" w:rsidR="00C87465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54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E690A9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C87465" w14:paraId="6E444266" w14:textId="77777777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B3B3" w14:textId="77777777" w:rsidR="00C87465" w:rsidRDefault="00C8746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FEBB10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B10E7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21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461AE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87465" w14:paraId="300256D2" w14:textId="77777777">
        <w:trPr>
          <w:trHeight w:val="688"/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3C5D" w14:textId="77777777" w:rsidR="00C87465" w:rsidRDefault="00C8746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7C989F" w14:textId="77777777" w:rsidR="00C87465" w:rsidRDefault="00C8746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7E7A0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商业</w:t>
            </w:r>
          </w:p>
          <w:p w14:paraId="6B7DB31F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DAFD6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科研</w:t>
            </w:r>
          </w:p>
          <w:p w14:paraId="4F5F7D15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E6E64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DAB0C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C7D875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21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7C5F6" w14:textId="77777777" w:rsidR="00C87465" w:rsidRDefault="00C8746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87465" w14:paraId="598ECF42" w14:textId="77777777">
        <w:trPr>
          <w:trHeight w:val="507"/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C971B5" w14:textId="77777777" w:rsidR="00C87465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1C082B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2242E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2A1EB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AB0D4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E838B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D92CC2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6F056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87465" w14:paraId="271FD8F8" w14:textId="77777777">
        <w:trPr>
          <w:trHeight w:val="447"/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203C5" w14:textId="77777777" w:rsidR="00C87465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4792E2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DA9450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87AFC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2D8B0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F98D4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6BC09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84F88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395311EF" w14:textId="77777777" w:rsidTr="0082634F">
        <w:trPr>
          <w:trHeight w:val="512"/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A2FC3A" w14:textId="77777777" w:rsidR="00D84D1B" w:rsidRDefault="00D84D1B" w:rsidP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三、本年度办理结果</w:t>
            </w:r>
          </w:p>
          <w:p w14:paraId="0BD35D4A" w14:textId="32B55B1B" w:rsidR="00D84D1B" w:rsidRDefault="00D84D1B" w:rsidP="00D84D1B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AEA664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2213F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323C56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418FE7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3A5088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05369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CD376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93A6B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3C3C1AE2" w14:textId="77777777" w:rsidTr="0082634F">
        <w:trPr>
          <w:trHeight w:val="879"/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3C95A" w14:textId="291B629D" w:rsidR="00D84D1B" w:rsidRDefault="00D84D1B" w:rsidP="0082634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B05F22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3E623D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B6B31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5C1703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EB8A42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3DA5A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C500A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762F5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37D9BACE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02DAF" w14:textId="42A91D05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458DC1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5C16A1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DCFF86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373C7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D4054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59C8B4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759AB3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CA1DD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9A7725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02E45C03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04E0C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EFAB3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8484C8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6F21A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2BC9E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6AC5D3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413FA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F6657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5EFA5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77730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51FC97D2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A7E0A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1F9C9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C86EAF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危及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稳定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4B012B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78C768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86B321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2C45F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8419A6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8C46D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F48E1C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514513A3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93059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A0B71A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9D2215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315DF7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E9A82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AA3589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4871D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01BCE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7977C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8B4E3B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261508BE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0F24C3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0230CA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6C16D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0738CF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B183F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7DE176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F24AB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E5B76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B77F35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7D6B7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25566B37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D27D5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EDE2CD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2DD2B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B767E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4D7844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BC741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E800E0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76594F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CED8F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27A31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2210EEB4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BE668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A3244A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3CBC7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D612B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57A39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EC11C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3384C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38F74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338CB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66B3E9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2BCB2499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22902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0C25B8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0FBE37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010A90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FF1432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B6B2DB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85C97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04EF63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607D56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513F3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6D5852E0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7DAD3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290F0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9F418C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A2632A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30AC9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1BAA0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184D7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B1D132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B341A3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9C5DB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6166F507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703FED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15E50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9BD63D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76BE52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039AA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60FB7D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C9DE3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61DF23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A297E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69034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67B6A8A5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D2FB17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F76A43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B45C11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3CB5D8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18E5C1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2DF1F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A6A971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BF0D39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6B0DE3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09090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45D6D9EE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70B4F4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DAEDE0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E4802A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5CAA2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BA0F7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2ADDBA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8F2AC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D2A2F9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31947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D8512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7ADA78CC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369DC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0F411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FED2A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A5EEA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81E2F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ACF7C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69CCB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9DBED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871E8B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AB6F51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1B592CAF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92C69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98D30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7A4A80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88BEBB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9E88C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2B09D2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4714A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AFFF9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DAB000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EC0DA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788FAF71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405F9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5F779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3CAE1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6ADF1E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FE89BF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72401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2CF601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E674AF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71BC4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90FEE6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32EAE745" w14:textId="77777777" w:rsidTr="0082634F">
        <w:trPr>
          <w:trHeight w:val="779"/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4A85DA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DC327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348989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8D027F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A57EAE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F9AA10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FDDAEA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41833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14A86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4C307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20205586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70221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D99172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AD73CA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0011F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77DC19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3A31E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58F71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C97DA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A49B5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A717C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540470E5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7DC75B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5A115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19737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30B18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D8A23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92234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41F54B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6BF95D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4A4AB0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201CF9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0F9D717B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6BE585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10179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256D8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BA9F25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81FE4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6C3251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D301A6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F32E4D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3F028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0DA25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4D1B" w14:paraId="15AADD16" w14:textId="77777777" w:rsidTr="0082634F">
        <w:trPr>
          <w:jc w:val="center"/>
        </w:trPr>
        <w:tc>
          <w:tcPr>
            <w:tcW w:w="768" w:type="dxa"/>
            <w:vMerge/>
            <w:tcBorders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74813" w14:textId="77777777" w:rsidR="00D84D1B" w:rsidRDefault="00D84D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4CE90" w14:textId="77777777" w:rsidR="00D84D1B" w:rsidRDefault="00D84D1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561B7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25ACA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C1986C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16B68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25E82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706018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233B68" w14:textId="77777777" w:rsidR="00D84D1B" w:rsidRDefault="00D84D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87465" w14:paraId="5B804F67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F0471E" w14:textId="77777777" w:rsidR="00C87465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53798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929910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6C24B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89C06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677C8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E1930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8FEB5" w14:textId="77777777" w:rsidR="00C87465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</w:p>
        </w:tc>
      </w:tr>
    </w:tbl>
    <w:p w14:paraId="6473179B" w14:textId="77777777" w:rsidR="00C87465" w:rsidRDefault="00C87465">
      <w:pPr>
        <w:pStyle w:val="a7"/>
        <w:overflowPunct w:val="0"/>
        <w:autoSpaceDE w:val="0"/>
        <w:spacing w:before="0" w:beforeAutospacing="0" w:after="0" w:afterAutospacing="0" w:line="600" w:lineRule="atLeast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2E5D7272" w14:textId="77777777" w:rsidR="00C87465" w:rsidRDefault="00000000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四、政府信息公开行政复议、行政诉讼情况</w:t>
      </w:r>
    </w:p>
    <w:tbl>
      <w:tblPr>
        <w:tblW w:w="9499" w:type="dxa"/>
        <w:jc w:val="center"/>
        <w:tblBorders>
          <w:top w:val="none" w:sz="6" w:space="0" w:color="333333"/>
          <w:left w:val="none" w:sz="6" w:space="0" w:color="333333"/>
          <w:bottom w:val="none" w:sz="6" w:space="0" w:color="333333"/>
          <w:right w:val="none" w:sz="6" w:space="0" w:color="333333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401"/>
      </w:tblGrid>
      <w:tr w:rsidR="00C87465" w14:paraId="3245E044" w14:textId="77777777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50C9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行政复议</w:t>
            </w:r>
          </w:p>
        </w:tc>
        <w:tc>
          <w:tcPr>
            <w:tcW w:w="624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412E6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行政诉讼</w:t>
            </w:r>
          </w:p>
        </w:tc>
      </w:tr>
      <w:tr w:rsidR="00C87465" w14:paraId="2DCA4FCE" w14:textId="77777777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5AF5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4312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0C9C1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BE25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尚未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3A6D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4F27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未经复议直接起诉</w:t>
            </w:r>
          </w:p>
        </w:tc>
        <w:tc>
          <w:tcPr>
            <w:tcW w:w="30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A3FB1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复议后起诉</w:t>
            </w:r>
          </w:p>
        </w:tc>
      </w:tr>
      <w:tr w:rsidR="00C87465" w14:paraId="3BCA3B5B" w14:textId="77777777">
        <w:trPr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57E5" w14:textId="77777777" w:rsidR="00C87465" w:rsidRDefault="00C874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BFAA" w14:textId="77777777" w:rsidR="00C87465" w:rsidRDefault="00C874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19D91" w14:textId="77777777" w:rsidR="00C87465" w:rsidRDefault="00C874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C874" w14:textId="77777777" w:rsidR="00C87465" w:rsidRDefault="00C874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B885" w14:textId="77777777" w:rsidR="00C87465" w:rsidRDefault="00C874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B0DD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8F35C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11E6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799A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尚未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9C2A5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E22C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8E99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4A89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6A7F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尚未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审结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E6660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总计</w:t>
            </w:r>
          </w:p>
        </w:tc>
      </w:tr>
      <w:tr w:rsidR="00C87465" w14:paraId="4E2B60BC" w14:textId="77777777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DAAA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85F9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6F9C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7874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F09B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2473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4E2F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2508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9A71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C887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B6F7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E5FF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306F6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BBFF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068F" w14:textId="77777777" w:rsidR="00C87465" w:rsidRDefault="0000000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</w:p>
        </w:tc>
      </w:tr>
    </w:tbl>
    <w:p w14:paraId="712ADC64" w14:textId="77777777" w:rsidR="00C87465" w:rsidRDefault="00C87465">
      <w:pPr>
        <w:pStyle w:val="a7"/>
        <w:wordWrap w:val="0"/>
        <w:overflowPunct w:val="0"/>
        <w:autoSpaceDE w:val="0"/>
        <w:spacing w:before="0" w:beforeAutospacing="0" w:after="0" w:afterAutospacing="0" w:line="600" w:lineRule="exact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1455EF34" w14:textId="77777777" w:rsidR="00C87465" w:rsidRDefault="00000000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五、存在的主要问题及改进情况 </w:t>
      </w:r>
    </w:p>
    <w:p w14:paraId="3FC64F92" w14:textId="77777777" w:rsidR="00C87465" w:rsidRDefault="00000000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2023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，我局政府信息公开作取得了一定的成绩，但对照县政府的要求和参保群众的期望，还存在一些不足的问题，主要是主动公开的内容还需进一步规范，公开的范围还需要进一步扩展，信息公开的载体和形式还需要进一步丰富。在以后工作中，我局将继续认真落实国家和省、市、县政府信息公开工作要求，进一步健全信息公开机制，深化主动公开内容，加强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医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保政策信息解读，创新信息公开渠道，优化信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息公开服务，强化信息公开指导，不断推进政府信息公开工作，切实提升政府信息公开的效果和水平。</w:t>
      </w:r>
    </w:p>
    <w:p w14:paraId="35E757ED" w14:textId="77777777" w:rsidR="00C87465" w:rsidRDefault="00000000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六、其他需要报告的事项 </w:t>
      </w:r>
    </w:p>
    <w:p w14:paraId="0724E84E" w14:textId="77777777" w:rsidR="00C87465" w:rsidRDefault="00000000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按照《国务院办公厅关于印发（政府信息公开信息处理费管理办法）的通知》（国办函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[2020]109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号）规定的案件、按量收费标准，本年度未产生信息公开处理费。</w:t>
      </w:r>
    </w:p>
    <w:bookmarkEnd w:id="0"/>
    <w:bookmarkEnd w:id="1"/>
    <w:p w14:paraId="2DF0BD92" w14:textId="77777777" w:rsidR="00C87465" w:rsidRDefault="00C87465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sectPr w:rsidR="00C87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ZlMjU5NGNlNDZhYjAzZTcxODg4ZmQyYTc4ZTg4MzMifQ=="/>
    <w:docVar w:name="KSO_WPS_MARK_KEY" w:val="1afee7b0-32fa-4afe-b105-7c3eb157655a"/>
  </w:docVars>
  <w:rsids>
    <w:rsidRoot w:val="004939A1"/>
    <w:rsid w:val="00062881"/>
    <w:rsid w:val="00117D5E"/>
    <w:rsid w:val="00170663"/>
    <w:rsid w:val="001B6198"/>
    <w:rsid w:val="001D5383"/>
    <w:rsid w:val="00277A4F"/>
    <w:rsid w:val="00281A16"/>
    <w:rsid w:val="003160CC"/>
    <w:rsid w:val="00355D4F"/>
    <w:rsid w:val="003572B5"/>
    <w:rsid w:val="00397E8A"/>
    <w:rsid w:val="003E7872"/>
    <w:rsid w:val="004939A1"/>
    <w:rsid w:val="004E517D"/>
    <w:rsid w:val="0050014F"/>
    <w:rsid w:val="006638A9"/>
    <w:rsid w:val="006645AC"/>
    <w:rsid w:val="00724C98"/>
    <w:rsid w:val="009926A1"/>
    <w:rsid w:val="009E3347"/>
    <w:rsid w:val="00A07FF1"/>
    <w:rsid w:val="00A338F4"/>
    <w:rsid w:val="00AA2A56"/>
    <w:rsid w:val="00B16E41"/>
    <w:rsid w:val="00B511E3"/>
    <w:rsid w:val="00B75920"/>
    <w:rsid w:val="00BB207F"/>
    <w:rsid w:val="00BC14CA"/>
    <w:rsid w:val="00C87465"/>
    <w:rsid w:val="00C91F6F"/>
    <w:rsid w:val="00D4785E"/>
    <w:rsid w:val="00D84D1B"/>
    <w:rsid w:val="00D86DB3"/>
    <w:rsid w:val="00DC18B5"/>
    <w:rsid w:val="00E20F88"/>
    <w:rsid w:val="00E671D3"/>
    <w:rsid w:val="00F039EF"/>
    <w:rsid w:val="00F7330B"/>
    <w:rsid w:val="00FA0B36"/>
    <w:rsid w:val="01043544"/>
    <w:rsid w:val="32C76440"/>
    <w:rsid w:val="3AAF2CB2"/>
    <w:rsid w:val="40C8044B"/>
    <w:rsid w:val="54B9371C"/>
    <w:rsid w:val="62F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56B8"/>
  <w15:docId w15:val="{4C106499-44E4-4837-82B0-895D05A5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autoRedefine/>
    <w:uiPriority w:val="99"/>
    <w:qFormat/>
    <w:pPr>
      <w:ind w:leftChars="266" w:left="266" w:firstLineChars="150" w:firstLine="420"/>
    </w:pPr>
    <w:rPr>
      <w:rFonts w:ascii="宋体" w:hAnsi="宋体"/>
      <w:sz w:val="28"/>
    </w:rPr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94</cp:revision>
  <dcterms:created xsi:type="dcterms:W3CDTF">2023-01-29T02:57:00Z</dcterms:created>
  <dcterms:modified xsi:type="dcterms:W3CDTF">2024-03-04T00:57:00Z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0F5927DE3DC741ADAA1A08F22D41001F_13</vt:lpwstr>
  </property>
</Properties>
</file>