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方正小标宋简体" w:hAnsi="Times New Roman" w:eastAsia="方正小标宋简体"/>
          <w:kern w:val="0"/>
          <w:sz w:val="44"/>
          <w:szCs w:val="44"/>
          <w:lang w:eastAsia="zh-CN"/>
        </w:rPr>
      </w:pPr>
      <w:r>
        <w:rPr>
          <w:rFonts w:hint="eastAsia" w:ascii="方正小标宋简体" w:hAnsi="Times New Roman" w:eastAsia="方正小标宋简体"/>
          <w:kern w:val="0"/>
          <w:sz w:val="44"/>
          <w:szCs w:val="44"/>
          <w:lang w:eastAsia="zh-CN"/>
        </w:rPr>
        <w:t>《泗县综合减灾救灾“十四五”规划</w:t>
      </w: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方正小标宋简体" w:hAnsi="方正小标宋简体" w:eastAsia="方正小标宋简体" w:cs="方正小标宋简体"/>
          <w:b/>
          <w:bCs/>
          <w:sz w:val="44"/>
          <w:szCs w:val="44"/>
        </w:rPr>
      </w:pPr>
      <w:r>
        <w:rPr>
          <w:rFonts w:hint="eastAsia" w:ascii="方正小标宋简体" w:hAnsi="Times New Roman" w:eastAsia="方正小标宋简体"/>
          <w:kern w:val="0"/>
          <w:sz w:val="44"/>
          <w:szCs w:val="44"/>
          <w:lang w:eastAsia="zh-CN"/>
        </w:rPr>
        <w:t>（征求意见稿）》起草说明</w:t>
      </w:r>
    </w:p>
    <w:p>
      <w:pPr>
        <w:keepNext w:val="0"/>
        <w:keepLines w:val="0"/>
        <w:pageBreakBefore w:val="0"/>
        <w:widowControl w:val="0"/>
        <w:kinsoku/>
        <w:overflowPunct/>
        <w:topLinePunct w:val="0"/>
        <w:autoSpaceDE/>
        <w:autoSpaceDN/>
        <w:bidi w:val="0"/>
        <w:adjustRightInd/>
        <w:snapToGrid/>
        <w:spacing w:line="570" w:lineRule="exact"/>
        <w:ind w:left="0" w:leftChars="0" w:firstLine="640" w:firstLineChars="200"/>
        <w:jc w:val="left"/>
        <w:textAlignment w:val="auto"/>
        <w:rPr>
          <w:rFonts w:hint="eastAsia" w:ascii="仿宋_GB2312" w:hAnsi="仿宋_GB2312" w:eastAsia="仿宋_GB2312" w:cs="仿宋_GB2312"/>
          <w:sz w:val="32"/>
          <w:szCs w:val="32"/>
        </w:rPr>
      </w:pPr>
    </w:p>
    <w:p>
      <w:pPr>
        <w:keepNext w:val="0"/>
        <w:keepLines w:val="0"/>
        <w:pageBreakBefore w:val="0"/>
        <w:widowControl w:val="0"/>
        <w:kinsoku/>
        <w:overflowPunct/>
        <w:topLinePunct w:val="0"/>
        <w:autoSpaceDE/>
        <w:autoSpaceDN/>
        <w:bidi w:val="0"/>
        <w:adjustRightInd/>
        <w:snapToGrid/>
        <w:spacing w:line="570" w:lineRule="exact"/>
        <w:ind w:left="0" w:leftChars="0" w:firstLine="640" w:firstLineChars="200"/>
        <w:jc w:val="left"/>
        <w:textAlignment w:val="auto"/>
        <w:rPr>
          <w:rFonts w:hint="eastAsia" w:ascii="黑体" w:hAnsi="黑体" w:eastAsia="黑体" w:cs="黑体"/>
          <w:b w:val="0"/>
          <w:bCs w:val="0"/>
          <w:sz w:val="32"/>
          <w:szCs w:val="32"/>
        </w:rPr>
      </w:pPr>
      <w:r>
        <w:rPr>
          <w:rFonts w:hint="eastAsia" w:ascii="黑体" w:hAnsi="黑体" w:eastAsia="黑体" w:cs="黑体"/>
          <w:b w:val="0"/>
          <w:bCs w:val="0"/>
          <w:sz w:val="32"/>
          <w:szCs w:val="32"/>
        </w:rPr>
        <w:t>一、起草背景</w:t>
      </w:r>
    </w:p>
    <w:p>
      <w:pPr>
        <w:keepNext w:val="0"/>
        <w:keepLines w:val="0"/>
        <w:pageBreakBefore w:val="0"/>
        <w:kinsoku/>
        <w:wordWrap/>
        <w:overflowPunct/>
        <w:topLinePunct w:val="0"/>
        <w:autoSpaceDE/>
        <w:autoSpaceDN/>
        <w:bidi w:val="0"/>
        <w:adjustRightInd/>
        <w:snapToGrid/>
        <w:spacing w:line="570" w:lineRule="exact"/>
        <w:ind w:firstLine="640" w:firstLineChars="200"/>
        <w:jc w:val="both"/>
        <w:textAlignment w:val="auto"/>
        <w:rPr>
          <w:rFonts w:ascii="仿宋_GB2312" w:hAnsi="Times New Roman" w:eastAsia="仿宋_GB2312" w:cs="Times New Roman"/>
          <w:kern w:val="0"/>
          <w:sz w:val="32"/>
          <w:szCs w:val="32"/>
        </w:rPr>
      </w:pPr>
      <w:r>
        <w:rPr>
          <w:rFonts w:hint="eastAsia" w:ascii="Times New Roman" w:hAnsi="Times New Roman" w:eastAsia="仿宋_GB2312" w:cs="Times New Roman"/>
          <w:sz w:val="32"/>
          <w:szCs w:val="32"/>
          <w:lang w:eastAsia="zh-CN"/>
        </w:rPr>
        <w:t>应急管理是国家治理体系和治理能力的重要组成部分，承担防范化解重大安全风险，及时应对处置各类灾害事故的重要职责，担负保护人民群众生命财产安全和维护社会稳定的重要使命。为科学谋划县“十四五”期间</w:t>
      </w:r>
      <w:r>
        <w:rPr>
          <w:rFonts w:hint="eastAsia" w:eastAsia="仿宋_GB2312" w:cs="Times New Roman"/>
          <w:sz w:val="32"/>
          <w:szCs w:val="32"/>
          <w:lang w:eastAsia="zh-CN"/>
        </w:rPr>
        <w:t>综合防灾减灾</w:t>
      </w:r>
      <w:r>
        <w:rPr>
          <w:rFonts w:hint="eastAsia" w:ascii="Times New Roman" w:hAnsi="Times New Roman" w:eastAsia="仿宋_GB2312" w:cs="Times New Roman"/>
          <w:sz w:val="32"/>
          <w:szCs w:val="32"/>
          <w:lang w:eastAsia="zh-CN"/>
        </w:rPr>
        <w:t>发展思路和重大举措，立足解决综合减灾救灾领域关键和难点问题</w:t>
      </w:r>
      <w:r>
        <w:rPr>
          <w:rFonts w:hint="default" w:ascii="Times New Roman" w:hAnsi="Times New Roman" w:eastAsia="仿宋_GB2312" w:cs="Times New Roman"/>
          <w:sz w:val="32"/>
          <w:szCs w:val="32"/>
        </w:rPr>
        <w:t>，</w:t>
      </w:r>
      <w:r>
        <w:rPr>
          <w:rFonts w:ascii="仿宋_GB2312" w:hAnsi="Times New Roman" w:eastAsia="仿宋_GB2312" w:cs="Times New Roman"/>
          <w:kern w:val="0"/>
          <w:sz w:val="32"/>
          <w:szCs w:val="32"/>
        </w:rPr>
        <w:t>全面贯彻落实党中央、国务院及省</w:t>
      </w:r>
      <w:r>
        <w:rPr>
          <w:rFonts w:hint="eastAsia" w:ascii="仿宋_GB2312" w:hAnsi="Times New Roman" w:eastAsia="仿宋_GB2312" w:cs="Times New Roman"/>
          <w:kern w:val="0"/>
          <w:sz w:val="32"/>
          <w:szCs w:val="32"/>
          <w:lang w:eastAsia="zh-CN"/>
        </w:rPr>
        <w:t>、市</w:t>
      </w:r>
      <w:r>
        <w:rPr>
          <w:rFonts w:ascii="仿宋_GB2312" w:hAnsi="Times New Roman" w:eastAsia="仿宋_GB2312" w:cs="Times New Roman"/>
          <w:kern w:val="0"/>
          <w:sz w:val="32"/>
          <w:szCs w:val="32"/>
        </w:rPr>
        <w:t>关于应急管理工作的重大决策部署，推进应急管理体系和能力现代化，根据《中华人民共和国突发事件应对法》《中华人民共和国安全生产法》《宿州市“十四五”应急管理体系及能力建设规划》《泗县国民经济和社会发展第十四个五年规划和2035年远景目标纲要》等法律法规和规范性文件，制定本规划。</w:t>
      </w:r>
    </w:p>
    <w:p>
      <w:pPr>
        <w:keepNext w:val="0"/>
        <w:keepLines w:val="0"/>
        <w:pageBreakBefore w:val="0"/>
        <w:widowControl w:val="0"/>
        <w:kinsoku/>
        <w:overflowPunct/>
        <w:topLinePunct w:val="0"/>
        <w:autoSpaceDE/>
        <w:autoSpaceDN/>
        <w:bidi w:val="0"/>
        <w:adjustRightInd/>
        <w:snapToGrid/>
        <w:spacing w:line="570" w:lineRule="exact"/>
        <w:ind w:left="0" w:leftChars="0" w:firstLine="640" w:firstLineChars="200"/>
        <w:jc w:val="left"/>
        <w:textAlignment w:val="auto"/>
        <w:rPr>
          <w:rFonts w:hint="eastAsia" w:ascii="黑体" w:hAnsi="黑体" w:eastAsia="黑体" w:cs="黑体"/>
          <w:b w:val="0"/>
          <w:bCs w:val="0"/>
          <w:sz w:val="32"/>
          <w:szCs w:val="32"/>
          <w:lang w:val="en-US" w:eastAsia="zh-CN"/>
        </w:rPr>
      </w:pPr>
      <w:r>
        <w:rPr>
          <w:rFonts w:hint="eastAsia" w:ascii="黑体" w:hAnsi="黑体" w:eastAsia="黑体" w:cs="黑体"/>
          <w:b w:val="0"/>
          <w:bCs w:val="0"/>
          <w:sz w:val="32"/>
          <w:szCs w:val="32"/>
          <w:lang w:val="en-US" w:eastAsia="zh-CN"/>
        </w:rPr>
        <w:t>二、制定的意义及总体考虑</w:t>
      </w:r>
    </w:p>
    <w:p>
      <w:pPr>
        <w:keepNext w:val="0"/>
        <w:keepLines w:val="0"/>
        <w:pageBreakBefore w:val="0"/>
        <w:widowControl w:val="0"/>
        <w:kinsoku/>
        <w:overflowPunct/>
        <w:topLinePunct w:val="0"/>
        <w:autoSpaceDE/>
        <w:autoSpaceDN/>
        <w:bidi w:val="0"/>
        <w:adjustRightInd/>
        <w:snapToGrid/>
        <w:spacing w:line="570" w:lineRule="exact"/>
        <w:ind w:left="0" w:leftChars="0" w:firstLine="640" w:firstLineChars="200"/>
        <w:jc w:val="left"/>
        <w:textAlignment w:val="auto"/>
        <w:rPr>
          <w:rFonts w:hint="default" w:ascii="黑体" w:hAnsi="黑体" w:eastAsia="黑体" w:cs="黑体"/>
          <w:b w:val="0"/>
          <w:bCs w:val="0"/>
          <w:sz w:val="32"/>
          <w:szCs w:val="32"/>
          <w:lang w:val="en-US" w:eastAsia="zh-CN"/>
        </w:rPr>
      </w:pPr>
      <w:r>
        <w:rPr>
          <w:rFonts w:hint="eastAsia" w:ascii="仿宋_GB2312" w:hAnsi="Times New Roman" w:eastAsia="仿宋_GB2312" w:cs="Times New Roman"/>
          <w:kern w:val="0"/>
          <w:sz w:val="32"/>
          <w:szCs w:val="32"/>
          <w:lang w:val="en-US" w:eastAsia="zh-CN"/>
        </w:rPr>
        <w:t>“十四五”时期，全县防灾减灾救灾形势仍然十分严峻。在全球气候变化的影响下，自然灾害风险进一步加大。干旱、洪涝、低温、冰雪等灾害风险增加，自然灾害更具突发性、异常性和难以预见性。同时，农村防灾标准低，综合抵御自然灾害的能力还不足</w:t>
      </w:r>
      <w:r>
        <w:rPr>
          <w:rFonts w:hint="eastAsia" w:ascii="仿宋_GB2312" w:eastAsia="仿宋_GB2312" w:cs="Times New Roman"/>
          <w:kern w:val="0"/>
          <w:sz w:val="32"/>
          <w:szCs w:val="32"/>
          <w:lang w:val="en-US" w:eastAsia="zh-CN"/>
        </w:rPr>
        <w:t>，</w:t>
      </w:r>
      <w:r>
        <w:rPr>
          <w:rFonts w:hint="eastAsia" w:ascii="仿宋_GB2312" w:hAnsi="Times New Roman" w:eastAsia="仿宋_GB2312" w:cs="Times New Roman"/>
          <w:kern w:val="0"/>
          <w:sz w:val="32"/>
          <w:szCs w:val="32"/>
          <w:lang w:val="en-US" w:eastAsia="zh-CN"/>
        </w:rPr>
        <w:t>公众防灾减灾意识和自救互救能力仍需提高，宣传教育长效机制需要进一步完善,社会力量参与防灾减灾作用发挥还不够，还缺乏规范的支持引导。</w:t>
      </w:r>
      <w:r>
        <w:rPr>
          <w:rFonts w:hint="eastAsia" w:ascii="仿宋_GB2312" w:eastAsia="仿宋_GB2312" w:cs="Times New Roman"/>
          <w:kern w:val="0"/>
          <w:sz w:val="32"/>
          <w:szCs w:val="32"/>
          <w:lang w:val="en-US" w:eastAsia="zh-CN"/>
        </w:rPr>
        <w:t>本</w:t>
      </w:r>
      <w:r>
        <w:rPr>
          <w:rFonts w:hint="eastAsia" w:ascii="Times New Roman" w:hAnsi="Times New Roman" w:eastAsia="仿宋_GB2312" w:cs="Times New Roman"/>
          <w:kern w:val="2"/>
          <w:sz w:val="32"/>
          <w:szCs w:val="32"/>
          <w:lang w:val="en-US" w:eastAsia="zh-CN" w:bidi="ar-SA"/>
        </w:rPr>
        <w:t>《规划》</w:t>
      </w:r>
      <w:r>
        <w:rPr>
          <w:rFonts w:hint="eastAsia" w:ascii="仿宋_GB2312" w:hAnsi="Times New Roman" w:eastAsia="仿宋_GB2312" w:cs="Times New Roman"/>
          <w:kern w:val="0"/>
          <w:sz w:val="32"/>
          <w:szCs w:val="32"/>
          <w:lang w:val="en-US" w:eastAsia="zh-CN"/>
        </w:rPr>
        <w:t>坚持以习近平新时代中国特色社会主义思想为指导，深入贯彻落实习近平总书记关于防灾减灾重要论述和考察安徽重要讲话指示精神，按照县委、县政府的决策部署，正确处理防灾减灾救灾和经济社会发展的关系。坚持以防为主、防抗救相结合，坚持常态减灾和非常态救灾相统一，努力实现从注重灾后救助向注重灾前预防转变，从应对单一灾种向综合减灾转变，从减少灾害损失向减轻灾害风险转变。落实责任、完善体系、整合资源、统筹力量，不断深化防灾减灾救灾体制机制改革，全面提升全社会</w:t>
      </w:r>
      <w:r>
        <w:rPr>
          <w:rFonts w:hint="eastAsia" w:ascii="仿宋_GB2312" w:eastAsia="仿宋_GB2312" w:cs="Times New Roman"/>
          <w:kern w:val="0"/>
          <w:sz w:val="32"/>
          <w:szCs w:val="32"/>
          <w:lang w:val="en-US" w:eastAsia="zh-CN"/>
        </w:rPr>
        <w:t>抵御自然灾害的能力。</w:t>
      </w:r>
    </w:p>
    <w:p>
      <w:pPr>
        <w:keepNext w:val="0"/>
        <w:keepLines w:val="0"/>
        <w:pageBreakBefore w:val="0"/>
        <w:widowControl w:val="0"/>
        <w:kinsoku/>
        <w:overflowPunct/>
        <w:topLinePunct w:val="0"/>
        <w:autoSpaceDE/>
        <w:autoSpaceDN/>
        <w:bidi w:val="0"/>
        <w:adjustRightInd/>
        <w:snapToGrid/>
        <w:spacing w:line="570" w:lineRule="exact"/>
        <w:ind w:left="0" w:leftChars="0" w:firstLine="640" w:firstLineChars="200"/>
        <w:jc w:val="left"/>
        <w:textAlignment w:val="auto"/>
        <w:rPr>
          <w:rFonts w:hint="default" w:ascii="黑体" w:hAnsi="黑体" w:eastAsia="黑体" w:cs="黑体"/>
          <w:b w:val="0"/>
          <w:bCs w:val="0"/>
          <w:sz w:val="32"/>
          <w:szCs w:val="32"/>
        </w:rPr>
      </w:pPr>
      <w:r>
        <w:rPr>
          <w:rFonts w:hint="eastAsia" w:ascii="黑体" w:hAnsi="黑体" w:eastAsia="黑体" w:cs="黑体"/>
          <w:b w:val="0"/>
          <w:bCs w:val="0"/>
          <w:sz w:val="32"/>
          <w:szCs w:val="32"/>
          <w:lang w:val="en-US" w:eastAsia="zh-CN"/>
        </w:rPr>
        <w:t>三</w:t>
      </w:r>
      <w:r>
        <w:rPr>
          <w:rFonts w:hint="default" w:ascii="黑体" w:hAnsi="黑体" w:eastAsia="黑体" w:cs="黑体"/>
          <w:b w:val="0"/>
          <w:bCs w:val="0"/>
          <w:sz w:val="32"/>
          <w:szCs w:val="32"/>
        </w:rPr>
        <w:t>、</w:t>
      </w:r>
      <w:r>
        <w:rPr>
          <w:rFonts w:hint="eastAsia" w:ascii="黑体" w:hAnsi="黑体" w:eastAsia="黑体" w:cs="黑体"/>
          <w:b w:val="0"/>
          <w:bCs w:val="0"/>
          <w:sz w:val="32"/>
          <w:szCs w:val="32"/>
          <w:lang w:val="en-US" w:eastAsia="zh-CN"/>
        </w:rPr>
        <w:t>修订</w:t>
      </w:r>
      <w:r>
        <w:rPr>
          <w:rFonts w:hint="default" w:ascii="黑体" w:hAnsi="黑体" w:eastAsia="黑体" w:cs="黑体"/>
          <w:b w:val="0"/>
          <w:bCs w:val="0"/>
          <w:sz w:val="32"/>
          <w:szCs w:val="32"/>
        </w:rPr>
        <w:t>过程</w:t>
      </w:r>
    </w:p>
    <w:p>
      <w:pPr>
        <w:keepNext w:val="0"/>
        <w:keepLines w:val="0"/>
        <w:pageBreakBefore w:val="0"/>
        <w:widowControl w:val="0"/>
        <w:kinsoku/>
        <w:overflowPunct/>
        <w:topLinePunct w:val="0"/>
        <w:autoSpaceDE/>
        <w:autoSpaceDN/>
        <w:bidi w:val="0"/>
        <w:adjustRightInd/>
        <w:snapToGrid/>
        <w:spacing w:line="570" w:lineRule="exact"/>
        <w:ind w:left="0" w:leftChars="0" w:firstLine="640" w:firstLineChars="200"/>
        <w:jc w:val="lef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kern w:val="2"/>
          <w:sz w:val="32"/>
          <w:szCs w:val="32"/>
          <w:lang w:val="en-US" w:eastAsia="zh-CN" w:bidi="ar-SA"/>
        </w:rPr>
        <w:t>202</w:t>
      </w:r>
      <w:r>
        <w:rPr>
          <w:rFonts w:hint="eastAsia" w:ascii="Times New Roman" w:hAnsi="Times New Roman" w:eastAsia="仿宋_GB2312" w:cs="Times New Roman"/>
          <w:kern w:val="2"/>
          <w:sz w:val="32"/>
          <w:szCs w:val="32"/>
          <w:lang w:val="en-US" w:eastAsia="zh-CN" w:bidi="ar-SA"/>
        </w:rPr>
        <w:t>3</w:t>
      </w:r>
      <w:r>
        <w:rPr>
          <w:rFonts w:hint="default" w:ascii="Times New Roman" w:hAnsi="Times New Roman" w:eastAsia="仿宋_GB2312" w:cs="Times New Roman"/>
          <w:kern w:val="2"/>
          <w:sz w:val="32"/>
          <w:szCs w:val="32"/>
          <w:lang w:val="en-US" w:eastAsia="zh-CN" w:bidi="ar-SA"/>
        </w:rPr>
        <w:t>年3月15日，县应急局召开项目启动会，提出规划工作方案及编制大纲，</w:t>
      </w:r>
      <w:r>
        <w:rPr>
          <w:rFonts w:hint="eastAsia" w:ascii="Times New Roman" w:hAnsi="Times New Roman" w:eastAsia="仿宋_GB2312" w:cs="Times New Roman"/>
          <w:kern w:val="2"/>
          <w:sz w:val="32"/>
          <w:szCs w:val="32"/>
          <w:lang w:val="en-US" w:eastAsia="zh-CN" w:bidi="ar-SA"/>
        </w:rPr>
        <w:t>开展项目调研、资料分析、研究“十四五”应急管理体系及能力建设规划的编制框架与核心指标体系。2023年3月28日，起草《泗县“十四五”</w:t>
      </w:r>
      <w:r>
        <w:rPr>
          <w:rFonts w:hint="eastAsia" w:eastAsia="仿宋_GB2312" w:cs="Times New Roman"/>
          <w:kern w:val="2"/>
          <w:sz w:val="32"/>
          <w:szCs w:val="32"/>
          <w:lang w:val="en-US" w:eastAsia="zh-CN" w:bidi="ar-SA"/>
        </w:rPr>
        <w:t>综合防灾减灾</w:t>
      </w:r>
      <w:r>
        <w:rPr>
          <w:rFonts w:hint="eastAsia" w:ascii="Times New Roman" w:hAnsi="Times New Roman" w:eastAsia="仿宋_GB2312" w:cs="Times New Roman"/>
          <w:kern w:val="2"/>
          <w:sz w:val="32"/>
          <w:szCs w:val="32"/>
          <w:lang w:val="en-US" w:eastAsia="zh-CN" w:bidi="ar-SA"/>
        </w:rPr>
        <w:t>规划（初稿）》。202</w:t>
      </w:r>
      <w:r>
        <w:rPr>
          <w:rFonts w:hint="eastAsia" w:eastAsia="仿宋_GB2312" w:cs="Times New Roman"/>
          <w:kern w:val="2"/>
          <w:sz w:val="32"/>
          <w:szCs w:val="32"/>
          <w:lang w:val="en-US" w:eastAsia="zh-CN" w:bidi="ar-SA"/>
        </w:rPr>
        <w:t>3</w:t>
      </w:r>
      <w:r>
        <w:rPr>
          <w:rFonts w:hint="eastAsia" w:ascii="Times New Roman" w:hAnsi="Times New Roman" w:eastAsia="仿宋_GB2312" w:cs="Times New Roman"/>
          <w:kern w:val="2"/>
          <w:sz w:val="32"/>
          <w:szCs w:val="32"/>
          <w:lang w:val="en-US" w:eastAsia="zh-CN" w:bidi="ar-SA"/>
        </w:rPr>
        <w:t>年</w:t>
      </w:r>
      <w:r>
        <w:rPr>
          <w:rFonts w:hint="eastAsia" w:eastAsia="仿宋_GB2312" w:cs="Times New Roman"/>
          <w:kern w:val="2"/>
          <w:sz w:val="32"/>
          <w:szCs w:val="32"/>
          <w:lang w:val="en-US" w:eastAsia="zh-CN" w:bidi="ar-SA"/>
        </w:rPr>
        <w:t>4</w:t>
      </w:r>
      <w:r>
        <w:rPr>
          <w:rFonts w:hint="eastAsia" w:ascii="Times New Roman" w:hAnsi="Times New Roman" w:eastAsia="仿宋_GB2312" w:cs="Times New Roman"/>
          <w:kern w:val="2"/>
          <w:sz w:val="32"/>
          <w:szCs w:val="32"/>
          <w:lang w:val="en-US" w:eastAsia="zh-CN" w:bidi="ar-SA"/>
        </w:rPr>
        <w:t>月</w:t>
      </w:r>
      <w:r>
        <w:rPr>
          <w:rFonts w:hint="eastAsia" w:eastAsia="仿宋_GB2312" w:cs="Times New Roman"/>
          <w:kern w:val="2"/>
          <w:sz w:val="32"/>
          <w:szCs w:val="32"/>
          <w:lang w:val="en-US" w:eastAsia="zh-CN" w:bidi="ar-SA"/>
        </w:rPr>
        <w:t>10</w:t>
      </w:r>
      <w:r>
        <w:rPr>
          <w:rFonts w:hint="eastAsia" w:ascii="Times New Roman" w:hAnsi="Times New Roman" w:eastAsia="仿宋_GB2312" w:cs="Times New Roman"/>
          <w:kern w:val="2"/>
          <w:sz w:val="32"/>
          <w:szCs w:val="32"/>
          <w:lang w:val="en-US" w:eastAsia="zh-CN" w:bidi="ar-SA"/>
        </w:rPr>
        <w:t>日-</w:t>
      </w:r>
      <w:r>
        <w:rPr>
          <w:rFonts w:hint="eastAsia" w:eastAsia="仿宋_GB2312" w:cs="Times New Roman"/>
          <w:kern w:val="2"/>
          <w:sz w:val="32"/>
          <w:szCs w:val="32"/>
          <w:lang w:val="en-US" w:eastAsia="zh-CN" w:bidi="ar-SA"/>
        </w:rPr>
        <w:t>4</w:t>
      </w:r>
      <w:r>
        <w:rPr>
          <w:rFonts w:hint="eastAsia" w:ascii="Times New Roman" w:hAnsi="Times New Roman" w:eastAsia="仿宋_GB2312" w:cs="Times New Roman"/>
          <w:kern w:val="2"/>
          <w:sz w:val="32"/>
          <w:szCs w:val="32"/>
          <w:lang w:val="en-US" w:eastAsia="zh-CN" w:bidi="ar-SA"/>
        </w:rPr>
        <w:t>月</w:t>
      </w:r>
      <w:r>
        <w:rPr>
          <w:rFonts w:hint="eastAsia" w:eastAsia="仿宋_GB2312" w:cs="Times New Roman"/>
          <w:kern w:val="2"/>
          <w:sz w:val="32"/>
          <w:szCs w:val="32"/>
          <w:lang w:val="en-US" w:eastAsia="zh-CN" w:bidi="ar-SA"/>
        </w:rPr>
        <w:t>29</w:t>
      </w:r>
      <w:r>
        <w:rPr>
          <w:rFonts w:hint="eastAsia" w:ascii="Times New Roman" w:hAnsi="Times New Roman" w:eastAsia="仿宋_GB2312" w:cs="Times New Roman"/>
          <w:kern w:val="2"/>
          <w:sz w:val="32"/>
          <w:szCs w:val="32"/>
          <w:lang w:val="en-US" w:eastAsia="zh-CN" w:bidi="ar-SA"/>
        </w:rPr>
        <w:t>日，</w:t>
      </w:r>
      <w:r>
        <w:rPr>
          <w:rFonts w:hint="eastAsia" w:eastAsia="仿宋_GB2312" w:cs="Times New Roman"/>
          <w:kern w:val="2"/>
          <w:sz w:val="32"/>
          <w:szCs w:val="32"/>
          <w:lang w:val="en-US" w:eastAsia="zh-CN" w:bidi="ar-SA"/>
        </w:rPr>
        <w:t>向</w:t>
      </w:r>
      <w:r>
        <w:rPr>
          <w:rFonts w:hint="eastAsia" w:ascii="Times New Roman" w:hAnsi="Times New Roman" w:eastAsia="仿宋_GB2312" w:cs="Times New Roman"/>
          <w:kern w:val="2"/>
          <w:sz w:val="32"/>
          <w:szCs w:val="32"/>
          <w:lang w:val="en-US" w:eastAsia="zh-CN" w:bidi="ar-SA"/>
        </w:rPr>
        <w:t>县减灾救灾委成员</w:t>
      </w:r>
      <w:r>
        <w:rPr>
          <w:rFonts w:hint="eastAsia" w:eastAsia="仿宋_GB2312" w:cs="Times New Roman"/>
          <w:kern w:val="2"/>
          <w:sz w:val="32"/>
          <w:szCs w:val="32"/>
          <w:lang w:val="en-US" w:eastAsia="zh-CN" w:bidi="ar-SA"/>
        </w:rPr>
        <w:t>单位</w:t>
      </w:r>
      <w:r>
        <w:rPr>
          <w:rFonts w:hint="eastAsia" w:ascii="Times New Roman" w:hAnsi="Times New Roman" w:eastAsia="仿宋_GB2312" w:cs="Times New Roman"/>
          <w:kern w:val="2"/>
          <w:sz w:val="32"/>
          <w:szCs w:val="32"/>
          <w:lang w:val="en-US" w:eastAsia="zh-CN" w:bidi="ar-SA"/>
        </w:rPr>
        <w:t>和社会公众公开征求意见。2023年6月1日，组织市专家审查，根据专家审查意见、宿州市发布的上位规划对规划指标和相关内容进行修订。</w:t>
      </w:r>
      <w:r>
        <w:rPr>
          <w:rFonts w:hint="default" w:ascii="Times New Roman" w:hAnsi="Times New Roman" w:eastAsia="仿宋_GB2312" w:cs="Times New Roman"/>
          <w:sz w:val="32"/>
          <w:szCs w:val="32"/>
        </w:rPr>
        <w:t>同时注重从</w:t>
      </w:r>
      <w:r>
        <w:rPr>
          <w:rFonts w:hint="eastAsia" w:eastAsia="仿宋_GB2312" w:cs="Times New Roman"/>
          <w:sz w:val="32"/>
          <w:szCs w:val="32"/>
          <w:lang w:eastAsia="zh-CN"/>
        </w:rPr>
        <w:t>实际出发</w:t>
      </w:r>
      <w:r>
        <w:rPr>
          <w:rFonts w:hint="default" w:ascii="Times New Roman" w:hAnsi="Times New Roman" w:eastAsia="仿宋_GB2312" w:cs="Times New Roman"/>
          <w:sz w:val="32"/>
          <w:szCs w:val="32"/>
        </w:rPr>
        <w:t>，切实提高</w:t>
      </w:r>
      <w:r>
        <w:rPr>
          <w:rFonts w:hint="eastAsia" w:eastAsia="仿宋_GB2312" w:cs="Times New Roman"/>
          <w:sz w:val="32"/>
          <w:szCs w:val="32"/>
          <w:lang w:eastAsia="zh-CN"/>
        </w:rPr>
        <w:t>规划</w:t>
      </w:r>
      <w:r>
        <w:rPr>
          <w:rFonts w:hint="default" w:ascii="Times New Roman" w:hAnsi="Times New Roman" w:eastAsia="仿宋_GB2312" w:cs="Times New Roman"/>
          <w:sz w:val="32"/>
          <w:szCs w:val="32"/>
        </w:rPr>
        <w:t>的针对性、实用性和可操作性。</w:t>
      </w:r>
    </w:p>
    <w:p>
      <w:pPr>
        <w:keepNext w:val="0"/>
        <w:keepLines w:val="0"/>
        <w:pageBreakBefore w:val="0"/>
        <w:widowControl w:val="0"/>
        <w:kinsoku/>
        <w:overflowPunct/>
        <w:topLinePunct w:val="0"/>
        <w:autoSpaceDE/>
        <w:autoSpaceDN/>
        <w:bidi w:val="0"/>
        <w:adjustRightInd/>
        <w:snapToGrid/>
        <w:spacing w:line="570" w:lineRule="exact"/>
        <w:ind w:left="0" w:leftChars="0" w:firstLine="640" w:firstLineChars="200"/>
        <w:jc w:val="left"/>
        <w:textAlignment w:val="auto"/>
        <w:rPr>
          <w:rFonts w:hint="eastAsia" w:ascii="黑体" w:hAnsi="黑体" w:eastAsia="黑体" w:cs="黑体"/>
          <w:b w:val="0"/>
          <w:bCs w:val="0"/>
          <w:sz w:val="32"/>
          <w:szCs w:val="32"/>
          <w:lang w:eastAsia="zh-CN"/>
        </w:rPr>
      </w:pPr>
      <w:r>
        <w:rPr>
          <w:rFonts w:hint="eastAsia" w:ascii="黑体" w:hAnsi="黑体" w:eastAsia="黑体" w:cs="黑体"/>
          <w:b w:val="0"/>
          <w:bCs w:val="0"/>
          <w:sz w:val="32"/>
          <w:szCs w:val="32"/>
          <w:lang w:val="en-US" w:eastAsia="zh-CN"/>
        </w:rPr>
        <w:t>四</w:t>
      </w:r>
      <w:r>
        <w:rPr>
          <w:rFonts w:hint="eastAsia" w:ascii="黑体" w:hAnsi="黑体" w:eastAsia="黑体" w:cs="黑体"/>
          <w:b w:val="0"/>
          <w:bCs w:val="0"/>
          <w:sz w:val="32"/>
          <w:szCs w:val="32"/>
          <w:lang w:eastAsia="zh-CN"/>
        </w:rPr>
        <w:t>、规划框架和主要内容</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overflowPunct/>
        <w:topLinePunct w:val="0"/>
        <w:autoSpaceDE/>
        <w:autoSpaceDN/>
        <w:bidi w:val="0"/>
        <w:adjustRightInd/>
        <w:snapToGrid/>
        <w:spacing w:before="0" w:beforeAutospacing="0" w:after="0" w:afterAutospacing="0" w:line="570" w:lineRule="exact"/>
        <w:ind w:left="0" w:right="0" w:firstLine="640" w:firstLineChars="200"/>
        <w:jc w:val="left"/>
        <w:textAlignment w:val="auto"/>
        <w:rPr>
          <w:rFonts w:hint="eastAsia" w:ascii="Times New Roman" w:hAnsi="Times New Roman" w:eastAsia="仿宋_GB2312" w:cs="Times New Roman"/>
          <w:kern w:val="2"/>
          <w:sz w:val="32"/>
          <w:szCs w:val="32"/>
          <w:lang w:val="en-US" w:eastAsia="zh-CN" w:bidi="ar-SA"/>
        </w:rPr>
      </w:pPr>
      <w:r>
        <w:rPr>
          <w:rFonts w:hint="eastAsia" w:ascii="Times New Roman" w:hAnsi="Times New Roman" w:eastAsia="仿宋_GB2312" w:cs="Times New Roman"/>
          <w:kern w:val="2"/>
          <w:sz w:val="32"/>
          <w:szCs w:val="32"/>
          <w:lang w:val="en-US" w:eastAsia="zh-CN" w:bidi="ar-SA"/>
        </w:rPr>
        <w:t>《规划》分为4个章节。</w:t>
      </w:r>
      <w:bookmarkStart w:id="0" w:name="_GoBack"/>
      <w:bookmarkEnd w:id="0"/>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overflowPunct/>
        <w:topLinePunct w:val="0"/>
        <w:autoSpaceDE/>
        <w:autoSpaceDN/>
        <w:bidi w:val="0"/>
        <w:adjustRightInd/>
        <w:snapToGrid/>
        <w:spacing w:before="0" w:beforeAutospacing="0" w:after="0" w:afterAutospacing="0" w:line="570" w:lineRule="exact"/>
        <w:ind w:left="0" w:right="0" w:firstLine="640" w:firstLineChars="200"/>
        <w:jc w:val="left"/>
        <w:textAlignment w:val="auto"/>
        <w:rPr>
          <w:rFonts w:hint="eastAsia" w:ascii="Times New Roman" w:hAnsi="Times New Roman" w:eastAsia="仿宋_GB2312" w:cs="Times New Roman"/>
          <w:kern w:val="2"/>
          <w:sz w:val="32"/>
          <w:szCs w:val="32"/>
          <w:lang w:val="en-US" w:eastAsia="zh-CN" w:bidi="ar-SA"/>
        </w:rPr>
      </w:pPr>
      <w:r>
        <w:rPr>
          <w:rFonts w:hint="eastAsia" w:ascii="Times New Roman" w:hAnsi="Times New Roman" w:eastAsia="仿宋_GB2312" w:cs="Times New Roman"/>
          <w:kern w:val="2"/>
          <w:sz w:val="32"/>
          <w:szCs w:val="32"/>
          <w:lang w:val="en-US" w:eastAsia="zh-CN" w:bidi="ar-SA"/>
        </w:rPr>
        <w:t>第一章：形势分析。全面总结了我县“十三五”时期综合</w:t>
      </w:r>
      <w:r>
        <w:rPr>
          <w:rFonts w:hint="eastAsia" w:eastAsia="仿宋_GB2312" w:cs="Times New Roman"/>
          <w:kern w:val="2"/>
          <w:sz w:val="32"/>
          <w:szCs w:val="32"/>
          <w:lang w:val="en-US" w:eastAsia="zh-CN" w:bidi="ar-SA"/>
        </w:rPr>
        <w:t>防灾</w:t>
      </w:r>
      <w:r>
        <w:rPr>
          <w:rFonts w:hint="eastAsia" w:ascii="Times New Roman" w:hAnsi="Times New Roman" w:eastAsia="仿宋_GB2312" w:cs="Times New Roman"/>
          <w:kern w:val="2"/>
          <w:sz w:val="32"/>
          <w:szCs w:val="32"/>
          <w:lang w:val="en-US" w:eastAsia="zh-CN" w:bidi="ar-SA"/>
        </w:rPr>
        <w:t>减灾工作取得的成效，分析了我县</w:t>
      </w:r>
      <w:r>
        <w:rPr>
          <w:rFonts w:hint="eastAsia" w:eastAsia="仿宋_GB2312" w:cs="Times New Roman"/>
          <w:kern w:val="2"/>
          <w:sz w:val="32"/>
          <w:szCs w:val="32"/>
          <w:lang w:val="en-US" w:eastAsia="zh-CN" w:bidi="ar-SA"/>
        </w:rPr>
        <w:t>防灾减灾救灾</w:t>
      </w:r>
      <w:r>
        <w:rPr>
          <w:rFonts w:hint="eastAsia" w:ascii="Times New Roman" w:hAnsi="Times New Roman" w:eastAsia="仿宋_GB2312" w:cs="Times New Roman"/>
          <w:kern w:val="2"/>
          <w:sz w:val="32"/>
          <w:szCs w:val="32"/>
          <w:lang w:val="en-US" w:eastAsia="zh-CN" w:bidi="ar-SA"/>
        </w:rPr>
        <w:t>工作一些亟待解决的问题和短板以及面临的挑战。立足新发展阶段要求，系统地分析了“十四五”时期的发展机遇，为推进应急管理体系和能力现代化建设奠定了良好的工作基础。</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overflowPunct/>
        <w:topLinePunct w:val="0"/>
        <w:autoSpaceDE/>
        <w:autoSpaceDN/>
        <w:bidi w:val="0"/>
        <w:adjustRightInd/>
        <w:snapToGrid/>
        <w:spacing w:before="0" w:beforeAutospacing="0" w:after="0" w:afterAutospacing="0" w:line="570" w:lineRule="exact"/>
        <w:ind w:left="0" w:right="0" w:firstLine="640" w:firstLineChars="200"/>
        <w:jc w:val="left"/>
        <w:textAlignment w:val="auto"/>
        <w:rPr>
          <w:rFonts w:hint="eastAsia" w:ascii="Times New Roman" w:hAnsi="Times New Roman" w:eastAsia="仿宋_GB2312" w:cs="Times New Roman"/>
          <w:kern w:val="2"/>
          <w:sz w:val="32"/>
          <w:szCs w:val="32"/>
          <w:lang w:val="en-US" w:eastAsia="zh-CN" w:bidi="ar-SA"/>
        </w:rPr>
      </w:pPr>
      <w:r>
        <w:rPr>
          <w:rFonts w:hint="eastAsia" w:ascii="Times New Roman" w:hAnsi="Times New Roman" w:eastAsia="仿宋_GB2312" w:cs="Times New Roman"/>
          <w:kern w:val="2"/>
          <w:sz w:val="32"/>
          <w:szCs w:val="32"/>
          <w:lang w:val="en-US" w:eastAsia="zh-CN" w:bidi="ar-SA"/>
        </w:rPr>
        <w:t>第二章：指导思想、基本原则和主要目标。指导思想方面，以推进应急管理体系和能力现代化为主线，加强防灾减灾救灾等应急管理工作，全力防范化解各类自然灾害，全面提升城市韧性以及突发事件应对能力，切实维护人民群众生命财产安全和社会稳定，为推动全县经济社会高质量发展，营造安全稳定的环境。基本原则方面，提出了六个方面的基本原则，强调了坚持党的领导和人民至上、生命至上的发展思想，</w:t>
      </w:r>
      <w:r>
        <w:rPr>
          <w:rFonts w:hint="eastAsia" w:eastAsia="仿宋_GB2312" w:cs="Times New Roman"/>
          <w:kern w:val="2"/>
          <w:sz w:val="32"/>
          <w:szCs w:val="32"/>
          <w:lang w:val="en-US" w:eastAsia="zh-CN" w:bidi="ar-SA"/>
        </w:rPr>
        <w:t>提高</w:t>
      </w:r>
      <w:r>
        <w:rPr>
          <w:rFonts w:hint="eastAsia" w:ascii="Times New Roman" w:hAnsi="Times New Roman" w:eastAsia="仿宋_GB2312" w:cs="Times New Roman"/>
          <w:kern w:val="2"/>
          <w:sz w:val="32"/>
          <w:szCs w:val="32"/>
          <w:lang w:val="en-US" w:eastAsia="zh-CN" w:bidi="ar-SA"/>
        </w:rPr>
        <w:t>科技创新和社会共建共治共享的支撑力。规划目标方面，围绕到2025年应急管理体系和能力现代化建设取得重大进展，建成</w:t>
      </w:r>
      <w:r>
        <w:rPr>
          <w:rFonts w:ascii="仿宋_GB2312" w:hAnsi="Times New Roman" w:eastAsia="仿宋_GB2312" w:cs="Times New Roman"/>
          <w:kern w:val="0"/>
          <w:sz w:val="32"/>
          <w:szCs w:val="32"/>
        </w:rPr>
        <w:t>统一指挥、专常兼备、反应灵敏、上下联动</w:t>
      </w:r>
      <w:r>
        <w:rPr>
          <w:rFonts w:hint="eastAsia" w:ascii="Times New Roman" w:hAnsi="Times New Roman" w:eastAsia="仿宋_GB2312" w:cs="Times New Roman"/>
          <w:kern w:val="2"/>
          <w:sz w:val="32"/>
          <w:szCs w:val="32"/>
          <w:lang w:val="en-US" w:eastAsia="zh-CN" w:bidi="ar-SA"/>
        </w:rPr>
        <w:t>的综合防灾减灾“十四五”应急管理指标体系，并衔接上位规划要求，共设置防灾减灾类、能力建设类等主要指标。</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overflowPunct/>
        <w:topLinePunct w:val="0"/>
        <w:autoSpaceDE/>
        <w:autoSpaceDN/>
        <w:bidi w:val="0"/>
        <w:adjustRightInd/>
        <w:snapToGrid/>
        <w:spacing w:before="0" w:beforeAutospacing="0" w:after="0" w:afterAutospacing="0" w:line="570" w:lineRule="exact"/>
        <w:ind w:left="0" w:right="0" w:firstLine="640" w:firstLineChars="200"/>
        <w:jc w:val="left"/>
        <w:textAlignment w:val="auto"/>
        <w:rPr>
          <w:rFonts w:hint="eastAsia" w:ascii="Times New Roman" w:hAnsi="Times New Roman" w:eastAsia="仿宋_GB2312" w:cs="Times New Roman"/>
          <w:kern w:val="2"/>
          <w:sz w:val="32"/>
          <w:szCs w:val="32"/>
          <w:lang w:val="en-US" w:eastAsia="zh-CN" w:bidi="ar-SA"/>
        </w:rPr>
      </w:pPr>
      <w:r>
        <w:rPr>
          <w:rFonts w:hint="eastAsia" w:ascii="Times New Roman" w:hAnsi="Times New Roman" w:eastAsia="仿宋_GB2312" w:cs="Times New Roman"/>
          <w:kern w:val="2"/>
          <w:sz w:val="32"/>
          <w:szCs w:val="32"/>
          <w:lang w:val="en-US" w:eastAsia="zh-CN" w:bidi="ar-SA"/>
        </w:rPr>
        <w:t>第三章：主要任务</w:t>
      </w:r>
      <w:r>
        <w:rPr>
          <w:rFonts w:hint="eastAsia" w:eastAsia="仿宋_GB2312" w:cs="Times New Roman"/>
          <w:kern w:val="2"/>
          <w:sz w:val="32"/>
          <w:szCs w:val="32"/>
          <w:lang w:val="en-US" w:eastAsia="zh-CN" w:bidi="ar-SA"/>
        </w:rPr>
        <w:t>和</w:t>
      </w:r>
      <w:r>
        <w:rPr>
          <w:rFonts w:hint="eastAsia" w:ascii="Times New Roman" w:hAnsi="Times New Roman" w:eastAsia="仿宋_GB2312" w:cs="Times New Roman"/>
          <w:kern w:val="2"/>
          <w:sz w:val="32"/>
          <w:szCs w:val="32"/>
          <w:lang w:val="en-US" w:eastAsia="zh-CN" w:bidi="ar-SA"/>
        </w:rPr>
        <w:t>重点工程。突出全面推进应急管理体系和能力建设要求，加强与国家、省、市级应急管理重大政策、重大改革和重大项目衔接，系统谋划了应急管理工作体系和能力建设任务。经公开向全县各部门、各单位广泛征求应急领域重点工程项目，以及衔接上位规划，共谋划了灾害防治能力提升、应急救援能力提升、应急物资保障能力提升、社会应急能力提升等五大重点工程建设。</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overflowPunct/>
        <w:topLinePunct w:val="0"/>
        <w:autoSpaceDE/>
        <w:autoSpaceDN/>
        <w:bidi w:val="0"/>
        <w:adjustRightInd/>
        <w:snapToGrid/>
        <w:spacing w:before="0" w:beforeAutospacing="0" w:after="0" w:afterAutospacing="0" w:line="570" w:lineRule="exact"/>
        <w:ind w:left="0" w:right="0" w:firstLine="640" w:firstLineChars="200"/>
        <w:jc w:val="left"/>
        <w:textAlignment w:val="auto"/>
        <w:rPr>
          <w:rFonts w:hint="eastAsia" w:ascii="Times New Roman" w:hAnsi="Times New Roman" w:eastAsia="仿宋_GB2312" w:cs="Times New Roman"/>
          <w:kern w:val="2"/>
          <w:sz w:val="32"/>
          <w:szCs w:val="32"/>
          <w:lang w:val="en-US" w:eastAsia="zh-CN" w:bidi="ar-SA"/>
        </w:rPr>
      </w:pPr>
      <w:r>
        <w:rPr>
          <w:rFonts w:hint="eastAsia" w:ascii="Times New Roman" w:hAnsi="Times New Roman" w:eastAsia="仿宋_GB2312" w:cs="Times New Roman"/>
          <w:kern w:val="2"/>
          <w:sz w:val="32"/>
          <w:szCs w:val="32"/>
          <w:lang w:val="en-US" w:eastAsia="zh-CN" w:bidi="ar-SA"/>
        </w:rPr>
        <w:t>第四章：保障措施。从强化部门协同、强化资金保障、强化考核评估、强化宣传监督四个方面提出保障措施，进一步强化规划实施要求。</w:t>
      </w:r>
    </w:p>
    <w:p>
      <w:pPr>
        <w:keepNext w:val="0"/>
        <w:keepLines w:val="0"/>
        <w:pageBreakBefore w:val="0"/>
        <w:widowControl w:val="0"/>
        <w:kinsoku/>
        <w:wordWrap w:val="0"/>
        <w:overflowPunct/>
        <w:topLinePunct w:val="0"/>
        <w:autoSpaceDE/>
        <w:autoSpaceDN/>
        <w:bidi w:val="0"/>
        <w:adjustRightInd/>
        <w:snapToGrid/>
        <w:spacing w:line="570" w:lineRule="exact"/>
        <w:ind w:left="0" w:leftChars="0" w:firstLine="640" w:firstLineChars="200"/>
        <w:jc w:val="both"/>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 xml:space="preserve">     </w:t>
      </w:r>
    </w:p>
    <w:p>
      <w:pPr>
        <w:keepNext w:val="0"/>
        <w:keepLines w:val="0"/>
        <w:pageBreakBefore w:val="0"/>
        <w:widowControl w:val="0"/>
        <w:kinsoku/>
        <w:wordWrap w:val="0"/>
        <w:overflowPunct/>
        <w:topLinePunct w:val="0"/>
        <w:autoSpaceDE/>
        <w:autoSpaceDN/>
        <w:bidi w:val="0"/>
        <w:adjustRightInd/>
        <w:snapToGrid/>
        <w:spacing w:line="570" w:lineRule="exact"/>
        <w:ind w:left="0" w:leftChars="0" w:firstLine="640" w:firstLineChars="200"/>
        <w:jc w:val="both"/>
        <w:textAlignment w:val="auto"/>
        <w:rPr>
          <w:rFonts w:hint="default" w:ascii="Times New Roman" w:hAnsi="Times New Roman" w:eastAsia="仿宋_GB2312" w:cs="Times New Roman"/>
          <w:sz w:val="32"/>
          <w:szCs w:val="32"/>
          <w:lang w:val="en-US" w:eastAsia="zh-CN"/>
        </w:rPr>
      </w:pPr>
    </w:p>
    <w:p>
      <w:pPr>
        <w:pStyle w:val="2"/>
        <w:rPr>
          <w:rFonts w:hint="default"/>
          <w:lang w:val="en-US" w:eastAsia="zh-CN"/>
        </w:rPr>
      </w:pPr>
    </w:p>
    <w:p>
      <w:pPr>
        <w:keepNext w:val="0"/>
        <w:keepLines w:val="0"/>
        <w:pageBreakBefore w:val="0"/>
        <w:widowControl w:val="0"/>
        <w:kinsoku/>
        <w:wordWrap w:val="0"/>
        <w:overflowPunct/>
        <w:topLinePunct w:val="0"/>
        <w:autoSpaceDE/>
        <w:autoSpaceDN/>
        <w:bidi w:val="0"/>
        <w:adjustRightInd/>
        <w:snapToGrid/>
        <w:spacing w:line="570" w:lineRule="exact"/>
        <w:ind w:firstLine="5440" w:firstLineChars="170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泗县应急管理局</w:t>
      </w:r>
    </w:p>
    <w:p>
      <w:pPr>
        <w:keepNext w:val="0"/>
        <w:keepLines w:val="0"/>
        <w:pageBreakBefore w:val="0"/>
        <w:widowControl w:val="0"/>
        <w:kinsoku/>
        <w:overflowPunct/>
        <w:topLinePunct w:val="0"/>
        <w:autoSpaceDE/>
        <w:autoSpaceDN/>
        <w:bidi w:val="0"/>
        <w:adjustRightInd/>
        <w:snapToGrid/>
        <w:spacing w:line="570" w:lineRule="exact"/>
        <w:ind w:firstLine="5440" w:firstLineChars="170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20</w:t>
      </w:r>
      <w:r>
        <w:rPr>
          <w:rFonts w:hint="default" w:ascii="Times New Roman" w:hAnsi="Times New Roman" w:eastAsia="仿宋_GB2312" w:cs="Times New Roman"/>
          <w:sz w:val="32"/>
          <w:szCs w:val="32"/>
          <w:lang w:val="en-US" w:eastAsia="zh-CN"/>
        </w:rPr>
        <w:t>2</w:t>
      </w:r>
      <w:r>
        <w:rPr>
          <w:rFonts w:hint="eastAsia" w:eastAsia="仿宋_GB2312" w:cs="Times New Roman"/>
          <w:sz w:val="32"/>
          <w:szCs w:val="32"/>
          <w:lang w:val="en-US" w:eastAsia="zh-CN"/>
        </w:rPr>
        <w:t>3</w:t>
      </w:r>
      <w:r>
        <w:rPr>
          <w:rFonts w:hint="default" w:ascii="Times New Roman" w:hAnsi="Times New Roman" w:eastAsia="仿宋_GB2312" w:cs="Times New Roman"/>
          <w:sz w:val="32"/>
          <w:szCs w:val="32"/>
        </w:rPr>
        <w:t>年</w:t>
      </w:r>
      <w:r>
        <w:rPr>
          <w:rFonts w:hint="eastAsia" w:eastAsia="仿宋_GB2312" w:cs="Times New Roman"/>
          <w:sz w:val="32"/>
          <w:szCs w:val="32"/>
          <w:lang w:val="en-US" w:eastAsia="zh-CN"/>
        </w:rPr>
        <w:t>6</w:t>
      </w:r>
      <w:r>
        <w:rPr>
          <w:rFonts w:hint="default" w:ascii="Times New Roman" w:hAnsi="Times New Roman" w:eastAsia="仿宋_GB2312" w:cs="Times New Roman"/>
          <w:sz w:val="32"/>
          <w:szCs w:val="32"/>
        </w:rPr>
        <w:t>月</w:t>
      </w:r>
      <w:r>
        <w:rPr>
          <w:rFonts w:hint="eastAsia" w:eastAsia="仿宋_GB2312" w:cs="Times New Roman"/>
          <w:sz w:val="32"/>
          <w:szCs w:val="32"/>
          <w:lang w:val="en-US" w:eastAsia="zh-CN"/>
        </w:rPr>
        <w:t>6</w:t>
      </w:r>
      <w:r>
        <w:rPr>
          <w:rFonts w:hint="default" w:ascii="Times New Roman" w:hAnsi="Times New Roman" w:eastAsia="仿宋_GB2312" w:cs="Times New Roman"/>
          <w:sz w:val="32"/>
          <w:szCs w:val="32"/>
        </w:rPr>
        <w:t>日</w:t>
      </w:r>
    </w:p>
    <w:p>
      <w:pPr>
        <w:spacing w:line="580" w:lineRule="exact"/>
        <w:rPr>
          <w:rFonts w:hint="eastAsia" w:ascii="仿宋" w:hAnsi="仿宋" w:eastAsia="仿宋" w:cs="仿宋"/>
        </w:rPr>
      </w:pPr>
    </w:p>
    <w:p>
      <w:pPr>
        <w:rPr>
          <w:rFonts w:hint="eastAsia" w:asciiTheme="minorEastAsia" w:hAnsiTheme="minorEastAsia" w:eastAsiaTheme="minorEastAsia" w:cstheme="minorEastAsia"/>
        </w:rPr>
      </w:pPr>
    </w:p>
    <w:sectPr>
      <w:footerReference r:id="rId3" w:type="default"/>
      <w:pgSz w:w="11906" w:h="16838"/>
      <w:pgMar w:top="2098" w:right="1474" w:bottom="1984" w:left="1587" w:header="851" w:footer="992" w:gutter="0"/>
      <w:pgNumType w:fmt="decimal"/>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方正小标宋简体">
    <w:panose1 w:val="02010601030101010101"/>
    <w:charset w:val="86"/>
    <w:family w:val="script"/>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sans-serif">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4"/>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VlZTg5NjlkYWU5MDQ0OTZkZjZiYTkyYTNjYWQxYTMifQ=="/>
  </w:docVars>
  <w:rsids>
    <w:rsidRoot w:val="00000000"/>
    <w:rsid w:val="01963C90"/>
    <w:rsid w:val="03D935C4"/>
    <w:rsid w:val="076379CF"/>
    <w:rsid w:val="082D76C4"/>
    <w:rsid w:val="087176AA"/>
    <w:rsid w:val="09526B25"/>
    <w:rsid w:val="0D1C3410"/>
    <w:rsid w:val="12A2529E"/>
    <w:rsid w:val="15347CBC"/>
    <w:rsid w:val="18317B5D"/>
    <w:rsid w:val="186B1763"/>
    <w:rsid w:val="215D5AE0"/>
    <w:rsid w:val="22C61EA1"/>
    <w:rsid w:val="22EA2A1B"/>
    <w:rsid w:val="31C54245"/>
    <w:rsid w:val="32892EB1"/>
    <w:rsid w:val="36266C69"/>
    <w:rsid w:val="36D827E7"/>
    <w:rsid w:val="3A522C99"/>
    <w:rsid w:val="3D451466"/>
    <w:rsid w:val="45BA66F4"/>
    <w:rsid w:val="492B287F"/>
    <w:rsid w:val="49C63F6A"/>
    <w:rsid w:val="4A283A7D"/>
    <w:rsid w:val="4AD32AF1"/>
    <w:rsid w:val="4E9953F2"/>
    <w:rsid w:val="4F045D39"/>
    <w:rsid w:val="5885618A"/>
    <w:rsid w:val="58E32B3B"/>
    <w:rsid w:val="5CD143DA"/>
    <w:rsid w:val="5F223BC2"/>
    <w:rsid w:val="607A419E"/>
    <w:rsid w:val="64175CC0"/>
    <w:rsid w:val="66B51258"/>
    <w:rsid w:val="68C35CE5"/>
    <w:rsid w:val="69012A9A"/>
    <w:rsid w:val="6AAA1EDC"/>
    <w:rsid w:val="6BA647EE"/>
    <w:rsid w:val="6DE64F5B"/>
    <w:rsid w:val="6E34512D"/>
    <w:rsid w:val="708D69DB"/>
    <w:rsid w:val="72012BCE"/>
    <w:rsid w:val="74166F0B"/>
    <w:rsid w:val="75A07AA7"/>
    <w:rsid w:val="76741009"/>
    <w:rsid w:val="78FC179E"/>
    <w:rsid w:val="7AEA740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Times New Roman" w:hAnsi="Times New Roman" w:eastAsia="宋体" w:cs="Times New Roman"/>
      <w:kern w:val="2"/>
      <w:sz w:val="21"/>
      <w:szCs w:val="21"/>
      <w:lang w:val="en-US" w:eastAsia="zh-CN" w:bidi="ar-SA"/>
    </w:rPr>
  </w:style>
  <w:style w:type="paragraph" w:styleId="3">
    <w:name w:val="heading 1"/>
    <w:basedOn w:val="1"/>
    <w:next w:val="1"/>
    <w:qFormat/>
    <w:uiPriority w:val="0"/>
    <w:pPr>
      <w:spacing w:before="0" w:beforeAutospacing="1" w:after="0" w:afterAutospacing="1"/>
      <w:jc w:val="left"/>
    </w:pPr>
    <w:rPr>
      <w:rFonts w:hint="eastAsia" w:ascii="宋体" w:hAnsi="宋体" w:eastAsia="宋体" w:cs="宋体"/>
      <w:b/>
      <w:bCs/>
      <w:kern w:val="44"/>
      <w:sz w:val="48"/>
      <w:szCs w:val="48"/>
      <w:lang w:val="en-US" w:eastAsia="zh-CN" w:bidi="ar"/>
    </w:rPr>
  </w:style>
  <w:style w:type="character" w:default="1" w:styleId="8">
    <w:name w:val="Default Paragraph Font"/>
    <w:autoRedefine/>
    <w:semiHidden/>
    <w:qFormat/>
    <w:uiPriority w:val="0"/>
  </w:style>
  <w:style w:type="table" w:default="1" w:styleId="7">
    <w:name w:val="Normal Table"/>
    <w:autoRedefine/>
    <w:semiHidden/>
    <w:qFormat/>
    <w:uiPriority w:val="0"/>
    <w:tblPr>
      <w:tblCellMar>
        <w:top w:w="0" w:type="dxa"/>
        <w:left w:w="108" w:type="dxa"/>
        <w:bottom w:w="0" w:type="dxa"/>
        <w:right w:w="108" w:type="dxa"/>
      </w:tblCellMar>
    </w:tblPr>
  </w:style>
  <w:style w:type="paragraph" w:styleId="2">
    <w:name w:val="Body Text Indent 2"/>
    <w:basedOn w:val="1"/>
    <w:next w:val="1"/>
    <w:qFormat/>
    <w:uiPriority w:val="0"/>
    <w:pPr>
      <w:spacing w:after="120" w:line="480" w:lineRule="auto"/>
      <w:ind w:left="420" w:leftChars="200"/>
    </w:pPr>
  </w:style>
  <w:style w:type="paragraph" w:styleId="4">
    <w:name w:val="footer"/>
    <w:basedOn w:val="1"/>
    <w:qFormat/>
    <w:uiPriority w:val="0"/>
    <w:pPr>
      <w:tabs>
        <w:tab w:val="center" w:pos="4153"/>
        <w:tab w:val="right" w:pos="8306"/>
      </w:tabs>
      <w:snapToGrid w:val="0"/>
      <w:jc w:val="left"/>
    </w:pPr>
    <w:rPr>
      <w:sz w:val="18"/>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6">
    <w:name w:val="Normal (Web)"/>
    <w:basedOn w:val="1"/>
    <w:qFormat/>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4</Pages>
  <Words>1928</Words>
  <Characters>1956</Characters>
  <Lines>0</Lines>
  <Paragraphs>0</Paragraphs>
  <TotalTime>5</TotalTime>
  <ScaleCrop>false</ScaleCrop>
  <LinksUpToDate>false</LinksUpToDate>
  <CharactersWithSpaces>1961</CharactersWithSpaces>
  <Application>WPS Office_12.1.0.16729_F1E327BC-269C-435d-A152-05C5408002CA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刘杰杰</cp:lastModifiedBy>
  <cp:lastPrinted>2021-12-10T00:49:00Z</cp:lastPrinted>
  <dcterms:modified xsi:type="dcterms:W3CDTF">2024-04-16T00:37:56Z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2052-12.1.0.16729</vt:lpwstr>
  </property>
  <property fmtid="{D5CDD505-2E9C-101B-9397-08002B2CF9AE}" pid="3" name="ICV">
    <vt:lpwstr>9457856F5C774C30986C1AE705F34EBC_13</vt:lpwstr>
  </property>
</Properties>
</file>