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420"/>
        <w:jc w:val="both"/>
        <w:rPr>
          <w:rFonts w:ascii="微软雅黑" w:hAnsi="微软雅黑" w:eastAsia="微软雅黑" w:cs="微软雅黑"/>
          <w:i w:val="0"/>
          <w:iCs w:val="0"/>
          <w:caps w:val="0"/>
          <w:color w:val="505050"/>
          <w:spacing w:val="0"/>
          <w:sz w:val="24"/>
          <w:szCs w:val="24"/>
        </w:rPr>
      </w:pPr>
      <w:bookmarkStart w:id="0" w:name="_GoBack"/>
      <w:r>
        <w:rPr>
          <w:rFonts w:ascii="微软雅黑" w:hAnsi="微软雅黑" w:eastAsia="微软雅黑" w:cs="微软雅黑"/>
          <w:i w:val="0"/>
          <w:iCs w:val="0"/>
          <w:caps w:val="0"/>
          <w:color w:val="333333"/>
          <w:spacing w:val="0"/>
          <w:sz w:val="24"/>
          <w:szCs w:val="24"/>
          <w:shd w:val="clear" w:fill="FFFFFF"/>
        </w:rPr>
        <w:t>一、</w:t>
      </w:r>
      <w:r>
        <w:rPr>
          <w:rFonts w:hint="eastAsia" w:ascii="微软雅黑" w:hAnsi="微软雅黑" w:eastAsia="微软雅黑" w:cs="微软雅黑"/>
          <w:i w:val="0"/>
          <w:iCs w:val="0"/>
          <w:caps w:val="0"/>
          <w:color w:val="333333"/>
          <w:spacing w:val="0"/>
          <w:sz w:val="24"/>
          <w:szCs w:val="24"/>
          <w:shd w:val="clear" w:fill="FFFFFF"/>
        </w:rPr>
        <w:t>办理流程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420"/>
        <w:jc w:val="both"/>
        <w:rPr>
          <w:rFonts w:hint="eastAsia" w:ascii="微软雅黑" w:hAnsi="微软雅黑" w:eastAsia="微软雅黑" w:cs="微软雅黑"/>
          <w:i w:val="0"/>
          <w:iCs w:val="0"/>
          <w:caps w:val="0"/>
          <w:color w:val="505050"/>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一个年度内家庭总收入减去个人自付医疗总费用后低于农村低收入家庭标准且符合低收入家庭财产核查条件的大病患者，按照户申请、村</w:t>
      </w:r>
      <w:r>
        <w:rPr>
          <w:rFonts w:hint="eastAsia" w:ascii="微软雅黑" w:hAnsi="微软雅黑" w:eastAsia="微软雅黑" w:cs="微软雅黑"/>
          <w:i w:val="0"/>
          <w:iCs w:val="0"/>
          <w:caps w:val="0"/>
          <w:color w:val="333333"/>
          <w:spacing w:val="0"/>
          <w:sz w:val="24"/>
          <w:szCs w:val="24"/>
          <w:shd w:val="clear" w:fill="FFFFFF"/>
          <w:lang w:eastAsia="zh-CN"/>
        </w:rPr>
        <w:t>（</w:t>
      </w:r>
      <w:r>
        <w:rPr>
          <w:rFonts w:hint="eastAsia" w:ascii="微软雅黑" w:hAnsi="微软雅黑" w:eastAsia="微软雅黑" w:cs="微软雅黑"/>
          <w:i w:val="0"/>
          <w:iCs w:val="0"/>
          <w:caps w:val="0"/>
          <w:color w:val="EE822F" w:themeColor="accent2"/>
          <w:spacing w:val="0"/>
          <w:sz w:val="24"/>
          <w:szCs w:val="24"/>
          <w:shd w:val="clear" w:fill="FFFFFF"/>
          <w:lang w:val="en-US" w:eastAsia="zh-CN"/>
          <w14:textFill>
            <w14:solidFill>
              <w14:schemeClr w14:val="accent2"/>
            </w14:solidFill>
          </w14:textFill>
        </w:rPr>
        <w:t>社区</w:t>
      </w:r>
      <w:r>
        <w:rPr>
          <w:rFonts w:hint="eastAsia" w:ascii="微软雅黑" w:hAnsi="微软雅黑" w:eastAsia="微软雅黑" w:cs="微软雅黑"/>
          <w:i w:val="0"/>
          <w:iCs w:val="0"/>
          <w:caps w:val="0"/>
          <w:color w:val="EE822F" w:themeColor="accent2"/>
          <w:spacing w:val="0"/>
          <w:sz w:val="24"/>
          <w:szCs w:val="24"/>
          <w:shd w:val="clear" w:fill="FFFFFF"/>
          <w:lang w:eastAsia="zh-CN"/>
          <w14:textFill>
            <w14:solidFill>
              <w14:schemeClr w14:val="accent2"/>
            </w14:solidFill>
          </w14:textFill>
        </w:rPr>
        <w:t>）</w:t>
      </w:r>
      <w:r>
        <w:rPr>
          <w:rFonts w:hint="eastAsia" w:ascii="微软雅黑" w:hAnsi="微软雅黑" w:eastAsia="微软雅黑" w:cs="微软雅黑"/>
          <w:i w:val="0"/>
          <w:iCs w:val="0"/>
          <w:caps w:val="0"/>
          <w:color w:val="333333"/>
          <w:spacing w:val="0"/>
          <w:sz w:val="24"/>
          <w:szCs w:val="24"/>
          <w:shd w:val="clear" w:fill="FFFFFF"/>
        </w:rPr>
        <w:t>评议、乡镇</w:t>
      </w:r>
      <w:r>
        <w:rPr>
          <w:rFonts w:hint="eastAsia" w:ascii="微软雅黑" w:hAnsi="微软雅黑" w:eastAsia="微软雅黑" w:cs="微软雅黑"/>
          <w:i w:val="0"/>
          <w:iCs w:val="0"/>
          <w:caps w:val="0"/>
          <w:color w:val="333333"/>
          <w:spacing w:val="0"/>
          <w:sz w:val="24"/>
          <w:szCs w:val="24"/>
          <w:shd w:val="clear" w:fill="FFFFFF"/>
          <w:lang w:eastAsia="zh-CN"/>
        </w:rPr>
        <w:t>（</w:t>
      </w:r>
      <w:r>
        <w:rPr>
          <w:rFonts w:hint="eastAsia" w:ascii="微软雅黑" w:hAnsi="微软雅黑" w:eastAsia="微软雅黑" w:cs="微软雅黑"/>
          <w:i w:val="0"/>
          <w:iCs w:val="0"/>
          <w:caps w:val="0"/>
          <w:color w:val="EE822F" w:themeColor="accent2"/>
          <w:spacing w:val="0"/>
          <w:sz w:val="24"/>
          <w:szCs w:val="24"/>
          <w:shd w:val="clear" w:fill="FFFFFF"/>
          <w:lang w:val="en-US" w:eastAsia="zh-CN"/>
          <w14:textFill>
            <w14:solidFill>
              <w14:schemeClr w14:val="accent2"/>
            </w14:solidFill>
          </w14:textFill>
        </w:rPr>
        <w:t>街道</w:t>
      </w:r>
      <w:r>
        <w:rPr>
          <w:rFonts w:hint="eastAsia" w:ascii="微软雅黑" w:hAnsi="微软雅黑" w:eastAsia="微软雅黑" w:cs="微软雅黑"/>
          <w:i w:val="0"/>
          <w:iCs w:val="0"/>
          <w:caps w:val="0"/>
          <w:color w:val="EE822F" w:themeColor="accent2"/>
          <w:spacing w:val="0"/>
          <w:sz w:val="24"/>
          <w:szCs w:val="24"/>
          <w:shd w:val="clear" w:fill="FFFFFF"/>
          <w:lang w:eastAsia="zh-CN"/>
          <w14:textFill>
            <w14:solidFill>
              <w14:schemeClr w14:val="accent2"/>
            </w14:solidFill>
          </w14:textFill>
        </w:rPr>
        <w:t>）</w:t>
      </w:r>
      <w:r>
        <w:rPr>
          <w:rFonts w:hint="eastAsia" w:ascii="微软雅黑" w:hAnsi="微软雅黑" w:eastAsia="微软雅黑" w:cs="微软雅黑"/>
          <w:i w:val="0"/>
          <w:iCs w:val="0"/>
          <w:caps w:val="0"/>
          <w:color w:val="333333"/>
          <w:spacing w:val="0"/>
          <w:sz w:val="24"/>
          <w:szCs w:val="24"/>
          <w:shd w:val="clear" w:fill="FFFFFF"/>
        </w:rPr>
        <w:t>审核、县级医保与民政、乡村振兴等部门审批的程序，实行依申请救助。纳入依申请救助范围的人员在一个年度内，经基本医保、大病保险等支付后，个人负担的合规医疗费用超过2万元以上部分视医疗救助资金筹集情况给予救助，救助比例50%，年度救助限额3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420"/>
        <w:jc w:val="both"/>
        <w:rPr>
          <w:rFonts w:hint="eastAsia" w:ascii="微软雅黑" w:hAnsi="微软雅黑" w:eastAsia="微软雅黑" w:cs="微软雅黑"/>
          <w:i w:val="0"/>
          <w:iCs w:val="0"/>
          <w:caps w:val="0"/>
          <w:color w:val="505050"/>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二、救助标准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0"/>
        <w:jc w:val="both"/>
        <w:rPr>
          <w:rFonts w:hint="eastAsia" w:ascii="微软雅黑" w:hAnsi="微软雅黑" w:eastAsia="微软雅黑" w:cs="微软雅黑"/>
          <w:i w:val="0"/>
          <w:iCs w:val="0"/>
          <w:caps w:val="0"/>
          <w:color w:val="505050"/>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按照“先保险后救助”的原则，对救助对象在参保地定点医疗机构或按规定转诊异地就医（急诊、抢救除外）发生的合规医疗费用，经基本医疗保险、大病保险等报销后的个人自付部分按规定给予救助，门诊慢特病和住院费用共用年度救助限额。特困人员、低保对象不设起付线，返贫致贫人口起付线1500元（上年全省城乡居民人均可支配收入的5%左右），</w:t>
      </w:r>
      <w:r>
        <w:rPr>
          <w:rFonts w:hint="eastAsia" w:ascii="微软雅黑" w:hAnsi="微软雅黑" w:eastAsia="微软雅黑" w:cs="微软雅黑"/>
          <w:i w:val="0"/>
          <w:iCs w:val="0"/>
          <w:caps w:val="0"/>
          <w:color w:val="EE822F" w:themeColor="accent2"/>
          <w:spacing w:val="0"/>
          <w:kern w:val="0"/>
          <w:sz w:val="24"/>
          <w:szCs w:val="24"/>
          <w:shd w:val="clear" w:fill="FFFFFF"/>
          <w:lang w:val="en-US" w:eastAsia="zh-CN" w:bidi="ar"/>
          <w14:textFill>
            <w14:solidFill>
              <w14:schemeClr w14:val="accent2"/>
            </w14:solidFill>
          </w14:textFill>
        </w:rPr>
        <w:t>低保边缘家庭、</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监测人口起付线3000元（上年全省城乡居民人均可支配收入10%左右）。</w:t>
      </w:r>
      <w:r>
        <w:rPr>
          <w:rFonts w:hint="eastAsia" w:ascii="微软雅黑" w:hAnsi="微软雅黑" w:eastAsia="微软雅黑" w:cs="微软雅黑"/>
          <w:i w:val="0"/>
          <w:iCs w:val="0"/>
          <w:caps w:val="0"/>
          <w:color w:val="EE822F" w:themeColor="accent2"/>
          <w:spacing w:val="0"/>
          <w:kern w:val="0"/>
          <w:sz w:val="24"/>
          <w:szCs w:val="24"/>
          <w:shd w:val="clear" w:fill="FFFFFF"/>
          <w:lang w:val="en-US" w:eastAsia="zh-CN" w:bidi="ar"/>
          <w14:textFill>
            <w14:solidFill>
              <w14:schemeClr w14:val="accent2"/>
            </w14:solidFill>
          </w14:textFill>
        </w:rPr>
        <w:t>因病致贫重病患者起付线10000元。</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特困人员医疗救助比例90%，年度救助限额为5万元；低保对象救助比例75%，年度救助限额为3万元；起付线以上，返贫致贫人口救助比例70%，</w:t>
      </w:r>
      <w:r>
        <w:rPr>
          <w:rFonts w:hint="eastAsia" w:ascii="微软雅黑" w:hAnsi="微软雅黑" w:eastAsia="微软雅黑" w:cs="微软雅黑"/>
          <w:i w:val="0"/>
          <w:iCs w:val="0"/>
          <w:caps w:val="0"/>
          <w:color w:val="EE822F" w:themeColor="accent2"/>
          <w:spacing w:val="0"/>
          <w:kern w:val="0"/>
          <w:sz w:val="24"/>
          <w:szCs w:val="24"/>
          <w:shd w:val="clear" w:fill="FFFFFF"/>
          <w:lang w:val="en-US" w:eastAsia="zh-CN" w:bidi="ar"/>
          <w14:textFill>
            <w14:solidFill>
              <w14:schemeClr w14:val="accent2"/>
            </w14:solidFill>
          </w14:textFill>
        </w:rPr>
        <w:t>低保边缘家庭</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监测人口救助比例60%，</w:t>
      </w:r>
      <w:r>
        <w:rPr>
          <w:rFonts w:hint="eastAsia" w:ascii="微软雅黑" w:hAnsi="微软雅黑" w:eastAsia="微软雅黑" w:cs="微软雅黑"/>
          <w:i w:val="0"/>
          <w:iCs w:val="0"/>
          <w:caps w:val="0"/>
          <w:color w:val="EE822F" w:themeColor="accent2"/>
          <w:spacing w:val="0"/>
          <w:kern w:val="0"/>
          <w:sz w:val="24"/>
          <w:szCs w:val="24"/>
          <w:shd w:val="clear" w:fill="FFFFFF"/>
          <w:lang w:val="en-US" w:eastAsia="zh-CN" w:bidi="ar"/>
          <w14:textFill>
            <w14:solidFill>
              <w14:schemeClr w14:val="accent2"/>
            </w14:solidFill>
          </w14:textFill>
        </w:rPr>
        <w:t>。因病致贫重病患者救助比例50%，</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年度救助限额均为3万元。对规范转诊且在省域内就医的救助对象，经三重制度综合保障后政策范围内个人负担仍然较重的，给予倾斜救助：起付线1.5万元，救助比例50%，门诊慢特病和住院共用年度救助限额2万元。</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0"/>
        <w:jc w:val="both"/>
        <w:rPr>
          <w:rFonts w:hint="eastAsia" w:ascii="微软雅黑" w:hAnsi="微软雅黑" w:eastAsia="微软雅黑" w:cs="微软雅黑"/>
          <w:i w:val="0"/>
          <w:iCs w:val="0"/>
          <w:caps w:val="0"/>
          <w:color w:val="505050"/>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drawing>
          <wp:inline distT="0" distB="0" distL="114300" distR="114300">
            <wp:extent cx="152400" cy="1524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333333"/>
          <w:spacing w:val="0"/>
          <w:kern w:val="0"/>
          <w:sz w:val="24"/>
          <w:szCs w:val="24"/>
          <w:u w:val="none"/>
          <w:shd w:val="clear" w:fill="FFFFFF"/>
          <w:lang w:val="en-US" w:eastAsia="zh-CN" w:bidi="ar"/>
        </w:rPr>
        <w:fldChar w:fldCharType="begin"/>
      </w:r>
      <w:r>
        <w:rPr>
          <w:rFonts w:hint="eastAsia" w:ascii="微软雅黑" w:hAnsi="微软雅黑" w:eastAsia="微软雅黑" w:cs="微软雅黑"/>
          <w:i w:val="0"/>
          <w:iCs w:val="0"/>
          <w:caps w:val="0"/>
          <w:color w:val="333333"/>
          <w:spacing w:val="0"/>
          <w:kern w:val="0"/>
          <w:sz w:val="24"/>
          <w:szCs w:val="24"/>
          <w:u w:val="none"/>
          <w:shd w:val="clear" w:fill="FFFFFF"/>
          <w:lang w:val="en-US" w:eastAsia="zh-CN" w:bidi="ar"/>
        </w:rPr>
        <w:instrText xml:space="preserve"> HYPERLINK "https://www.sixian.gov.cn/group1/M00/24/92/Cpc8VmM2VGSAaq8eAAAt-9RQBdo31.docx" \t "https://www.sixian.gov.cn/public/content/_blank" </w:instrText>
      </w:r>
      <w:r>
        <w:rPr>
          <w:rFonts w:hint="eastAsia" w:ascii="微软雅黑" w:hAnsi="微软雅黑" w:eastAsia="微软雅黑" w:cs="微软雅黑"/>
          <w:i w:val="0"/>
          <w:iCs w:val="0"/>
          <w:caps w:val="0"/>
          <w:color w:val="333333"/>
          <w:spacing w:val="0"/>
          <w:kern w:val="0"/>
          <w:sz w:val="24"/>
          <w:szCs w:val="24"/>
          <w:u w:val="none"/>
          <w:shd w:val="clear" w:fill="FFFFFF"/>
          <w:lang w:val="en-US" w:eastAsia="zh-CN" w:bidi="ar"/>
        </w:rPr>
        <w:fldChar w:fldCharType="separate"/>
      </w:r>
      <w:r>
        <w:rPr>
          <w:rStyle w:val="5"/>
          <w:rFonts w:hint="eastAsia" w:ascii="微软雅黑" w:hAnsi="微软雅黑" w:eastAsia="微软雅黑" w:cs="微软雅黑"/>
          <w:i w:val="0"/>
          <w:iCs w:val="0"/>
          <w:caps w:val="0"/>
          <w:color w:val="333333"/>
          <w:spacing w:val="0"/>
          <w:sz w:val="24"/>
          <w:szCs w:val="24"/>
          <w:u w:val="none"/>
          <w:shd w:val="clear" w:fill="FFFFFF"/>
        </w:rPr>
        <w:t>宿州市医疗保障局医疗救助办理流程和救助标准.docx</w:t>
      </w:r>
      <w:r>
        <w:rPr>
          <w:rFonts w:hint="eastAsia" w:ascii="微软雅黑" w:hAnsi="微软雅黑" w:eastAsia="微软雅黑" w:cs="微软雅黑"/>
          <w:i w:val="0"/>
          <w:iCs w:val="0"/>
          <w:caps w:val="0"/>
          <w:color w:val="333333"/>
          <w:spacing w:val="0"/>
          <w:kern w:val="0"/>
          <w:sz w:val="24"/>
          <w:szCs w:val="24"/>
          <w:u w:val="none"/>
          <w:shd w:val="clear" w:fill="FFFFFF"/>
          <w:lang w:val="en-US" w:eastAsia="zh-CN" w:bidi="ar"/>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2MDQ2ZGU4NDUzOWY4NzQ4M2QzZGEwYzIzMTZjNmEifQ=="/>
  </w:docVars>
  <w:rsids>
    <w:rsidRoot w:val="00000000"/>
    <w:rsid w:val="209B0DCD"/>
    <w:rsid w:val="33D97767"/>
    <w:rsid w:val="7F070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2024-04-28T01:29:00Z</dcterms:created>
  <dc:creator>cx</dc:creator>
  <cp:lastModifiedBy>Lenovo</cp:lastModifiedBy>
  <dcterms:modified xsi:type="dcterms:W3CDTF">2024-04-28T02:04:00Z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2A972561F3FA4D00877FC2EA8FE8F991_13</vt:lpwstr>
  </property>
</Properties>
</file>