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CBB2" w14:textId="3BFE7DA0" w:rsidR="00223D99" w:rsidRPr="00B51E3C" w:rsidRDefault="00F54F99" w:rsidP="0045648F">
      <w:pPr>
        <w:pStyle w:val="4"/>
        <w:jc w:val="center"/>
      </w:pPr>
      <w:r w:rsidRPr="00B51E3C">
        <w:rPr>
          <w:rFonts w:hint="eastAsia"/>
        </w:rPr>
        <w:t>《泗县高铁片区（SX-08单元）控制性详细规划》</w:t>
      </w:r>
      <w:r w:rsidRPr="00B51E3C">
        <w:rPr>
          <w:rFonts w:hint="eastAsia"/>
        </w:rPr>
        <w:t>简介</w:t>
      </w:r>
    </w:p>
    <w:p w14:paraId="30E64B6B" w14:textId="583E1E21" w:rsidR="00F54F99" w:rsidRDefault="00F54F99" w:rsidP="00F54F99">
      <w:pPr>
        <w:pStyle w:val="ab"/>
        <w:numPr>
          <w:ilvl w:val="0"/>
          <w:numId w:val="8"/>
        </w:numPr>
        <w:ind w:firstLineChars="0"/>
      </w:pPr>
      <w:r>
        <w:rPr>
          <w:rFonts w:hint="eastAsia"/>
        </w:rPr>
        <w:t>规划范围</w:t>
      </w:r>
    </w:p>
    <w:p w14:paraId="324C56F7" w14:textId="7DE113D1" w:rsidR="00F54F99" w:rsidRDefault="00F54F99" w:rsidP="00F54F99">
      <w:pPr>
        <w:pStyle w:val="ab"/>
        <w:ind w:firstLine="480"/>
        <w:rPr>
          <w:rFonts w:hint="eastAsia"/>
        </w:rPr>
      </w:pPr>
      <w:r w:rsidRPr="00F54F99">
        <w:rPr>
          <w:rFonts w:hint="eastAsia"/>
        </w:rPr>
        <w:t>北临治下路北，南至上陈线北，西侧毗邻宋岗村庄，东接泗县东站，规划片区总用地面积约31.92公顷</w:t>
      </w:r>
      <w:r>
        <w:rPr>
          <w:rFonts w:hint="eastAsia"/>
        </w:rPr>
        <w:t>。</w:t>
      </w:r>
    </w:p>
    <w:p w14:paraId="0DB71913" w14:textId="0571BDC0" w:rsidR="00F54F99" w:rsidRDefault="00F54F99" w:rsidP="00F54F99">
      <w:pPr>
        <w:pStyle w:val="ab"/>
        <w:numPr>
          <w:ilvl w:val="0"/>
          <w:numId w:val="8"/>
        </w:numPr>
        <w:ind w:firstLineChars="0"/>
      </w:pPr>
      <w:r w:rsidRPr="00F54F99">
        <w:rPr>
          <w:rFonts w:hint="eastAsia"/>
        </w:rPr>
        <w:t>规划布局</w:t>
      </w:r>
    </w:p>
    <w:p w14:paraId="7877AB90" w14:textId="3CDA08CB" w:rsidR="00F54F99" w:rsidRDefault="00F54F99" w:rsidP="00F54F99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功能定位</w:t>
      </w:r>
    </w:p>
    <w:p w14:paraId="5246B003" w14:textId="191B7FC4" w:rsidR="00F54F99" w:rsidRPr="00F54F99" w:rsidRDefault="00F54F99" w:rsidP="00F54F99">
      <w:pPr>
        <w:ind w:firstLineChars="0"/>
        <w:rPr>
          <w:rFonts w:hint="eastAsia"/>
        </w:rPr>
      </w:pPr>
      <w:r w:rsidRPr="00F54F99">
        <w:rPr>
          <w:rFonts w:hint="eastAsia"/>
        </w:rPr>
        <w:t>依托便利的综合交通体系和良好的区位优势，结合泗县的庞大的人口基数、丰富的历史文化，通过拓展新思路，积极创新发展，将本单元打造成为泗县重要的人流集散中心、商住一体小镇、文化交流前线。</w:t>
      </w:r>
    </w:p>
    <w:p w14:paraId="21FDAC2D" w14:textId="488672C6" w:rsidR="00F54F99" w:rsidRDefault="00F54F99" w:rsidP="00F54F99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用地</w:t>
      </w:r>
      <w:r w:rsidRPr="00F54F99">
        <w:rPr>
          <w:rFonts w:hint="eastAsia"/>
        </w:rPr>
        <w:t>规模</w:t>
      </w:r>
    </w:p>
    <w:p w14:paraId="71B3FB6E" w14:textId="5FD6D203" w:rsidR="00F54F99" w:rsidRPr="00F54F99" w:rsidRDefault="00F54F99" w:rsidP="00F54F99">
      <w:pPr>
        <w:ind w:left="480" w:firstLineChars="0" w:firstLine="0"/>
        <w:rPr>
          <w:rFonts w:hint="eastAsia"/>
        </w:rPr>
      </w:pPr>
      <w:r w:rsidRPr="00F54F99">
        <w:rPr>
          <w:rFonts w:hint="eastAsia"/>
        </w:rPr>
        <w:t>规划单元总用地面积31.92公顷，建设用地面积31.92公顷。</w:t>
      </w:r>
    </w:p>
    <w:p w14:paraId="1BC2ED60" w14:textId="44A1DA6A" w:rsidR="00F54F99" w:rsidRDefault="00F54F99" w:rsidP="00F54F99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空间</w:t>
      </w:r>
      <w:r w:rsidRPr="00F54F99">
        <w:rPr>
          <w:rFonts w:hint="eastAsia"/>
        </w:rPr>
        <w:t>结构</w:t>
      </w:r>
    </w:p>
    <w:p w14:paraId="3AE3C81F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规划形成“一核，两轴，三片区”空间布局结构。</w:t>
      </w:r>
    </w:p>
    <w:p w14:paraId="4F8126BA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“一核”：即泗县东站交通枢纽，充分利用东站及站前区域的复合商业功能，形成绿色、宜人、活力的城市门户空间。</w:t>
      </w:r>
    </w:p>
    <w:p w14:paraId="28B782C4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“两轴”：即沿潼河路的城市功能拓展轴与沿站前大道的交通发展轴。</w:t>
      </w:r>
    </w:p>
    <w:p w14:paraId="233AB66C" w14:textId="232060D6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“三片区”即沿站前大道高铁站侧的站区商业服务中心，沿潼河路南、北两侧的商住一体复合区。</w:t>
      </w:r>
    </w:p>
    <w:p w14:paraId="20194A1A" w14:textId="53311E9A" w:rsidR="00F54F99" w:rsidRDefault="00F54F99" w:rsidP="00F54F99">
      <w:pPr>
        <w:pStyle w:val="ab"/>
        <w:numPr>
          <w:ilvl w:val="0"/>
          <w:numId w:val="10"/>
        </w:numPr>
        <w:ind w:firstLineChars="0"/>
      </w:pPr>
      <w:r w:rsidRPr="00F54F99">
        <w:rPr>
          <w:rFonts w:hint="eastAsia"/>
        </w:rPr>
        <w:t>用地布局</w:t>
      </w:r>
    </w:p>
    <w:p w14:paraId="2207DA3A" w14:textId="7F8A1E94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商业服务业用地</w:t>
      </w:r>
    </w:p>
    <w:p w14:paraId="224BA190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规划商业服务业用地面积为5.49公顷，占规划用地的17.20%。</w:t>
      </w:r>
    </w:p>
    <w:p w14:paraId="4A81D785" w14:textId="2904E6B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商住混合用地</w:t>
      </w:r>
    </w:p>
    <w:p w14:paraId="7235EAB8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规划商住混合用用地面积为9.13公顷，占规划用地的28.60%。</w:t>
      </w:r>
    </w:p>
    <w:p w14:paraId="197A9A25" w14:textId="5C75259C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交通运输用地</w:t>
      </w:r>
    </w:p>
    <w:p w14:paraId="0F783651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规划交通运输用地面积为8.71公顷，占规划用地的27.29%。</w:t>
      </w:r>
    </w:p>
    <w:p w14:paraId="11C86FBC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规划的交通运输用地主要为城镇村道路用地、交通场站用地。</w:t>
      </w:r>
    </w:p>
    <w:p w14:paraId="51733C83" w14:textId="0B160564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公用设施用地</w:t>
      </w:r>
    </w:p>
    <w:p w14:paraId="4CE556CA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规划公用设施用地面积为0.39公顷，占规划用地的1.22%。</w:t>
      </w:r>
    </w:p>
    <w:p w14:paraId="153F5E20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lastRenderedPageBreak/>
        <w:t>规划的公用设施用地主要为供电用地、环卫用地。</w:t>
      </w:r>
    </w:p>
    <w:p w14:paraId="3B0AA3D4" w14:textId="3F88A385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绿地与开敞空间用地</w:t>
      </w:r>
    </w:p>
    <w:p w14:paraId="223BCA51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规划绿地与开敞空间用地面积为1.57公顷，占规划用地的4.92%。</w:t>
      </w:r>
    </w:p>
    <w:p w14:paraId="6ACD5825" w14:textId="77777777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规划的绿地与开敞空间用地主要为公园绿地、防护绿地。</w:t>
      </w:r>
    </w:p>
    <w:p w14:paraId="62BB71A9" w14:textId="3205A1D1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广场交通场站混合用地</w:t>
      </w:r>
    </w:p>
    <w:p w14:paraId="1E6FD30A" w14:textId="4C0441BA" w:rsidR="00F54F99" w:rsidRDefault="00F54F99" w:rsidP="00F54F99">
      <w:pPr>
        <w:pStyle w:val="ab"/>
        <w:ind w:firstLine="480"/>
        <w:rPr>
          <w:rFonts w:hint="eastAsia"/>
        </w:rPr>
      </w:pPr>
      <w:r>
        <w:rPr>
          <w:rFonts w:hint="eastAsia"/>
        </w:rPr>
        <w:t>规划广场交通场站混合用地面积为6.63公顷，占规划用地的20.77%。</w:t>
      </w:r>
    </w:p>
    <w:p w14:paraId="4A896A63" w14:textId="36D354D0" w:rsidR="00F54F99" w:rsidRDefault="00F54F99" w:rsidP="00F54F99">
      <w:pPr>
        <w:pStyle w:val="ab"/>
        <w:ind w:firstLine="480"/>
        <w:rPr>
          <w:rFonts w:hint="eastAsia"/>
        </w:rPr>
      </w:pPr>
      <w:r w:rsidRPr="00F54F99">
        <w:rPr>
          <w:rFonts w:hint="eastAsia"/>
        </w:rPr>
        <w:t>5</w:t>
      </w:r>
      <w:r>
        <w:rPr>
          <w:rFonts w:hint="eastAsia"/>
        </w:rPr>
        <w:t>、</w:t>
      </w:r>
      <w:r w:rsidRPr="00F54F99">
        <w:rPr>
          <w:rFonts w:hint="eastAsia"/>
        </w:rPr>
        <w:t>道路交通</w:t>
      </w:r>
    </w:p>
    <w:p w14:paraId="3C28AF44" w14:textId="380368EA" w:rsidR="00F54F99" w:rsidRDefault="00F54F99" w:rsidP="00F54F99">
      <w:pPr>
        <w:ind w:firstLineChars="0"/>
        <w:rPr>
          <w:rFonts w:hint="eastAsia"/>
        </w:rPr>
      </w:pPr>
      <w:r>
        <w:rPr>
          <w:rFonts w:hint="eastAsia"/>
        </w:rPr>
        <w:t>规划城市道路总长度2.24公里，道路网密度为7.01公里/平方公里。规划将道路分为城市主干道、支路两个等级。</w:t>
      </w:r>
    </w:p>
    <w:p w14:paraId="3437AE22" w14:textId="211CEC15" w:rsidR="00F54F99" w:rsidRDefault="00F54F99" w:rsidP="00F54F99">
      <w:pPr>
        <w:ind w:firstLineChars="0"/>
        <w:rPr>
          <w:rFonts w:hint="eastAsia"/>
        </w:rPr>
      </w:pPr>
      <w:r>
        <w:rPr>
          <w:rFonts w:hint="eastAsia"/>
        </w:rPr>
        <w:t>主干道</w:t>
      </w:r>
      <w:r>
        <w:rPr>
          <w:rFonts w:hint="eastAsia"/>
        </w:rPr>
        <w:t>：</w:t>
      </w:r>
      <w:r>
        <w:rPr>
          <w:rFonts w:hint="eastAsia"/>
        </w:rPr>
        <w:t>片区内部规划潼河路、站前大道，红线宽度为40米。</w:t>
      </w:r>
    </w:p>
    <w:p w14:paraId="09A2EDCC" w14:textId="3F2FBDC5" w:rsidR="00F54F99" w:rsidRDefault="00F54F99" w:rsidP="00F54F99">
      <w:pPr>
        <w:ind w:firstLineChars="0"/>
        <w:rPr>
          <w:rFonts w:hint="eastAsia"/>
        </w:rPr>
      </w:pPr>
      <w:r>
        <w:rPr>
          <w:rFonts w:hint="eastAsia"/>
        </w:rPr>
        <w:t>支路</w:t>
      </w:r>
      <w:r>
        <w:rPr>
          <w:rFonts w:hint="eastAsia"/>
        </w:rPr>
        <w:t>：</w:t>
      </w:r>
      <w:r>
        <w:rPr>
          <w:rFonts w:hint="eastAsia"/>
        </w:rPr>
        <w:t>片区内部规划横1路、横2路、纵1路，红线宽度为18-25米。</w:t>
      </w:r>
    </w:p>
    <w:p w14:paraId="6212A6D4" w14:textId="548DEBD6" w:rsidR="00F54F99" w:rsidRDefault="00F54F99" w:rsidP="00F54F99">
      <w:pPr>
        <w:pStyle w:val="ab"/>
        <w:numPr>
          <w:ilvl w:val="0"/>
          <w:numId w:val="8"/>
        </w:numPr>
        <w:ind w:firstLineChars="0"/>
      </w:pPr>
      <w:r w:rsidRPr="00F54F99">
        <w:rPr>
          <w:rFonts w:hint="eastAsia"/>
        </w:rPr>
        <w:t>开发建设控制</w:t>
      </w:r>
    </w:p>
    <w:p w14:paraId="091467CA" w14:textId="0D2E4A44" w:rsidR="00F54F99" w:rsidRDefault="00F54F99" w:rsidP="00F54F99">
      <w:pPr>
        <w:pStyle w:val="ab"/>
        <w:numPr>
          <w:ilvl w:val="0"/>
          <w:numId w:val="11"/>
        </w:numPr>
        <w:ind w:firstLineChars="0"/>
      </w:pPr>
      <w:r w:rsidRPr="00F54F99">
        <w:rPr>
          <w:rFonts w:hint="eastAsia"/>
        </w:rPr>
        <w:t>容积率</w:t>
      </w:r>
    </w:p>
    <w:p w14:paraId="472E4F3A" w14:textId="2E3655B6" w:rsidR="00F54F99" w:rsidRDefault="00B51E3C" w:rsidP="00F54F99">
      <w:pPr>
        <w:ind w:firstLineChars="0"/>
        <w:rPr>
          <w:rFonts w:hint="eastAsia"/>
        </w:rPr>
      </w:pPr>
      <w:r w:rsidRPr="00B51E3C">
        <w:rPr>
          <w:rFonts w:hint="eastAsia"/>
        </w:rPr>
        <w:t>本单元内商业服务业用地2.0≤容积率≤3.0；商住混合用地容积率1.5≤容积率≤2.5；交通运输用地容积率≤0.5；广场交通场站混合用地容积率≤0.5；公用设施用地容积率≤0.5。</w:t>
      </w:r>
    </w:p>
    <w:p w14:paraId="6EDE6D72" w14:textId="7A475BE8" w:rsidR="00F54F99" w:rsidRDefault="00F54F99" w:rsidP="00F54F99">
      <w:pPr>
        <w:pStyle w:val="ab"/>
        <w:numPr>
          <w:ilvl w:val="0"/>
          <w:numId w:val="11"/>
        </w:numPr>
        <w:ind w:firstLineChars="0"/>
      </w:pPr>
      <w:r w:rsidRPr="00F54F99">
        <w:rPr>
          <w:rFonts w:hint="eastAsia"/>
        </w:rPr>
        <w:t>建筑高度</w:t>
      </w:r>
    </w:p>
    <w:p w14:paraId="37D7C874" w14:textId="784BFE99" w:rsidR="00F54F99" w:rsidRDefault="00B51E3C" w:rsidP="00F54F99">
      <w:pPr>
        <w:pStyle w:val="ab"/>
        <w:ind w:firstLine="480"/>
        <w:rPr>
          <w:rFonts w:hint="eastAsia"/>
        </w:rPr>
      </w:pPr>
      <w:r w:rsidRPr="00B51E3C">
        <w:rPr>
          <w:rFonts w:hint="eastAsia"/>
        </w:rPr>
        <w:t>商业服务业用地总体控制不高于80米，商住混合用地总体控制不高于80米，交通运输用地总体控制不高于12米，公用设施用地总体控制不高于12米。</w:t>
      </w:r>
    </w:p>
    <w:p w14:paraId="6CACAE13" w14:textId="559377C7" w:rsidR="00F54F99" w:rsidRDefault="00F54F99" w:rsidP="00F54F99">
      <w:pPr>
        <w:pStyle w:val="ab"/>
        <w:numPr>
          <w:ilvl w:val="0"/>
          <w:numId w:val="11"/>
        </w:numPr>
        <w:ind w:firstLineChars="0"/>
      </w:pPr>
      <w:r w:rsidRPr="00F54F99">
        <w:rPr>
          <w:rFonts w:hint="eastAsia"/>
        </w:rPr>
        <w:t>建筑密度</w:t>
      </w:r>
    </w:p>
    <w:p w14:paraId="714CB09B" w14:textId="14F562C1" w:rsidR="00F54F99" w:rsidRDefault="00B51E3C" w:rsidP="00F54F99">
      <w:pPr>
        <w:pStyle w:val="ab"/>
        <w:ind w:firstLine="480"/>
        <w:rPr>
          <w:rFonts w:hint="eastAsia"/>
        </w:rPr>
      </w:pPr>
      <w:r w:rsidRPr="00B51E3C">
        <w:rPr>
          <w:rFonts w:hint="eastAsia"/>
        </w:rPr>
        <w:t>本片区商业服务业用地建筑密度≤35%；商住混合用地建筑密度≤23；交通运输用地建筑密度≤40%；广场交通场站混合用地建筑密度≤40；公用设施用地建筑密度≤40%。</w:t>
      </w:r>
    </w:p>
    <w:p w14:paraId="263CF10B" w14:textId="2F7E652A" w:rsidR="00F54F99" w:rsidRDefault="00F54F99" w:rsidP="00F54F99">
      <w:pPr>
        <w:pStyle w:val="ab"/>
        <w:numPr>
          <w:ilvl w:val="0"/>
          <w:numId w:val="8"/>
        </w:numPr>
        <w:ind w:firstLineChars="0"/>
      </w:pPr>
      <w:r>
        <w:rPr>
          <w:rFonts w:hint="eastAsia"/>
        </w:rPr>
        <w:t>附图</w:t>
      </w:r>
    </w:p>
    <w:p w14:paraId="61C0DD94" w14:textId="689EF3E1" w:rsidR="00B51E3C" w:rsidRDefault="00B51E3C" w:rsidP="00B51E3C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区位图</w:t>
      </w:r>
    </w:p>
    <w:p w14:paraId="49054F0A" w14:textId="02A6ACB9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空间结构规划图</w:t>
      </w:r>
    </w:p>
    <w:p w14:paraId="6BB60281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用地布局规划图</w:t>
      </w:r>
    </w:p>
    <w:p w14:paraId="408B00D4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道路系统规划图</w:t>
      </w:r>
    </w:p>
    <w:p w14:paraId="2FABA97F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道路横断面规划图</w:t>
      </w:r>
    </w:p>
    <w:p w14:paraId="679236DD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道路竖向及定位图</w:t>
      </w:r>
    </w:p>
    <w:p w14:paraId="6F4FB24B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公共交通系统规划图</w:t>
      </w:r>
    </w:p>
    <w:p w14:paraId="5F77EAAB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空间景观规划图</w:t>
      </w:r>
    </w:p>
    <w:p w14:paraId="27D613A8" w14:textId="1672930A" w:rsidR="00F54F99" w:rsidRDefault="00B51E3C" w:rsidP="00B51E3C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绿地系统规划图</w:t>
      </w:r>
    </w:p>
    <w:p w14:paraId="4DC6C278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开发强度引导图</w:t>
      </w:r>
    </w:p>
    <w:p w14:paraId="5D1F5E1E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建筑高度分区图</w:t>
      </w:r>
    </w:p>
    <w:p w14:paraId="176A8DA7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公用设施规划图</w:t>
      </w:r>
    </w:p>
    <w:p w14:paraId="6DC8F098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四线控制规划图</w:t>
      </w:r>
    </w:p>
    <w:p w14:paraId="50C2E882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给水工程规划图</w:t>
      </w:r>
    </w:p>
    <w:p w14:paraId="605EB5A4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雨水工程规划图</w:t>
      </w:r>
    </w:p>
    <w:p w14:paraId="2C6B3C6E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污水工程规划图</w:t>
      </w:r>
    </w:p>
    <w:p w14:paraId="28FA185C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电力工程规划图</w:t>
      </w:r>
    </w:p>
    <w:p w14:paraId="1D855771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通信工程规划图</w:t>
      </w:r>
    </w:p>
    <w:p w14:paraId="1F78519C" w14:textId="77777777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燃气工程规划图</w:t>
      </w:r>
    </w:p>
    <w:p w14:paraId="727DE558" w14:textId="65DF930E" w:rsidR="00B51E3C" w:rsidRDefault="00B51E3C" w:rsidP="00B51E3C">
      <w:pPr>
        <w:pStyle w:val="ab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环卫工程规划图</w:t>
      </w:r>
    </w:p>
    <w:sectPr w:rsidR="00B51E3C" w:rsidSect="005D3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800" w:bottom="1440" w:left="1800" w:header="851" w:footer="992" w:gutter="0"/>
      <w:cols w:space="1051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B2036" w14:textId="77777777" w:rsidR="00746452" w:rsidRDefault="00746452" w:rsidP="00672E65">
      <w:pPr>
        <w:rPr>
          <w:rFonts w:hint="eastAsia"/>
        </w:rPr>
      </w:pPr>
      <w:r>
        <w:separator/>
      </w:r>
    </w:p>
    <w:p w14:paraId="79BF676B" w14:textId="77777777" w:rsidR="00746452" w:rsidRDefault="00746452" w:rsidP="00672E65">
      <w:pPr>
        <w:rPr>
          <w:rFonts w:hint="eastAsia"/>
        </w:rPr>
      </w:pPr>
    </w:p>
    <w:p w14:paraId="3EEF6FBA" w14:textId="77777777" w:rsidR="00746452" w:rsidRDefault="00746452" w:rsidP="00672E65">
      <w:pPr>
        <w:rPr>
          <w:rFonts w:hint="eastAsia"/>
        </w:rPr>
      </w:pPr>
    </w:p>
  </w:endnote>
  <w:endnote w:type="continuationSeparator" w:id="0">
    <w:p w14:paraId="05C49902" w14:textId="77777777" w:rsidR="00746452" w:rsidRDefault="00746452" w:rsidP="00672E65">
      <w:pPr>
        <w:rPr>
          <w:rFonts w:hint="eastAsia"/>
        </w:rPr>
      </w:pPr>
      <w:r>
        <w:continuationSeparator/>
      </w:r>
    </w:p>
    <w:p w14:paraId="622E961A" w14:textId="77777777" w:rsidR="00746452" w:rsidRDefault="00746452" w:rsidP="00672E65">
      <w:pPr>
        <w:rPr>
          <w:rFonts w:hint="eastAsia"/>
        </w:rPr>
      </w:pPr>
    </w:p>
    <w:p w14:paraId="30415301" w14:textId="77777777" w:rsidR="00746452" w:rsidRDefault="00746452" w:rsidP="00672E65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4485" w14:textId="77777777" w:rsidR="006460C8" w:rsidRDefault="006460C8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5855" w14:textId="77777777" w:rsidR="00900B37" w:rsidRDefault="00900B37" w:rsidP="00672E65">
    <w:pPr>
      <w:rPr>
        <w:rFonts w:hint="eastAsia"/>
      </w:rPr>
    </w:pPr>
  </w:p>
  <w:p w14:paraId="618AB382" w14:textId="77777777" w:rsidR="00900B37" w:rsidRDefault="00900B37" w:rsidP="00672E65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F62F" w14:textId="77777777" w:rsidR="006460C8" w:rsidRDefault="006460C8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DE12" w14:textId="77777777" w:rsidR="00746452" w:rsidRDefault="00746452" w:rsidP="00672E65">
      <w:pPr>
        <w:rPr>
          <w:rFonts w:hint="eastAsia"/>
        </w:rPr>
      </w:pPr>
      <w:r>
        <w:separator/>
      </w:r>
    </w:p>
    <w:p w14:paraId="36E62BB6" w14:textId="77777777" w:rsidR="00746452" w:rsidRDefault="00746452" w:rsidP="00672E65">
      <w:pPr>
        <w:rPr>
          <w:rFonts w:hint="eastAsia"/>
        </w:rPr>
      </w:pPr>
    </w:p>
    <w:p w14:paraId="3727B06C" w14:textId="77777777" w:rsidR="00746452" w:rsidRDefault="00746452" w:rsidP="00672E65">
      <w:pPr>
        <w:rPr>
          <w:rFonts w:hint="eastAsia"/>
        </w:rPr>
      </w:pPr>
    </w:p>
  </w:footnote>
  <w:footnote w:type="continuationSeparator" w:id="0">
    <w:p w14:paraId="2C731D73" w14:textId="77777777" w:rsidR="00746452" w:rsidRDefault="00746452" w:rsidP="00672E65">
      <w:pPr>
        <w:rPr>
          <w:rFonts w:hint="eastAsia"/>
        </w:rPr>
      </w:pPr>
      <w:r>
        <w:continuationSeparator/>
      </w:r>
    </w:p>
    <w:p w14:paraId="573D970C" w14:textId="77777777" w:rsidR="00746452" w:rsidRDefault="00746452" w:rsidP="00672E65">
      <w:pPr>
        <w:rPr>
          <w:rFonts w:hint="eastAsia"/>
        </w:rPr>
      </w:pPr>
    </w:p>
    <w:p w14:paraId="70D89221" w14:textId="77777777" w:rsidR="00746452" w:rsidRDefault="00746452" w:rsidP="00672E65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A5D8" w14:textId="77777777" w:rsidR="006460C8" w:rsidRDefault="006460C8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CA78" w14:textId="77777777" w:rsidR="006460C8" w:rsidRDefault="006460C8">
    <w:pPr>
      <w:pStyle w:val="a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6930" w14:textId="77777777" w:rsidR="006460C8" w:rsidRDefault="006460C8">
    <w:pPr>
      <w:pStyle w:val="a7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F40"/>
    <w:multiLevelType w:val="hybridMultilevel"/>
    <w:tmpl w:val="E68C2DF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A637FAA"/>
    <w:multiLevelType w:val="hybridMultilevel"/>
    <w:tmpl w:val="D2FE088C"/>
    <w:lvl w:ilvl="0" w:tplc="F15873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BDA5F6E"/>
    <w:multiLevelType w:val="hybridMultilevel"/>
    <w:tmpl w:val="A044FC20"/>
    <w:lvl w:ilvl="0" w:tplc="FCDC0CB2">
      <w:start w:val="1"/>
      <w:numFmt w:val="bullet"/>
      <w:lvlText w:val="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F06411"/>
    <w:multiLevelType w:val="hybridMultilevel"/>
    <w:tmpl w:val="43DA7CDA"/>
    <w:lvl w:ilvl="0" w:tplc="31329C3A">
      <w:start w:val="1"/>
      <w:numFmt w:val="decimal"/>
      <w:lvlText w:val="%1"/>
      <w:lvlJc w:val="left"/>
      <w:pPr>
        <w:ind w:left="266" w:hanging="159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 w:tplc="FD1CC01C">
      <w:numFmt w:val="bullet"/>
      <w:lvlText w:val="•"/>
      <w:lvlJc w:val="left"/>
      <w:pPr>
        <w:ind w:left="898" w:hanging="159"/>
      </w:pPr>
      <w:rPr>
        <w:rFonts w:hint="default"/>
        <w:lang w:val="zh-CN" w:eastAsia="zh-CN" w:bidi="zh-CN"/>
      </w:rPr>
    </w:lvl>
    <w:lvl w:ilvl="2" w:tplc="919A3DD8">
      <w:numFmt w:val="bullet"/>
      <w:lvlText w:val="•"/>
      <w:lvlJc w:val="left"/>
      <w:pPr>
        <w:ind w:left="1537" w:hanging="159"/>
      </w:pPr>
      <w:rPr>
        <w:rFonts w:hint="default"/>
        <w:lang w:val="zh-CN" w:eastAsia="zh-CN" w:bidi="zh-CN"/>
      </w:rPr>
    </w:lvl>
    <w:lvl w:ilvl="3" w:tplc="EF88E8A6">
      <w:numFmt w:val="bullet"/>
      <w:lvlText w:val="•"/>
      <w:lvlJc w:val="left"/>
      <w:pPr>
        <w:ind w:left="2175" w:hanging="159"/>
      </w:pPr>
      <w:rPr>
        <w:rFonts w:hint="default"/>
        <w:lang w:val="zh-CN" w:eastAsia="zh-CN" w:bidi="zh-CN"/>
      </w:rPr>
    </w:lvl>
    <w:lvl w:ilvl="4" w:tplc="C0FE6DEA">
      <w:numFmt w:val="bullet"/>
      <w:lvlText w:val="•"/>
      <w:lvlJc w:val="left"/>
      <w:pPr>
        <w:ind w:left="2814" w:hanging="159"/>
      </w:pPr>
      <w:rPr>
        <w:rFonts w:hint="default"/>
        <w:lang w:val="zh-CN" w:eastAsia="zh-CN" w:bidi="zh-CN"/>
      </w:rPr>
    </w:lvl>
    <w:lvl w:ilvl="5" w:tplc="28EA1104">
      <w:numFmt w:val="bullet"/>
      <w:lvlText w:val="•"/>
      <w:lvlJc w:val="left"/>
      <w:pPr>
        <w:ind w:left="3453" w:hanging="159"/>
      </w:pPr>
      <w:rPr>
        <w:rFonts w:hint="default"/>
        <w:lang w:val="zh-CN" w:eastAsia="zh-CN" w:bidi="zh-CN"/>
      </w:rPr>
    </w:lvl>
    <w:lvl w:ilvl="6" w:tplc="32A0B272">
      <w:numFmt w:val="bullet"/>
      <w:lvlText w:val="•"/>
      <w:lvlJc w:val="left"/>
      <w:pPr>
        <w:ind w:left="4091" w:hanging="159"/>
      </w:pPr>
      <w:rPr>
        <w:rFonts w:hint="default"/>
        <w:lang w:val="zh-CN" w:eastAsia="zh-CN" w:bidi="zh-CN"/>
      </w:rPr>
    </w:lvl>
    <w:lvl w:ilvl="7" w:tplc="39C4A1A2">
      <w:numFmt w:val="bullet"/>
      <w:lvlText w:val="•"/>
      <w:lvlJc w:val="left"/>
      <w:pPr>
        <w:ind w:left="4730" w:hanging="159"/>
      </w:pPr>
      <w:rPr>
        <w:rFonts w:hint="default"/>
        <w:lang w:val="zh-CN" w:eastAsia="zh-CN" w:bidi="zh-CN"/>
      </w:rPr>
    </w:lvl>
    <w:lvl w:ilvl="8" w:tplc="45006D60">
      <w:numFmt w:val="bullet"/>
      <w:lvlText w:val="•"/>
      <w:lvlJc w:val="left"/>
      <w:pPr>
        <w:ind w:left="5368" w:hanging="159"/>
      </w:pPr>
      <w:rPr>
        <w:rFonts w:hint="default"/>
        <w:lang w:val="zh-CN" w:eastAsia="zh-CN" w:bidi="zh-CN"/>
      </w:rPr>
    </w:lvl>
  </w:abstractNum>
  <w:abstractNum w:abstractNumId="4" w15:restartNumberingAfterBreak="0">
    <w:nsid w:val="476B1A82"/>
    <w:multiLevelType w:val="hybridMultilevel"/>
    <w:tmpl w:val="CAF84886"/>
    <w:lvl w:ilvl="0" w:tplc="C142BD26">
      <w:start w:val="1"/>
      <w:numFmt w:val="lowerLetter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47A96A81"/>
    <w:multiLevelType w:val="multilevel"/>
    <w:tmpl w:val="2E0856E2"/>
    <w:lvl w:ilvl="0">
      <w:numFmt w:val="decimal"/>
      <w:lvlText w:val="%1"/>
      <w:lvlJc w:val="left"/>
      <w:pPr>
        <w:ind w:left="118" w:hanging="643"/>
      </w:pPr>
      <w:rPr>
        <w:rFonts w:hint="default"/>
        <w:lang w:val="zh-CN" w:eastAsia="zh-CN" w:bidi="zh-CN"/>
      </w:rPr>
    </w:lvl>
    <w:lvl w:ilvl="1">
      <w:start w:val="5"/>
      <w:numFmt w:val="decimalZero"/>
      <w:lvlText w:val="%1.%2"/>
      <w:lvlJc w:val="left"/>
      <w:pPr>
        <w:ind w:left="118" w:hanging="643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2021" w:hanging="6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71" w:hanging="6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22" w:hanging="6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6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3" w:hanging="6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74" w:hanging="6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25" w:hanging="643"/>
      </w:pPr>
      <w:rPr>
        <w:rFonts w:hint="default"/>
        <w:lang w:val="zh-CN" w:eastAsia="zh-CN" w:bidi="zh-CN"/>
      </w:rPr>
    </w:lvl>
  </w:abstractNum>
  <w:abstractNum w:abstractNumId="6" w15:restartNumberingAfterBreak="0">
    <w:nsid w:val="56D21155"/>
    <w:multiLevelType w:val="hybridMultilevel"/>
    <w:tmpl w:val="EFE49618"/>
    <w:lvl w:ilvl="0" w:tplc="57943E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57582368"/>
    <w:multiLevelType w:val="hybridMultilevel"/>
    <w:tmpl w:val="562072C0"/>
    <w:lvl w:ilvl="0" w:tplc="808C0A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5A931274"/>
    <w:multiLevelType w:val="hybridMultilevel"/>
    <w:tmpl w:val="FCB66C6C"/>
    <w:lvl w:ilvl="0" w:tplc="86E469E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5DE86707"/>
    <w:multiLevelType w:val="hybridMultilevel"/>
    <w:tmpl w:val="DED67206"/>
    <w:lvl w:ilvl="0" w:tplc="FC5C16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67382E8E"/>
    <w:multiLevelType w:val="hybridMultilevel"/>
    <w:tmpl w:val="E10C3BCC"/>
    <w:lvl w:ilvl="0" w:tplc="D08E976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7A1C6674"/>
    <w:multiLevelType w:val="hybridMultilevel"/>
    <w:tmpl w:val="7B04AAA4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1064301">
    <w:abstractNumId w:val="2"/>
  </w:num>
  <w:num w:numId="2" w16cid:durableId="761806203">
    <w:abstractNumId w:val="4"/>
  </w:num>
  <w:num w:numId="3" w16cid:durableId="372116282">
    <w:abstractNumId w:val="10"/>
  </w:num>
  <w:num w:numId="4" w16cid:durableId="344982881">
    <w:abstractNumId w:val="1"/>
  </w:num>
  <w:num w:numId="5" w16cid:durableId="1695888867">
    <w:abstractNumId w:val="11"/>
  </w:num>
  <w:num w:numId="6" w16cid:durableId="1035885710">
    <w:abstractNumId w:val="5"/>
  </w:num>
  <w:num w:numId="7" w16cid:durableId="1331448897">
    <w:abstractNumId w:val="3"/>
  </w:num>
  <w:num w:numId="8" w16cid:durableId="134272">
    <w:abstractNumId w:val="8"/>
  </w:num>
  <w:num w:numId="9" w16cid:durableId="1569605851">
    <w:abstractNumId w:val="7"/>
  </w:num>
  <w:num w:numId="10" w16cid:durableId="1529488330">
    <w:abstractNumId w:val="6"/>
  </w:num>
  <w:num w:numId="11" w16cid:durableId="2060548744">
    <w:abstractNumId w:val="9"/>
  </w:num>
  <w:num w:numId="12" w16cid:durableId="212429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1E"/>
    <w:rsid w:val="00001CA2"/>
    <w:rsid w:val="00005247"/>
    <w:rsid w:val="000078A7"/>
    <w:rsid w:val="00011CF0"/>
    <w:rsid w:val="0001254E"/>
    <w:rsid w:val="00017AA7"/>
    <w:rsid w:val="00017D43"/>
    <w:rsid w:val="00020F2B"/>
    <w:rsid w:val="00023FB8"/>
    <w:rsid w:val="00030216"/>
    <w:rsid w:val="00032B73"/>
    <w:rsid w:val="00041EAC"/>
    <w:rsid w:val="00042783"/>
    <w:rsid w:val="000441BB"/>
    <w:rsid w:val="00044E2F"/>
    <w:rsid w:val="000508F7"/>
    <w:rsid w:val="0005366D"/>
    <w:rsid w:val="000555A7"/>
    <w:rsid w:val="0006305C"/>
    <w:rsid w:val="00067120"/>
    <w:rsid w:val="00071407"/>
    <w:rsid w:val="000715FE"/>
    <w:rsid w:val="0007312F"/>
    <w:rsid w:val="00075F95"/>
    <w:rsid w:val="00077F6A"/>
    <w:rsid w:val="00082935"/>
    <w:rsid w:val="00090471"/>
    <w:rsid w:val="0009056E"/>
    <w:rsid w:val="00091592"/>
    <w:rsid w:val="00092BED"/>
    <w:rsid w:val="000948C2"/>
    <w:rsid w:val="000969F2"/>
    <w:rsid w:val="00097D55"/>
    <w:rsid w:val="000A0395"/>
    <w:rsid w:val="000A3099"/>
    <w:rsid w:val="000A3A82"/>
    <w:rsid w:val="000B23F0"/>
    <w:rsid w:val="000B502A"/>
    <w:rsid w:val="000C3044"/>
    <w:rsid w:val="000C381F"/>
    <w:rsid w:val="000D1E62"/>
    <w:rsid w:val="000D47F5"/>
    <w:rsid w:val="000D4E14"/>
    <w:rsid w:val="000D7017"/>
    <w:rsid w:val="000E3187"/>
    <w:rsid w:val="000E3C99"/>
    <w:rsid w:val="000E58BF"/>
    <w:rsid w:val="000E60D7"/>
    <w:rsid w:val="000E7672"/>
    <w:rsid w:val="000E78A6"/>
    <w:rsid w:val="000F48EF"/>
    <w:rsid w:val="000F4C46"/>
    <w:rsid w:val="000F5B47"/>
    <w:rsid w:val="00102864"/>
    <w:rsid w:val="0011021F"/>
    <w:rsid w:val="00111CBA"/>
    <w:rsid w:val="001137E2"/>
    <w:rsid w:val="00113FB3"/>
    <w:rsid w:val="001203D4"/>
    <w:rsid w:val="00120522"/>
    <w:rsid w:val="0012594F"/>
    <w:rsid w:val="001273AA"/>
    <w:rsid w:val="001273B7"/>
    <w:rsid w:val="00147591"/>
    <w:rsid w:val="00154F3F"/>
    <w:rsid w:val="00155F68"/>
    <w:rsid w:val="0015721A"/>
    <w:rsid w:val="001673FA"/>
    <w:rsid w:val="00171103"/>
    <w:rsid w:val="00172DCB"/>
    <w:rsid w:val="00180B60"/>
    <w:rsid w:val="00181046"/>
    <w:rsid w:val="00195A8C"/>
    <w:rsid w:val="001A3DF4"/>
    <w:rsid w:val="001A3E35"/>
    <w:rsid w:val="001A6864"/>
    <w:rsid w:val="001A75E8"/>
    <w:rsid w:val="001C13F7"/>
    <w:rsid w:val="001C14E7"/>
    <w:rsid w:val="001C66C6"/>
    <w:rsid w:val="001D3669"/>
    <w:rsid w:val="001D4151"/>
    <w:rsid w:val="001D4D43"/>
    <w:rsid w:val="001D60FB"/>
    <w:rsid w:val="001D7B6D"/>
    <w:rsid w:val="001E2814"/>
    <w:rsid w:val="001E2BF4"/>
    <w:rsid w:val="001E2C01"/>
    <w:rsid w:val="001F0051"/>
    <w:rsid w:val="001F1DB1"/>
    <w:rsid w:val="001F56E3"/>
    <w:rsid w:val="001F7E6A"/>
    <w:rsid w:val="00202D40"/>
    <w:rsid w:val="00205F32"/>
    <w:rsid w:val="00206280"/>
    <w:rsid w:val="00206D53"/>
    <w:rsid w:val="00212BA5"/>
    <w:rsid w:val="00212E99"/>
    <w:rsid w:val="00220E4A"/>
    <w:rsid w:val="00223130"/>
    <w:rsid w:val="00223D99"/>
    <w:rsid w:val="00224F55"/>
    <w:rsid w:val="00225397"/>
    <w:rsid w:val="0022593E"/>
    <w:rsid w:val="002311A8"/>
    <w:rsid w:val="00232A7C"/>
    <w:rsid w:val="002335F6"/>
    <w:rsid w:val="00233C6E"/>
    <w:rsid w:val="00237B2C"/>
    <w:rsid w:val="0024164C"/>
    <w:rsid w:val="00241CCA"/>
    <w:rsid w:val="002426B2"/>
    <w:rsid w:val="002436A9"/>
    <w:rsid w:val="0025239D"/>
    <w:rsid w:val="00254135"/>
    <w:rsid w:val="0025420F"/>
    <w:rsid w:val="00255C30"/>
    <w:rsid w:val="00257568"/>
    <w:rsid w:val="00257C3E"/>
    <w:rsid w:val="002701C9"/>
    <w:rsid w:val="002710E7"/>
    <w:rsid w:val="002734F2"/>
    <w:rsid w:val="00274021"/>
    <w:rsid w:val="00276718"/>
    <w:rsid w:val="00280048"/>
    <w:rsid w:val="002820E2"/>
    <w:rsid w:val="00282FE1"/>
    <w:rsid w:val="00284AFA"/>
    <w:rsid w:val="00290BDE"/>
    <w:rsid w:val="002925D2"/>
    <w:rsid w:val="00292F56"/>
    <w:rsid w:val="00293009"/>
    <w:rsid w:val="00293195"/>
    <w:rsid w:val="00294742"/>
    <w:rsid w:val="00297A75"/>
    <w:rsid w:val="002A4BA1"/>
    <w:rsid w:val="002A7B87"/>
    <w:rsid w:val="002B2EB3"/>
    <w:rsid w:val="002B3777"/>
    <w:rsid w:val="002B4723"/>
    <w:rsid w:val="002B7ABB"/>
    <w:rsid w:val="002C1A50"/>
    <w:rsid w:val="002C24D7"/>
    <w:rsid w:val="002C32B4"/>
    <w:rsid w:val="002C3457"/>
    <w:rsid w:val="002C456D"/>
    <w:rsid w:val="002E46EA"/>
    <w:rsid w:val="002E6047"/>
    <w:rsid w:val="002F0D67"/>
    <w:rsid w:val="002F2B28"/>
    <w:rsid w:val="002F50B6"/>
    <w:rsid w:val="00300711"/>
    <w:rsid w:val="00315636"/>
    <w:rsid w:val="00317AA9"/>
    <w:rsid w:val="003204C7"/>
    <w:rsid w:val="00320A71"/>
    <w:rsid w:val="00321B66"/>
    <w:rsid w:val="00322055"/>
    <w:rsid w:val="00322C93"/>
    <w:rsid w:val="0032441E"/>
    <w:rsid w:val="003258FB"/>
    <w:rsid w:val="0033207A"/>
    <w:rsid w:val="00333E19"/>
    <w:rsid w:val="00334723"/>
    <w:rsid w:val="00335965"/>
    <w:rsid w:val="00335998"/>
    <w:rsid w:val="003361F1"/>
    <w:rsid w:val="0033748B"/>
    <w:rsid w:val="003430F7"/>
    <w:rsid w:val="00355888"/>
    <w:rsid w:val="003644F6"/>
    <w:rsid w:val="00366771"/>
    <w:rsid w:val="00366E05"/>
    <w:rsid w:val="00371C4D"/>
    <w:rsid w:val="00380D2B"/>
    <w:rsid w:val="00383B76"/>
    <w:rsid w:val="00386562"/>
    <w:rsid w:val="00392E70"/>
    <w:rsid w:val="003964A6"/>
    <w:rsid w:val="00396CFD"/>
    <w:rsid w:val="00397BBA"/>
    <w:rsid w:val="003A6C34"/>
    <w:rsid w:val="003B1D6A"/>
    <w:rsid w:val="003B25F0"/>
    <w:rsid w:val="003B2B8A"/>
    <w:rsid w:val="003B3216"/>
    <w:rsid w:val="003B6417"/>
    <w:rsid w:val="003C1518"/>
    <w:rsid w:val="003C243B"/>
    <w:rsid w:val="003C685E"/>
    <w:rsid w:val="003C725F"/>
    <w:rsid w:val="003D0BB4"/>
    <w:rsid w:val="003D0CBA"/>
    <w:rsid w:val="003D0DCB"/>
    <w:rsid w:val="003D1BBC"/>
    <w:rsid w:val="003D2D1D"/>
    <w:rsid w:val="003D7B7B"/>
    <w:rsid w:val="003E35C7"/>
    <w:rsid w:val="003F7A7D"/>
    <w:rsid w:val="00402DE7"/>
    <w:rsid w:val="004140F0"/>
    <w:rsid w:val="004240FF"/>
    <w:rsid w:val="00434E96"/>
    <w:rsid w:val="00441067"/>
    <w:rsid w:val="00443762"/>
    <w:rsid w:val="00450629"/>
    <w:rsid w:val="0045244E"/>
    <w:rsid w:val="004527DE"/>
    <w:rsid w:val="004557B8"/>
    <w:rsid w:val="0045648F"/>
    <w:rsid w:val="00463852"/>
    <w:rsid w:val="004640FD"/>
    <w:rsid w:val="004735CF"/>
    <w:rsid w:val="004744E9"/>
    <w:rsid w:val="004766E1"/>
    <w:rsid w:val="004810AF"/>
    <w:rsid w:val="004901F2"/>
    <w:rsid w:val="00490943"/>
    <w:rsid w:val="00492D92"/>
    <w:rsid w:val="00493F24"/>
    <w:rsid w:val="00494ACE"/>
    <w:rsid w:val="004979BE"/>
    <w:rsid w:val="004A5B5E"/>
    <w:rsid w:val="004B069C"/>
    <w:rsid w:val="004B36CA"/>
    <w:rsid w:val="004B5182"/>
    <w:rsid w:val="004B73FB"/>
    <w:rsid w:val="004C005A"/>
    <w:rsid w:val="004C13EC"/>
    <w:rsid w:val="004D0100"/>
    <w:rsid w:val="004D0A8F"/>
    <w:rsid w:val="004D1181"/>
    <w:rsid w:val="004D646A"/>
    <w:rsid w:val="004D692F"/>
    <w:rsid w:val="004D7284"/>
    <w:rsid w:val="004E0275"/>
    <w:rsid w:val="004F5873"/>
    <w:rsid w:val="00502032"/>
    <w:rsid w:val="0050510B"/>
    <w:rsid w:val="00507901"/>
    <w:rsid w:val="00520D8A"/>
    <w:rsid w:val="0052137E"/>
    <w:rsid w:val="00521776"/>
    <w:rsid w:val="00524C9A"/>
    <w:rsid w:val="005270EE"/>
    <w:rsid w:val="0053124A"/>
    <w:rsid w:val="0053158E"/>
    <w:rsid w:val="005328F2"/>
    <w:rsid w:val="00536A31"/>
    <w:rsid w:val="00540B09"/>
    <w:rsid w:val="005421D4"/>
    <w:rsid w:val="005512BB"/>
    <w:rsid w:val="00551DB9"/>
    <w:rsid w:val="005540E5"/>
    <w:rsid w:val="005562BD"/>
    <w:rsid w:val="005617C7"/>
    <w:rsid w:val="00561D2D"/>
    <w:rsid w:val="00562A52"/>
    <w:rsid w:val="005654DB"/>
    <w:rsid w:val="00570A79"/>
    <w:rsid w:val="005732AE"/>
    <w:rsid w:val="0058004E"/>
    <w:rsid w:val="00580593"/>
    <w:rsid w:val="00580E3D"/>
    <w:rsid w:val="00586EC3"/>
    <w:rsid w:val="005907E2"/>
    <w:rsid w:val="00592373"/>
    <w:rsid w:val="00593037"/>
    <w:rsid w:val="005939C4"/>
    <w:rsid w:val="00594C8E"/>
    <w:rsid w:val="00597FE3"/>
    <w:rsid w:val="005A26F8"/>
    <w:rsid w:val="005A30BE"/>
    <w:rsid w:val="005B02F2"/>
    <w:rsid w:val="005B7004"/>
    <w:rsid w:val="005B7371"/>
    <w:rsid w:val="005C2017"/>
    <w:rsid w:val="005D121A"/>
    <w:rsid w:val="005D3FB5"/>
    <w:rsid w:val="005D408C"/>
    <w:rsid w:val="005D43A8"/>
    <w:rsid w:val="005D5400"/>
    <w:rsid w:val="005E1063"/>
    <w:rsid w:val="005E5E8A"/>
    <w:rsid w:val="005E69D7"/>
    <w:rsid w:val="005E6D4C"/>
    <w:rsid w:val="005F11BA"/>
    <w:rsid w:val="005F3FB9"/>
    <w:rsid w:val="005F6F92"/>
    <w:rsid w:val="0060015D"/>
    <w:rsid w:val="00602B87"/>
    <w:rsid w:val="00604AF5"/>
    <w:rsid w:val="0061077B"/>
    <w:rsid w:val="006152EE"/>
    <w:rsid w:val="00615B34"/>
    <w:rsid w:val="00621EEF"/>
    <w:rsid w:val="00624921"/>
    <w:rsid w:val="006274D9"/>
    <w:rsid w:val="00632EB5"/>
    <w:rsid w:val="006432F4"/>
    <w:rsid w:val="006436F7"/>
    <w:rsid w:val="006460C8"/>
    <w:rsid w:val="006510AA"/>
    <w:rsid w:val="00654E80"/>
    <w:rsid w:val="00655315"/>
    <w:rsid w:val="0067036A"/>
    <w:rsid w:val="00672E65"/>
    <w:rsid w:val="00675349"/>
    <w:rsid w:val="006814A2"/>
    <w:rsid w:val="00691A6B"/>
    <w:rsid w:val="00696962"/>
    <w:rsid w:val="006A2F37"/>
    <w:rsid w:val="006A54CF"/>
    <w:rsid w:val="006B05D4"/>
    <w:rsid w:val="006B63DA"/>
    <w:rsid w:val="006B6411"/>
    <w:rsid w:val="006B6CFF"/>
    <w:rsid w:val="006C26A8"/>
    <w:rsid w:val="006C3D11"/>
    <w:rsid w:val="006C7516"/>
    <w:rsid w:val="006D31B2"/>
    <w:rsid w:val="006D3666"/>
    <w:rsid w:val="006D4375"/>
    <w:rsid w:val="006D5916"/>
    <w:rsid w:val="006E0FD4"/>
    <w:rsid w:val="006E2414"/>
    <w:rsid w:val="006F0FFE"/>
    <w:rsid w:val="006F1A6F"/>
    <w:rsid w:val="006F1B25"/>
    <w:rsid w:val="006F61B3"/>
    <w:rsid w:val="006F6D8B"/>
    <w:rsid w:val="00702994"/>
    <w:rsid w:val="0070304B"/>
    <w:rsid w:val="00703846"/>
    <w:rsid w:val="00705F34"/>
    <w:rsid w:val="0071084F"/>
    <w:rsid w:val="007143AE"/>
    <w:rsid w:val="00721264"/>
    <w:rsid w:val="00726638"/>
    <w:rsid w:val="00726980"/>
    <w:rsid w:val="00727CAE"/>
    <w:rsid w:val="0073422C"/>
    <w:rsid w:val="00740326"/>
    <w:rsid w:val="00746452"/>
    <w:rsid w:val="0075085E"/>
    <w:rsid w:val="00751A4F"/>
    <w:rsid w:val="00751C1F"/>
    <w:rsid w:val="007553E4"/>
    <w:rsid w:val="00755563"/>
    <w:rsid w:val="00756EDF"/>
    <w:rsid w:val="0075742B"/>
    <w:rsid w:val="00757F0B"/>
    <w:rsid w:val="007604E7"/>
    <w:rsid w:val="0076387E"/>
    <w:rsid w:val="00765DA8"/>
    <w:rsid w:val="00770480"/>
    <w:rsid w:val="00780465"/>
    <w:rsid w:val="00780F30"/>
    <w:rsid w:val="00791E22"/>
    <w:rsid w:val="00792CE2"/>
    <w:rsid w:val="00794E45"/>
    <w:rsid w:val="007A1002"/>
    <w:rsid w:val="007A1A1E"/>
    <w:rsid w:val="007A1D60"/>
    <w:rsid w:val="007A475A"/>
    <w:rsid w:val="007A6E7E"/>
    <w:rsid w:val="007A6EE3"/>
    <w:rsid w:val="007B168F"/>
    <w:rsid w:val="007B53B4"/>
    <w:rsid w:val="007B5AAF"/>
    <w:rsid w:val="007C1D26"/>
    <w:rsid w:val="007C477B"/>
    <w:rsid w:val="007C52C2"/>
    <w:rsid w:val="007D038B"/>
    <w:rsid w:val="007D0DEB"/>
    <w:rsid w:val="007D2F15"/>
    <w:rsid w:val="007E0D82"/>
    <w:rsid w:val="007E1CCD"/>
    <w:rsid w:val="007E1D70"/>
    <w:rsid w:val="007E2BC8"/>
    <w:rsid w:val="007E2EC6"/>
    <w:rsid w:val="007E7979"/>
    <w:rsid w:val="007F15C3"/>
    <w:rsid w:val="007F2FF3"/>
    <w:rsid w:val="007F3F6E"/>
    <w:rsid w:val="00800AA6"/>
    <w:rsid w:val="00803536"/>
    <w:rsid w:val="008042DB"/>
    <w:rsid w:val="0080466B"/>
    <w:rsid w:val="00804904"/>
    <w:rsid w:val="00805C5E"/>
    <w:rsid w:val="0081194B"/>
    <w:rsid w:val="00813BBA"/>
    <w:rsid w:val="0081516B"/>
    <w:rsid w:val="00816D31"/>
    <w:rsid w:val="00822461"/>
    <w:rsid w:val="0082640B"/>
    <w:rsid w:val="00826E4F"/>
    <w:rsid w:val="00833F60"/>
    <w:rsid w:val="00834D88"/>
    <w:rsid w:val="008367BC"/>
    <w:rsid w:val="008379CE"/>
    <w:rsid w:val="00845BE5"/>
    <w:rsid w:val="0085218B"/>
    <w:rsid w:val="00852BB0"/>
    <w:rsid w:val="00852DF2"/>
    <w:rsid w:val="008539AF"/>
    <w:rsid w:val="00854C57"/>
    <w:rsid w:val="00857B19"/>
    <w:rsid w:val="00864C8A"/>
    <w:rsid w:val="00875226"/>
    <w:rsid w:val="00875DC2"/>
    <w:rsid w:val="008765A9"/>
    <w:rsid w:val="008814F3"/>
    <w:rsid w:val="00883446"/>
    <w:rsid w:val="008840FB"/>
    <w:rsid w:val="00890B30"/>
    <w:rsid w:val="008A30C1"/>
    <w:rsid w:val="008A3126"/>
    <w:rsid w:val="008A40EA"/>
    <w:rsid w:val="008A51E0"/>
    <w:rsid w:val="008A5DBD"/>
    <w:rsid w:val="008A71BA"/>
    <w:rsid w:val="008B0751"/>
    <w:rsid w:val="008B3F3A"/>
    <w:rsid w:val="008B49A0"/>
    <w:rsid w:val="008B52B4"/>
    <w:rsid w:val="008B5E5F"/>
    <w:rsid w:val="008C0C51"/>
    <w:rsid w:val="008C15CA"/>
    <w:rsid w:val="008C475C"/>
    <w:rsid w:val="008C4D36"/>
    <w:rsid w:val="008D07D4"/>
    <w:rsid w:val="008D22A0"/>
    <w:rsid w:val="008D4882"/>
    <w:rsid w:val="008D5A9E"/>
    <w:rsid w:val="008D5DA4"/>
    <w:rsid w:val="008E05D6"/>
    <w:rsid w:val="008E07C6"/>
    <w:rsid w:val="008E20F6"/>
    <w:rsid w:val="008E4F0E"/>
    <w:rsid w:val="008E619A"/>
    <w:rsid w:val="008F12A7"/>
    <w:rsid w:val="008F616C"/>
    <w:rsid w:val="00900B37"/>
    <w:rsid w:val="009018EC"/>
    <w:rsid w:val="00904693"/>
    <w:rsid w:val="00921521"/>
    <w:rsid w:val="00921F10"/>
    <w:rsid w:val="0092294D"/>
    <w:rsid w:val="00930ABB"/>
    <w:rsid w:val="00932538"/>
    <w:rsid w:val="00932604"/>
    <w:rsid w:val="00933375"/>
    <w:rsid w:val="00935E79"/>
    <w:rsid w:val="00936087"/>
    <w:rsid w:val="009519DC"/>
    <w:rsid w:val="00952EAB"/>
    <w:rsid w:val="009563D6"/>
    <w:rsid w:val="00960656"/>
    <w:rsid w:val="00960D4D"/>
    <w:rsid w:val="00962FAB"/>
    <w:rsid w:val="009778EC"/>
    <w:rsid w:val="00991D3D"/>
    <w:rsid w:val="00993BB1"/>
    <w:rsid w:val="00995EF5"/>
    <w:rsid w:val="009961ED"/>
    <w:rsid w:val="009A2B75"/>
    <w:rsid w:val="009A6716"/>
    <w:rsid w:val="009B6855"/>
    <w:rsid w:val="009C401D"/>
    <w:rsid w:val="009C513B"/>
    <w:rsid w:val="009C593B"/>
    <w:rsid w:val="009D01AB"/>
    <w:rsid w:val="009D670A"/>
    <w:rsid w:val="009D72A1"/>
    <w:rsid w:val="009E22A8"/>
    <w:rsid w:val="009E3B3A"/>
    <w:rsid w:val="009E5510"/>
    <w:rsid w:val="009E76BB"/>
    <w:rsid w:val="009E7D90"/>
    <w:rsid w:val="009F2421"/>
    <w:rsid w:val="009F40A0"/>
    <w:rsid w:val="00A00C8D"/>
    <w:rsid w:val="00A07B81"/>
    <w:rsid w:val="00A123E2"/>
    <w:rsid w:val="00A124F0"/>
    <w:rsid w:val="00A127CA"/>
    <w:rsid w:val="00A20277"/>
    <w:rsid w:val="00A23804"/>
    <w:rsid w:val="00A279EC"/>
    <w:rsid w:val="00A27A38"/>
    <w:rsid w:val="00A32C8C"/>
    <w:rsid w:val="00A3501A"/>
    <w:rsid w:val="00A35422"/>
    <w:rsid w:val="00A371BA"/>
    <w:rsid w:val="00A51DA9"/>
    <w:rsid w:val="00A60B55"/>
    <w:rsid w:val="00A648CB"/>
    <w:rsid w:val="00A66BB1"/>
    <w:rsid w:val="00A7114C"/>
    <w:rsid w:val="00A72C03"/>
    <w:rsid w:val="00A73C6A"/>
    <w:rsid w:val="00A73DCD"/>
    <w:rsid w:val="00A74E2B"/>
    <w:rsid w:val="00A8044B"/>
    <w:rsid w:val="00A85AB1"/>
    <w:rsid w:val="00A9405C"/>
    <w:rsid w:val="00A948F2"/>
    <w:rsid w:val="00A95335"/>
    <w:rsid w:val="00A964F6"/>
    <w:rsid w:val="00A979C4"/>
    <w:rsid w:val="00AA390D"/>
    <w:rsid w:val="00AB382D"/>
    <w:rsid w:val="00AB511F"/>
    <w:rsid w:val="00AC74CA"/>
    <w:rsid w:val="00AD677B"/>
    <w:rsid w:val="00AD6C1D"/>
    <w:rsid w:val="00AE21B0"/>
    <w:rsid w:val="00AE400C"/>
    <w:rsid w:val="00AE4504"/>
    <w:rsid w:val="00AF3D52"/>
    <w:rsid w:val="00AF4CAC"/>
    <w:rsid w:val="00AF7B03"/>
    <w:rsid w:val="00B00BD6"/>
    <w:rsid w:val="00B068C2"/>
    <w:rsid w:val="00B10431"/>
    <w:rsid w:val="00B12EBB"/>
    <w:rsid w:val="00B1340C"/>
    <w:rsid w:val="00B14BB6"/>
    <w:rsid w:val="00B169F4"/>
    <w:rsid w:val="00B16A49"/>
    <w:rsid w:val="00B1777D"/>
    <w:rsid w:val="00B23497"/>
    <w:rsid w:val="00B277DA"/>
    <w:rsid w:val="00B3008A"/>
    <w:rsid w:val="00B36D2E"/>
    <w:rsid w:val="00B417D4"/>
    <w:rsid w:val="00B43BF1"/>
    <w:rsid w:val="00B44B07"/>
    <w:rsid w:val="00B46A02"/>
    <w:rsid w:val="00B505C3"/>
    <w:rsid w:val="00B51E3C"/>
    <w:rsid w:val="00B54E64"/>
    <w:rsid w:val="00B55CE5"/>
    <w:rsid w:val="00B63711"/>
    <w:rsid w:val="00B7301D"/>
    <w:rsid w:val="00B75DE1"/>
    <w:rsid w:val="00B83BE0"/>
    <w:rsid w:val="00B84F6F"/>
    <w:rsid w:val="00B92CB9"/>
    <w:rsid w:val="00B94099"/>
    <w:rsid w:val="00B9465D"/>
    <w:rsid w:val="00B963B5"/>
    <w:rsid w:val="00BA265D"/>
    <w:rsid w:val="00BA5DF9"/>
    <w:rsid w:val="00BB3223"/>
    <w:rsid w:val="00BB3D67"/>
    <w:rsid w:val="00BC0DDC"/>
    <w:rsid w:val="00BC4F8E"/>
    <w:rsid w:val="00BD6292"/>
    <w:rsid w:val="00BD7D44"/>
    <w:rsid w:val="00BE32CF"/>
    <w:rsid w:val="00BF1D86"/>
    <w:rsid w:val="00BF249C"/>
    <w:rsid w:val="00C00BBB"/>
    <w:rsid w:val="00C02BCA"/>
    <w:rsid w:val="00C03C1B"/>
    <w:rsid w:val="00C0604B"/>
    <w:rsid w:val="00C10727"/>
    <w:rsid w:val="00C20163"/>
    <w:rsid w:val="00C26530"/>
    <w:rsid w:val="00C30215"/>
    <w:rsid w:val="00C31778"/>
    <w:rsid w:val="00C32A93"/>
    <w:rsid w:val="00C32E0F"/>
    <w:rsid w:val="00C37014"/>
    <w:rsid w:val="00C40182"/>
    <w:rsid w:val="00C43040"/>
    <w:rsid w:val="00C4325B"/>
    <w:rsid w:val="00C43DC8"/>
    <w:rsid w:val="00C46F16"/>
    <w:rsid w:val="00C51269"/>
    <w:rsid w:val="00C5199C"/>
    <w:rsid w:val="00C5271E"/>
    <w:rsid w:val="00C549F5"/>
    <w:rsid w:val="00C56F37"/>
    <w:rsid w:val="00C67BE1"/>
    <w:rsid w:val="00C70B76"/>
    <w:rsid w:val="00C71065"/>
    <w:rsid w:val="00C74F44"/>
    <w:rsid w:val="00C8293C"/>
    <w:rsid w:val="00C849D9"/>
    <w:rsid w:val="00C85103"/>
    <w:rsid w:val="00C87077"/>
    <w:rsid w:val="00C905C2"/>
    <w:rsid w:val="00C90FC2"/>
    <w:rsid w:val="00C9150B"/>
    <w:rsid w:val="00C929D4"/>
    <w:rsid w:val="00C9305F"/>
    <w:rsid w:val="00C9525E"/>
    <w:rsid w:val="00C96EB2"/>
    <w:rsid w:val="00C96EB8"/>
    <w:rsid w:val="00C973F7"/>
    <w:rsid w:val="00CB0BF1"/>
    <w:rsid w:val="00CB105D"/>
    <w:rsid w:val="00CB37B2"/>
    <w:rsid w:val="00CB5B05"/>
    <w:rsid w:val="00CB5B11"/>
    <w:rsid w:val="00CB71BC"/>
    <w:rsid w:val="00CC02AB"/>
    <w:rsid w:val="00CC37BB"/>
    <w:rsid w:val="00CC475C"/>
    <w:rsid w:val="00CC4AFE"/>
    <w:rsid w:val="00CC7287"/>
    <w:rsid w:val="00CD0AED"/>
    <w:rsid w:val="00CD45D8"/>
    <w:rsid w:val="00CD6483"/>
    <w:rsid w:val="00CD658D"/>
    <w:rsid w:val="00CD6810"/>
    <w:rsid w:val="00CE1EEC"/>
    <w:rsid w:val="00D008C5"/>
    <w:rsid w:val="00D05118"/>
    <w:rsid w:val="00D077F3"/>
    <w:rsid w:val="00D1613F"/>
    <w:rsid w:val="00D17915"/>
    <w:rsid w:val="00D269A8"/>
    <w:rsid w:val="00D2747C"/>
    <w:rsid w:val="00D3149C"/>
    <w:rsid w:val="00D36E82"/>
    <w:rsid w:val="00D40DB3"/>
    <w:rsid w:val="00D41E42"/>
    <w:rsid w:val="00D45494"/>
    <w:rsid w:val="00D45DB6"/>
    <w:rsid w:val="00D52DC4"/>
    <w:rsid w:val="00D53D22"/>
    <w:rsid w:val="00D61D9E"/>
    <w:rsid w:val="00D62F3D"/>
    <w:rsid w:val="00D64871"/>
    <w:rsid w:val="00D6720E"/>
    <w:rsid w:val="00D702B5"/>
    <w:rsid w:val="00D7355E"/>
    <w:rsid w:val="00D73A3F"/>
    <w:rsid w:val="00D74442"/>
    <w:rsid w:val="00D75757"/>
    <w:rsid w:val="00D83714"/>
    <w:rsid w:val="00D84651"/>
    <w:rsid w:val="00D847D6"/>
    <w:rsid w:val="00D87A37"/>
    <w:rsid w:val="00D90E12"/>
    <w:rsid w:val="00D97925"/>
    <w:rsid w:val="00DA6066"/>
    <w:rsid w:val="00DB2478"/>
    <w:rsid w:val="00DB318F"/>
    <w:rsid w:val="00DC2875"/>
    <w:rsid w:val="00DC402A"/>
    <w:rsid w:val="00DC4D24"/>
    <w:rsid w:val="00DC5C9A"/>
    <w:rsid w:val="00DC6CBB"/>
    <w:rsid w:val="00DD16F9"/>
    <w:rsid w:val="00DD295E"/>
    <w:rsid w:val="00DD39E1"/>
    <w:rsid w:val="00DD6817"/>
    <w:rsid w:val="00DE186F"/>
    <w:rsid w:val="00DE3822"/>
    <w:rsid w:val="00DE4822"/>
    <w:rsid w:val="00DE5EE2"/>
    <w:rsid w:val="00DF181E"/>
    <w:rsid w:val="00DF3C52"/>
    <w:rsid w:val="00DF7BD9"/>
    <w:rsid w:val="00E003A3"/>
    <w:rsid w:val="00E0414A"/>
    <w:rsid w:val="00E06976"/>
    <w:rsid w:val="00E1737F"/>
    <w:rsid w:val="00E22C4D"/>
    <w:rsid w:val="00E241E9"/>
    <w:rsid w:val="00E31B10"/>
    <w:rsid w:val="00E31C1B"/>
    <w:rsid w:val="00E3260A"/>
    <w:rsid w:val="00E336AD"/>
    <w:rsid w:val="00E3383F"/>
    <w:rsid w:val="00E367A6"/>
    <w:rsid w:val="00E459FD"/>
    <w:rsid w:val="00E4621D"/>
    <w:rsid w:val="00E46C3F"/>
    <w:rsid w:val="00E52B62"/>
    <w:rsid w:val="00E6018A"/>
    <w:rsid w:val="00E60925"/>
    <w:rsid w:val="00E611BE"/>
    <w:rsid w:val="00E612A8"/>
    <w:rsid w:val="00E616B5"/>
    <w:rsid w:val="00E6233F"/>
    <w:rsid w:val="00E6404B"/>
    <w:rsid w:val="00E648F2"/>
    <w:rsid w:val="00E709AA"/>
    <w:rsid w:val="00E74215"/>
    <w:rsid w:val="00E80068"/>
    <w:rsid w:val="00E836BA"/>
    <w:rsid w:val="00E85F41"/>
    <w:rsid w:val="00E862E5"/>
    <w:rsid w:val="00E86EC0"/>
    <w:rsid w:val="00E920AA"/>
    <w:rsid w:val="00E92386"/>
    <w:rsid w:val="00E9295A"/>
    <w:rsid w:val="00E97FC2"/>
    <w:rsid w:val="00EA3122"/>
    <w:rsid w:val="00EB32EE"/>
    <w:rsid w:val="00EB5AA2"/>
    <w:rsid w:val="00EB67B1"/>
    <w:rsid w:val="00ED4844"/>
    <w:rsid w:val="00EE3171"/>
    <w:rsid w:val="00EE6CA0"/>
    <w:rsid w:val="00EF3C19"/>
    <w:rsid w:val="00F128F5"/>
    <w:rsid w:val="00F14306"/>
    <w:rsid w:val="00F222E1"/>
    <w:rsid w:val="00F22FC0"/>
    <w:rsid w:val="00F25600"/>
    <w:rsid w:val="00F30E25"/>
    <w:rsid w:val="00F32D85"/>
    <w:rsid w:val="00F3514F"/>
    <w:rsid w:val="00F35BF9"/>
    <w:rsid w:val="00F367E7"/>
    <w:rsid w:val="00F37AB5"/>
    <w:rsid w:val="00F44D50"/>
    <w:rsid w:val="00F46E9A"/>
    <w:rsid w:val="00F5083E"/>
    <w:rsid w:val="00F51332"/>
    <w:rsid w:val="00F54F99"/>
    <w:rsid w:val="00F57BB8"/>
    <w:rsid w:val="00F63D97"/>
    <w:rsid w:val="00F64136"/>
    <w:rsid w:val="00F66E84"/>
    <w:rsid w:val="00F719A9"/>
    <w:rsid w:val="00F72B33"/>
    <w:rsid w:val="00F777AE"/>
    <w:rsid w:val="00F81776"/>
    <w:rsid w:val="00F818F8"/>
    <w:rsid w:val="00F844EE"/>
    <w:rsid w:val="00F86757"/>
    <w:rsid w:val="00F87E05"/>
    <w:rsid w:val="00F94ADB"/>
    <w:rsid w:val="00F97645"/>
    <w:rsid w:val="00F9783B"/>
    <w:rsid w:val="00FA3DCE"/>
    <w:rsid w:val="00FA63AD"/>
    <w:rsid w:val="00FB21BC"/>
    <w:rsid w:val="00FB39DB"/>
    <w:rsid w:val="00FB5EAE"/>
    <w:rsid w:val="00FC1E10"/>
    <w:rsid w:val="00FC2697"/>
    <w:rsid w:val="00FC4A75"/>
    <w:rsid w:val="00FC4E51"/>
    <w:rsid w:val="00FC6026"/>
    <w:rsid w:val="00FC7893"/>
    <w:rsid w:val="00FC7E09"/>
    <w:rsid w:val="00FD3999"/>
    <w:rsid w:val="00FD3E7A"/>
    <w:rsid w:val="00FD51F2"/>
    <w:rsid w:val="00FD5892"/>
    <w:rsid w:val="00FD6398"/>
    <w:rsid w:val="00FE1CDF"/>
    <w:rsid w:val="00FE3931"/>
    <w:rsid w:val="00FE5F7A"/>
    <w:rsid w:val="00FE712C"/>
    <w:rsid w:val="00FF318C"/>
    <w:rsid w:val="00FF5ACE"/>
    <w:rsid w:val="00FF5F5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BED18"/>
  <w15:chartTrackingRefBased/>
  <w15:docId w15:val="{5A91D437-87C7-4B0D-A0A9-14BEF952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BB"/>
    <w:pPr>
      <w:widowControl w:val="0"/>
      <w:spacing w:line="360" w:lineRule="auto"/>
      <w:ind w:firstLineChars="200" w:firstLine="480"/>
    </w:pPr>
    <w:rPr>
      <w:rFonts w:asciiTheme="minorEastAsia" w:eastAsiaTheme="minorEastAsia" w:hAnsiTheme="minorEastAsia"/>
      <w:kern w:val="2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826E4F"/>
    <w:pPr>
      <w:keepNext/>
      <w:keepLines/>
      <w:spacing w:after="480"/>
      <w:ind w:firstLineChars="0" w:firstLine="0"/>
      <w:jc w:val="center"/>
      <w:outlineLvl w:val="0"/>
    </w:pPr>
    <w:rPr>
      <w:rFonts w:eastAsiaTheme="majorEastAsia"/>
      <w:b/>
      <w:bCs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6E4F"/>
    <w:pPr>
      <w:spacing w:before="240" w:after="240" w:line="240" w:lineRule="auto"/>
      <w:ind w:firstLineChars="0" w:firstLine="0"/>
      <w:outlineLvl w:val="1"/>
    </w:pPr>
    <w:rPr>
      <w:rFonts w:eastAsiaTheme="majorEastAsia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F777AE"/>
    <w:pPr>
      <w:keepNext/>
      <w:keepLines/>
      <w:widowControl/>
      <w:spacing w:before="120" w:after="120"/>
      <w:ind w:firstLineChars="0" w:firstLine="0"/>
      <w:outlineLvl w:val="2"/>
    </w:pPr>
    <w:rPr>
      <w:rFonts w:ascii="宋体" w:eastAsiaTheme="majorEastAsia" w:hAnsi="宋体" w:cs="宋体"/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72E65"/>
    <w:pPr>
      <w:keepNext/>
      <w:keepLines/>
      <w:spacing w:before="120" w:after="120"/>
      <w:ind w:firstLineChars="0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2E65"/>
    <w:pPr>
      <w:keepNext/>
      <w:keepLines/>
      <w:spacing w:before="120" w:after="120"/>
      <w:ind w:firstLineChars="0" w:firstLine="0"/>
      <w:outlineLvl w:val="4"/>
    </w:pPr>
    <w:rPr>
      <w:rFonts w:eastAsiaTheme="majorEastAsia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826E4F"/>
    <w:rPr>
      <w:rFonts w:asciiTheme="minorEastAsia" w:eastAsiaTheme="majorEastAsia" w:hAnsiTheme="minorEastAsia"/>
      <w:b/>
      <w:kern w:val="2"/>
      <w:sz w:val="32"/>
      <w:szCs w:val="22"/>
    </w:rPr>
  </w:style>
  <w:style w:type="character" w:customStyle="1" w:styleId="30">
    <w:name w:val="标题 3 字符"/>
    <w:link w:val="3"/>
    <w:uiPriority w:val="9"/>
    <w:qFormat/>
    <w:rsid w:val="00F777AE"/>
    <w:rPr>
      <w:rFonts w:ascii="宋体" w:eastAsiaTheme="majorEastAsia" w:hAnsi="宋体" w:cs="宋体"/>
      <w:b/>
      <w:bCs/>
      <w:sz w:val="28"/>
      <w:szCs w:val="32"/>
    </w:rPr>
  </w:style>
  <w:style w:type="paragraph" w:customStyle="1" w:styleId="a3">
    <w:name w:val="表格正文"/>
    <w:basedOn w:val="a"/>
    <w:next w:val="a"/>
    <w:link w:val="a4"/>
    <w:qFormat/>
    <w:rsid w:val="00EE6CA0"/>
    <w:pPr>
      <w:spacing w:line="240" w:lineRule="atLeast"/>
      <w:ind w:firstLineChars="0" w:firstLine="0"/>
      <w:jc w:val="center"/>
    </w:pPr>
    <w:rPr>
      <w:sz w:val="21"/>
    </w:rPr>
  </w:style>
  <w:style w:type="character" w:customStyle="1" w:styleId="10">
    <w:name w:val="标题 1 字符"/>
    <w:link w:val="1"/>
    <w:uiPriority w:val="9"/>
    <w:rsid w:val="00826E4F"/>
    <w:rPr>
      <w:rFonts w:asciiTheme="minorEastAsia" w:eastAsiaTheme="majorEastAsia" w:hAnsiTheme="minorEastAsia"/>
      <w:b/>
      <w:bCs/>
      <w:kern w:val="44"/>
      <w:sz w:val="44"/>
      <w:szCs w:val="24"/>
    </w:rPr>
  </w:style>
  <w:style w:type="character" w:customStyle="1" w:styleId="40">
    <w:name w:val="标题 4 字符"/>
    <w:basedOn w:val="a0"/>
    <w:link w:val="4"/>
    <w:uiPriority w:val="9"/>
    <w:rsid w:val="00672E65"/>
    <w:rPr>
      <w:rFonts w:asciiTheme="majorHAnsi" w:eastAsiaTheme="majorEastAsia" w:hAnsiTheme="majorHAnsi" w:cstheme="majorBidi"/>
      <w:b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672E65"/>
    <w:rPr>
      <w:rFonts w:eastAsiaTheme="majorEastAsia"/>
      <w:bCs/>
      <w:kern w:val="2"/>
      <w:sz w:val="24"/>
      <w:szCs w:val="28"/>
    </w:rPr>
  </w:style>
  <w:style w:type="paragraph" w:customStyle="1" w:styleId="a5">
    <w:name w:val="图表标题"/>
    <w:basedOn w:val="a"/>
    <w:next w:val="a"/>
    <w:link w:val="a6"/>
    <w:qFormat/>
    <w:rsid w:val="007A1D60"/>
    <w:pPr>
      <w:spacing w:beforeLines="50" w:before="50"/>
      <w:ind w:firstLineChars="0" w:firstLine="0"/>
      <w:jc w:val="center"/>
    </w:pPr>
  </w:style>
  <w:style w:type="character" w:customStyle="1" w:styleId="a6">
    <w:name w:val="图表标题 字符"/>
    <w:basedOn w:val="a0"/>
    <w:link w:val="a5"/>
    <w:rsid w:val="007A1D60"/>
    <w:rPr>
      <w:rFonts w:asciiTheme="minorEastAsia" w:eastAsiaTheme="minorEastAsia" w:hAnsiTheme="minorEastAsia"/>
      <w:kern w:val="2"/>
      <w:sz w:val="24"/>
      <w:szCs w:val="22"/>
    </w:rPr>
  </w:style>
  <w:style w:type="character" w:customStyle="1" w:styleId="a4">
    <w:name w:val="表格正文 字符"/>
    <w:basedOn w:val="a0"/>
    <w:link w:val="a3"/>
    <w:rsid w:val="00EE6CA0"/>
    <w:rPr>
      <w:rFonts w:asciiTheme="minorEastAsia" w:eastAsiaTheme="minorEastAsia" w:hAnsiTheme="minorEastAsia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9E22A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22A8"/>
    <w:rPr>
      <w:rFonts w:asciiTheme="minorEastAsia" w:eastAsiaTheme="minorEastAsia" w:hAnsiTheme="minorEastAsia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E22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E22A8"/>
    <w:rPr>
      <w:rFonts w:asciiTheme="minorEastAsia" w:eastAsiaTheme="minorEastAsia" w:hAnsiTheme="minorEastAsia"/>
      <w:kern w:val="2"/>
      <w:sz w:val="18"/>
      <w:szCs w:val="18"/>
    </w:rPr>
  </w:style>
  <w:style w:type="paragraph" w:styleId="ab">
    <w:name w:val="List Paragraph"/>
    <w:basedOn w:val="a"/>
    <w:uiPriority w:val="1"/>
    <w:rsid w:val="00F54F9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黑体"/>
        <a:ea typeface="黑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684D-35F4-4E0C-97F9-9468254A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Links>
    <vt:vector size="258" baseType="variant">
      <vt:variant>
        <vt:i4>1179710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_Toc169938529</vt:lpwstr>
      </vt:variant>
      <vt:variant>
        <vt:i4>1179710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_Toc169938528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_Toc169938527</vt:lpwstr>
      </vt:variant>
      <vt:variant>
        <vt:i4>1179710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_Toc169938526</vt:lpwstr>
      </vt:variant>
      <vt:variant>
        <vt:i4>1179710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_Toc169938525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_Toc169938524</vt:lpwstr>
      </vt:variant>
      <vt:variant>
        <vt:i4>1179710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_Toc169938523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_Toc169938522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_Toc169938521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_Toc169938520</vt:lpwstr>
      </vt:variant>
      <vt:variant>
        <vt:i4>1114174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_Toc169938519</vt:lpwstr>
      </vt:variant>
      <vt:variant>
        <vt:i4>1114174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_Toc169938518</vt:lpwstr>
      </vt:variant>
      <vt:variant>
        <vt:i4>1114174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_Toc169938517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_Toc169938516</vt:lpwstr>
      </vt:variant>
      <vt:variant>
        <vt:i4>1114174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_Toc169938515</vt:lpwstr>
      </vt:variant>
      <vt:variant>
        <vt:i4>1114174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_Toc169938514</vt:lpwstr>
      </vt:variant>
      <vt:variant>
        <vt:i4>1114174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_Toc169938513</vt:lpwstr>
      </vt:variant>
      <vt:variant>
        <vt:i4>1114174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_Toc169938512</vt:lpwstr>
      </vt:variant>
      <vt:variant>
        <vt:i4>1114174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_Toc169938511</vt:lpwstr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_Toc169938510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_Toc169938509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_Toc169938508</vt:lpwstr>
      </vt:variant>
      <vt:variant>
        <vt:i4>1048638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_Toc169938507</vt:lpwstr>
      </vt:variant>
      <vt:variant>
        <vt:i4>1048638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_Toc169938506</vt:lpwstr>
      </vt:variant>
      <vt:variant>
        <vt:i4>1048638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_Toc169938505</vt:lpwstr>
      </vt:variant>
      <vt:variant>
        <vt:i4>1048638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_Toc169938504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_Toc169938503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_Toc169938502</vt:lpwstr>
      </vt:variant>
      <vt:variant>
        <vt:i4>1048638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_Toc169938501</vt:lpwstr>
      </vt:variant>
      <vt:variant>
        <vt:i4>1048638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_Toc169938500</vt:lpwstr>
      </vt:variant>
      <vt:variant>
        <vt:i4>1638463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_Toc169938499</vt:lpwstr>
      </vt:variant>
      <vt:variant>
        <vt:i4>1638463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_Toc169938498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_Toc169938497</vt:lpwstr>
      </vt:variant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_Toc169938496</vt:lpwstr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_Toc169938495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_Toc169938494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_Toc169938493</vt:lpwstr>
      </vt:variant>
      <vt:variant>
        <vt:i4>1638463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_Toc169938492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_Toc169938491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_Toc169938490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_Toc169938489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_Toc169938488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_Toc169938487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</dc:creator>
  <cp:keywords/>
  <dc:description/>
  <cp:lastModifiedBy>Wenyi Zhai</cp:lastModifiedBy>
  <cp:revision>34</cp:revision>
  <cp:lastPrinted>2024-09-13T04:10:00Z</cp:lastPrinted>
  <dcterms:created xsi:type="dcterms:W3CDTF">2024-07-11T14:08:00Z</dcterms:created>
  <dcterms:modified xsi:type="dcterms:W3CDTF">2024-10-08T10:20:00Z</dcterms:modified>
</cp:coreProperties>
</file>