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FFFF3">
      <w:pPr>
        <w:spacing w:before="205" w:line="250" w:lineRule="auto"/>
        <w:ind w:left="1120" w:right="55" w:hanging="1033"/>
        <w:rPr>
          <w:rFonts w:ascii="黑体" w:hAnsi="黑体" w:eastAsia="黑体" w:cs="黑体"/>
          <w:sz w:val="42"/>
          <w:szCs w:val="42"/>
        </w:rPr>
      </w:pPr>
      <w:bookmarkStart w:id="0" w:name="_GoBack"/>
      <w:bookmarkEnd w:id="0"/>
      <w:r>
        <w:rPr>
          <w:rFonts w:ascii="黑体" w:hAnsi="黑体" w:eastAsia="黑体" w:cs="黑体"/>
          <w:spacing w:val="-2"/>
          <w:sz w:val="42"/>
          <w:szCs w:val="42"/>
        </w:rPr>
        <w:t>安徽省泗县泗城第一小学2023年度一般公共预</w:t>
      </w:r>
      <w:r>
        <w:rPr>
          <w:rFonts w:ascii="黑体" w:hAnsi="黑体" w:eastAsia="黑体" w:cs="黑体"/>
          <w:spacing w:val="10"/>
          <w:sz w:val="42"/>
          <w:szCs w:val="42"/>
        </w:rPr>
        <w:t xml:space="preserve"> </w:t>
      </w:r>
      <w:r>
        <w:rPr>
          <w:rFonts w:ascii="黑体" w:hAnsi="黑体" w:eastAsia="黑体" w:cs="黑体"/>
          <w:spacing w:val="-2"/>
          <w:sz w:val="42"/>
          <w:szCs w:val="42"/>
        </w:rPr>
        <w:t>算财政拨款“三公”经费支出决算</w:t>
      </w:r>
    </w:p>
    <w:p w14:paraId="0BB0FF75">
      <w:pPr>
        <w:spacing w:line="418" w:lineRule="auto"/>
        <w:rPr>
          <w:rFonts w:ascii="Arial"/>
          <w:sz w:val="21"/>
        </w:rPr>
      </w:pPr>
    </w:p>
    <w:p w14:paraId="28E0CC52">
      <w:pPr>
        <w:spacing w:before="111" w:line="274" w:lineRule="auto"/>
        <w:ind w:left="40" w:right="85" w:firstLine="582"/>
        <w:outlineLvl w:val="0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-1"/>
          <w:sz w:val="34"/>
          <w:szCs w:val="34"/>
        </w:rPr>
        <w:t>一、2023年度一般公共预算财政拨款“三公”经费支</w:t>
      </w:r>
      <w:r>
        <w:rPr>
          <w:rFonts w:ascii="黑体" w:hAnsi="黑体" w:eastAsia="黑体" w:cs="黑体"/>
          <w:spacing w:val="5"/>
          <w:sz w:val="34"/>
          <w:szCs w:val="34"/>
        </w:rPr>
        <w:t xml:space="preserve"> </w:t>
      </w:r>
      <w:r>
        <w:rPr>
          <w:rFonts w:ascii="黑体" w:hAnsi="黑体" w:eastAsia="黑体" w:cs="黑体"/>
          <w:spacing w:val="-7"/>
          <w:sz w:val="34"/>
          <w:szCs w:val="34"/>
        </w:rPr>
        <w:t>出决算表</w:t>
      </w:r>
    </w:p>
    <w:p w14:paraId="3A4A05DB">
      <w:pPr>
        <w:spacing w:line="331" w:lineRule="auto"/>
        <w:rPr>
          <w:rFonts w:ascii="Arial"/>
          <w:sz w:val="21"/>
        </w:rPr>
      </w:pPr>
    </w:p>
    <w:p w14:paraId="5EFEBBD4">
      <w:pPr>
        <w:pStyle w:val="2"/>
        <w:spacing w:before="65" w:line="221" w:lineRule="auto"/>
        <w:ind w:left="62"/>
        <w:rPr>
          <w:sz w:val="20"/>
          <w:szCs w:val="20"/>
        </w:rPr>
      </w:pPr>
      <w:r>
        <w:rPr>
          <w:sz w:val="20"/>
          <w:szCs w:val="20"/>
        </w:rPr>
        <w:t>单位：安徽省泗县泗城第一小学                                          金额单位：万元</w:t>
      </w:r>
    </w:p>
    <w:p w14:paraId="1DDF49A2">
      <w:pPr>
        <w:spacing w:line="41" w:lineRule="exact"/>
      </w:pPr>
    </w:p>
    <w:tbl>
      <w:tblPr>
        <w:tblStyle w:val="5"/>
        <w:tblW w:w="84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1"/>
        <w:gridCol w:w="2547"/>
        <w:gridCol w:w="2551"/>
      </w:tblGrid>
      <w:tr w14:paraId="3DE52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5" w:hRule="atLeast"/>
        </w:trPr>
        <w:tc>
          <w:tcPr>
            <w:tcW w:w="3401" w:type="dxa"/>
            <w:vAlign w:val="top"/>
          </w:tcPr>
          <w:p w14:paraId="3D154D08">
            <w:pPr>
              <w:spacing w:before="34" w:line="185" w:lineRule="auto"/>
              <w:ind w:left="150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项目</w:t>
            </w:r>
          </w:p>
        </w:tc>
        <w:tc>
          <w:tcPr>
            <w:tcW w:w="2547" w:type="dxa"/>
            <w:vAlign w:val="top"/>
          </w:tcPr>
          <w:p w14:paraId="2E851E54">
            <w:pPr>
              <w:spacing w:before="34" w:line="185" w:lineRule="auto"/>
              <w:ind w:left="9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预算数</w:t>
            </w:r>
          </w:p>
        </w:tc>
        <w:tc>
          <w:tcPr>
            <w:tcW w:w="2551" w:type="dxa"/>
            <w:vAlign w:val="top"/>
          </w:tcPr>
          <w:p w14:paraId="7A1FFD1B">
            <w:pPr>
              <w:spacing w:before="34" w:line="185" w:lineRule="auto"/>
              <w:ind w:left="9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决算数</w:t>
            </w:r>
          </w:p>
        </w:tc>
      </w:tr>
      <w:tr w14:paraId="618F0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401" w:type="dxa"/>
            <w:vAlign w:val="top"/>
          </w:tcPr>
          <w:p w14:paraId="4235531D">
            <w:pPr>
              <w:pStyle w:val="6"/>
              <w:spacing w:before="31" w:line="184" w:lineRule="auto"/>
              <w:ind w:left="1513"/>
            </w:pPr>
            <w:r>
              <w:rPr>
                <w:b/>
                <w:bCs/>
                <w:spacing w:val="-7"/>
              </w:rPr>
              <w:t>合计</w:t>
            </w:r>
          </w:p>
        </w:tc>
        <w:tc>
          <w:tcPr>
            <w:tcW w:w="2547" w:type="dxa"/>
            <w:vAlign w:val="top"/>
          </w:tcPr>
          <w:p w14:paraId="2E21B553">
            <w:pPr>
              <w:pStyle w:val="6"/>
              <w:spacing w:before="66" w:line="164" w:lineRule="exact"/>
              <w:ind w:left="1077"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2551" w:type="dxa"/>
            <w:vAlign w:val="top"/>
          </w:tcPr>
          <w:p w14:paraId="3ACCCA84">
            <w:pPr>
              <w:pStyle w:val="6"/>
              <w:spacing w:before="66" w:line="164" w:lineRule="exact"/>
              <w:ind w:left="1080"/>
            </w:pPr>
            <w:r>
              <w:rPr>
                <w:spacing w:val="-2"/>
                <w:position w:val="-2"/>
              </w:rPr>
              <w:t>0.00</w:t>
            </w:r>
          </w:p>
        </w:tc>
      </w:tr>
      <w:tr w14:paraId="5E983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401" w:type="dxa"/>
            <w:vAlign w:val="top"/>
          </w:tcPr>
          <w:p w14:paraId="1D9FEAC6">
            <w:pPr>
              <w:pStyle w:val="6"/>
              <w:spacing w:before="32" w:line="182" w:lineRule="auto"/>
              <w:ind w:left="68"/>
            </w:pPr>
            <w:r>
              <w:rPr>
                <w:spacing w:val="-4"/>
              </w:rPr>
              <w:t>因公出国（境）费</w:t>
            </w:r>
          </w:p>
        </w:tc>
        <w:tc>
          <w:tcPr>
            <w:tcW w:w="2547" w:type="dxa"/>
            <w:vAlign w:val="top"/>
          </w:tcPr>
          <w:p w14:paraId="3C7FF306">
            <w:pPr>
              <w:pStyle w:val="6"/>
              <w:spacing w:before="67" w:line="162" w:lineRule="exact"/>
              <w:ind w:left="1077"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2551" w:type="dxa"/>
            <w:vAlign w:val="top"/>
          </w:tcPr>
          <w:p w14:paraId="61C771F6">
            <w:pPr>
              <w:pStyle w:val="6"/>
              <w:spacing w:before="67" w:line="162" w:lineRule="exact"/>
              <w:ind w:left="1080"/>
            </w:pPr>
            <w:r>
              <w:rPr>
                <w:spacing w:val="-2"/>
                <w:position w:val="-2"/>
              </w:rPr>
              <w:t>0.00</w:t>
            </w:r>
          </w:p>
        </w:tc>
      </w:tr>
      <w:tr w14:paraId="18E46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401" w:type="dxa"/>
            <w:vAlign w:val="top"/>
          </w:tcPr>
          <w:p w14:paraId="48D7E673">
            <w:pPr>
              <w:pStyle w:val="6"/>
              <w:spacing w:before="35" w:line="180" w:lineRule="auto"/>
              <w:ind w:left="52"/>
            </w:pPr>
            <w:r>
              <w:rPr>
                <w:spacing w:val="-3"/>
              </w:rPr>
              <w:t>公务接待费</w:t>
            </w:r>
          </w:p>
        </w:tc>
        <w:tc>
          <w:tcPr>
            <w:tcW w:w="2547" w:type="dxa"/>
            <w:vAlign w:val="top"/>
          </w:tcPr>
          <w:p w14:paraId="558BE3E5">
            <w:pPr>
              <w:pStyle w:val="6"/>
              <w:spacing w:before="69" w:line="161" w:lineRule="exact"/>
              <w:ind w:left="1077"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2551" w:type="dxa"/>
            <w:vAlign w:val="top"/>
          </w:tcPr>
          <w:p w14:paraId="013E48CA">
            <w:pPr>
              <w:pStyle w:val="6"/>
              <w:spacing w:before="69" w:line="161" w:lineRule="exact"/>
              <w:ind w:left="1080"/>
            </w:pPr>
            <w:r>
              <w:rPr>
                <w:spacing w:val="-2"/>
                <w:position w:val="-2"/>
              </w:rPr>
              <w:t>0.00</w:t>
            </w:r>
          </w:p>
        </w:tc>
      </w:tr>
      <w:tr w14:paraId="28351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401" w:type="dxa"/>
            <w:vAlign w:val="top"/>
          </w:tcPr>
          <w:p w14:paraId="3EF0DF5D">
            <w:pPr>
              <w:pStyle w:val="6"/>
              <w:spacing w:before="37" w:line="179" w:lineRule="auto"/>
              <w:ind w:left="52"/>
            </w:pPr>
            <w:r>
              <w:rPr>
                <w:spacing w:val="-2"/>
              </w:rPr>
              <w:t>公务用车购置及运行维护费</w:t>
            </w:r>
          </w:p>
        </w:tc>
        <w:tc>
          <w:tcPr>
            <w:tcW w:w="2547" w:type="dxa"/>
            <w:vAlign w:val="top"/>
          </w:tcPr>
          <w:p w14:paraId="4DE79724">
            <w:pPr>
              <w:pStyle w:val="6"/>
              <w:spacing w:before="71" w:line="159" w:lineRule="exact"/>
              <w:ind w:left="1077"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2551" w:type="dxa"/>
            <w:vAlign w:val="top"/>
          </w:tcPr>
          <w:p w14:paraId="53DB7C68">
            <w:pPr>
              <w:pStyle w:val="6"/>
              <w:spacing w:before="71" w:line="159" w:lineRule="exact"/>
              <w:ind w:left="1080"/>
            </w:pPr>
            <w:r>
              <w:rPr>
                <w:spacing w:val="-2"/>
                <w:position w:val="-2"/>
              </w:rPr>
              <w:t>0.00</w:t>
            </w:r>
          </w:p>
        </w:tc>
      </w:tr>
      <w:tr w14:paraId="0D0C6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401" w:type="dxa"/>
            <w:vAlign w:val="top"/>
          </w:tcPr>
          <w:p w14:paraId="004CE5A3">
            <w:pPr>
              <w:pStyle w:val="6"/>
              <w:spacing w:before="37" w:line="178" w:lineRule="auto"/>
              <w:ind w:left="449"/>
            </w:pPr>
            <w:r>
              <w:rPr>
                <w:spacing w:val="-2"/>
              </w:rPr>
              <w:t>其中：公务用车运行维护费</w:t>
            </w:r>
          </w:p>
        </w:tc>
        <w:tc>
          <w:tcPr>
            <w:tcW w:w="2547" w:type="dxa"/>
            <w:vAlign w:val="top"/>
          </w:tcPr>
          <w:p w14:paraId="769640B7">
            <w:pPr>
              <w:pStyle w:val="6"/>
              <w:spacing w:before="72" w:line="158" w:lineRule="exact"/>
              <w:ind w:left="1077"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2551" w:type="dxa"/>
            <w:vAlign w:val="top"/>
          </w:tcPr>
          <w:p w14:paraId="16E8EE4D">
            <w:pPr>
              <w:pStyle w:val="6"/>
              <w:spacing w:before="72" w:line="158" w:lineRule="exact"/>
              <w:ind w:left="1080"/>
            </w:pPr>
            <w:r>
              <w:rPr>
                <w:spacing w:val="-2"/>
                <w:position w:val="-2"/>
              </w:rPr>
              <w:t>0.00</w:t>
            </w:r>
          </w:p>
        </w:tc>
      </w:tr>
      <w:tr w14:paraId="66ED8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3401" w:type="dxa"/>
            <w:vAlign w:val="top"/>
          </w:tcPr>
          <w:p w14:paraId="6D4496F2">
            <w:pPr>
              <w:pStyle w:val="6"/>
              <w:spacing w:before="39" w:line="181" w:lineRule="auto"/>
              <w:ind w:left="1052"/>
            </w:pPr>
            <w:r>
              <w:rPr>
                <w:spacing w:val="-3"/>
              </w:rPr>
              <w:t>公务用车购置费</w:t>
            </w:r>
          </w:p>
        </w:tc>
        <w:tc>
          <w:tcPr>
            <w:tcW w:w="2547" w:type="dxa"/>
            <w:vAlign w:val="top"/>
          </w:tcPr>
          <w:p w14:paraId="0C31CEAE">
            <w:pPr>
              <w:pStyle w:val="6"/>
              <w:spacing w:before="74" w:line="161" w:lineRule="exact"/>
              <w:ind w:left="1077"/>
            </w:pPr>
            <w:r>
              <w:rPr>
                <w:spacing w:val="-2"/>
                <w:position w:val="-2"/>
              </w:rPr>
              <w:t>0.00</w:t>
            </w:r>
          </w:p>
        </w:tc>
        <w:tc>
          <w:tcPr>
            <w:tcW w:w="2551" w:type="dxa"/>
            <w:vAlign w:val="top"/>
          </w:tcPr>
          <w:p w14:paraId="1BEFF173">
            <w:pPr>
              <w:pStyle w:val="6"/>
              <w:spacing w:before="74" w:line="161" w:lineRule="exact"/>
              <w:ind w:left="1080"/>
            </w:pPr>
            <w:r>
              <w:rPr>
                <w:spacing w:val="-2"/>
                <w:position w:val="-2"/>
              </w:rPr>
              <w:t>0.00</w:t>
            </w:r>
          </w:p>
        </w:tc>
      </w:tr>
    </w:tbl>
    <w:p w14:paraId="70A423E3">
      <w:pPr>
        <w:pStyle w:val="2"/>
        <w:spacing w:before="108" w:line="237" w:lineRule="auto"/>
        <w:ind w:left="20" w:right="136" w:firstLine="6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注：本表反映单位本年度一般公共预算财政拨款“三公”经费支出预决算情况。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其中，预算数为“三公”经费全年预算数，反映按规定程序调整后的预算数;决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算数是包括当年一般公共预算财政拨款和以前</w:t>
      </w:r>
      <w:r>
        <w:rPr>
          <w:spacing w:val="-2"/>
          <w:sz w:val="24"/>
          <w:szCs w:val="24"/>
        </w:rPr>
        <w:t>年度结转资金安排的实际支出。</w:t>
      </w:r>
    </w:p>
    <w:p w14:paraId="2AAE1634">
      <w:pPr>
        <w:spacing w:line="258" w:lineRule="auto"/>
        <w:rPr>
          <w:rFonts w:ascii="Arial"/>
          <w:sz w:val="21"/>
        </w:rPr>
      </w:pPr>
    </w:p>
    <w:p w14:paraId="52B97A1C">
      <w:pPr>
        <w:spacing w:line="259" w:lineRule="auto"/>
        <w:rPr>
          <w:rFonts w:ascii="Arial"/>
          <w:sz w:val="21"/>
        </w:rPr>
      </w:pPr>
    </w:p>
    <w:p w14:paraId="70B9C6E2">
      <w:pPr>
        <w:spacing w:before="111" w:line="273" w:lineRule="auto"/>
        <w:ind w:left="40" w:right="85" w:firstLine="582"/>
        <w:outlineLvl w:val="0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-1"/>
          <w:sz w:val="34"/>
          <w:szCs w:val="34"/>
        </w:rPr>
        <w:t>二、2023年度一般公共预算财政拨款“三公”经费支</w:t>
      </w:r>
      <w:r>
        <w:rPr>
          <w:rFonts w:ascii="黑体" w:hAnsi="黑体" w:eastAsia="黑体" w:cs="黑体"/>
          <w:spacing w:val="5"/>
          <w:sz w:val="34"/>
          <w:szCs w:val="34"/>
        </w:rPr>
        <w:t xml:space="preserve"> </w:t>
      </w:r>
      <w:r>
        <w:rPr>
          <w:rFonts w:ascii="黑体" w:hAnsi="黑体" w:eastAsia="黑体" w:cs="黑体"/>
          <w:spacing w:val="-6"/>
          <w:sz w:val="34"/>
          <w:szCs w:val="34"/>
        </w:rPr>
        <w:t>出情况说明</w:t>
      </w:r>
    </w:p>
    <w:p w14:paraId="48FD4210">
      <w:pPr>
        <w:pStyle w:val="2"/>
        <w:spacing w:before="169" w:line="273" w:lineRule="auto"/>
        <w:ind w:left="33" w:right="105" w:firstLine="392"/>
        <w:outlineLvl w:val="1"/>
        <w:rPr>
          <w:sz w:val="32"/>
          <w:szCs w:val="32"/>
        </w:rPr>
      </w:pPr>
      <w:r>
        <w:rPr>
          <w:b/>
          <w:bCs/>
          <w:spacing w:val="-5"/>
          <w:sz w:val="32"/>
          <w:szCs w:val="32"/>
        </w:rPr>
        <w:t>（一）一般公共预算财政拨款“三公”经费支出决算总体</w:t>
      </w:r>
      <w:r>
        <w:rPr>
          <w:spacing w:val="18"/>
          <w:sz w:val="32"/>
          <w:szCs w:val="32"/>
        </w:rPr>
        <w:t xml:space="preserve"> </w:t>
      </w:r>
      <w:r>
        <w:rPr>
          <w:b/>
          <w:bCs/>
          <w:spacing w:val="-15"/>
          <w:sz w:val="32"/>
          <w:szCs w:val="32"/>
        </w:rPr>
        <w:t>情况说明。</w:t>
      </w:r>
    </w:p>
    <w:p w14:paraId="2FACF2BC">
      <w:pPr>
        <w:pStyle w:val="2"/>
        <w:spacing w:before="158" w:line="298" w:lineRule="auto"/>
        <w:ind w:left="20" w:right="50" w:firstLine="410"/>
        <w:jc w:val="both"/>
      </w:pPr>
      <w:r>
        <w:rPr>
          <w:spacing w:val="-1"/>
        </w:rPr>
        <w:t>安徽省泗县泗城第一小学2023年度一般公共预</w:t>
      </w:r>
      <w:r>
        <w:rPr>
          <w:spacing w:val="-2"/>
        </w:rPr>
        <w:t>算财政</w:t>
      </w:r>
      <w:r>
        <w:t xml:space="preserve">  </w:t>
      </w:r>
      <w:r>
        <w:rPr>
          <w:spacing w:val="-3"/>
        </w:rPr>
        <w:t>拨款“三公”经费支出预算为0万元，支出决算为0万元，</w:t>
      </w:r>
      <w:r>
        <w:rPr>
          <w:spacing w:val="15"/>
        </w:rPr>
        <w:t xml:space="preserve"> </w:t>
      </w:r>
      <w:r>
        <w:rPr>
          <w:spacing w:val="-1"/>
        </w:rPr>
        <w:t>完成预算的100%，较上年减少0万元，下降0%。决算数与</w:t>
      </w:r>
      <w:r>
        <w:rPr>
          <w:spacing w:val="11"/>
        </w:rPr>
        <w:t xml:space="preserve"> </w:t>
      </w:r>
      <w:r>
        <w:rPr>
          <w:spacing w:val="-3"/>
        </w:rPr>
        <w:t>预算数持平，决算数较上年持平的主要原因是2022年度、</w:t>
      </w:r>
      <w:r>
        <w:rPr>
          <w:spacing w:val="18"/>
        </w:rPr>
        <w:t xml:space="preserve"> </w:t>
      </w:r>
      <w:r>
        <w:rPr>
          <w:spacing w:val="-3"/>
        </w:rPr>
        <w:t>2023年度均未安排一般公共预算内的“三公”经费支出。</w:t>
      </w:r>
    </w:p>
    <w:p w14:paraId="7A421392">
      <w:pPr>
        <w:pStyle w:val="2"/>
        <w:spacing w:before="72" w:line="273" w:lineRule="auto"/>
        <w:ind w:left="33" w:right="105" w:firstLine="392"/>
        <w:outlineLvl w:val="1"/>
        <w:rPr>
          <w:sz w:val="32"/>
          <w:szCs w:val="32"/>
        </w:rPr>
      </w:pPr>
      <w:r>
        <w:rPr>
          <w:b/>
          <w:bCs/>
          <w:spacing w:val="-5"/>
          <w:sz w:val="32"/>
          <w:szCs w:val="32"/>
        </w:rPr>
        <w:t>（二）一般公共预算财政拨款“三公”经费支出决算具体</w:t>
      </w:r>
      <w:r>
        <w:rPr>
          <w:spacing w:val="18"/>
          <w:sz w:val="32"/>
          <w:szCs w:val="32"/>
        </w:rPr>
        <w:t xml:space="preserve"> </w:t>
      </w:r>
      <w:r>
        <w:rPr>
          <w:b/>
          <w:bCs/>
          <w:spacing w:val="-15"/>
          <w:sz w:val="32"/>
          <w:szCs w:val="32"/>
        </w:rPr>
        <w:t>情况说明。</w:t>
      </w:r>
    </w:p>
    <w:p w14:paraId="1A15B948">
      <w:pPr>
        <w:spacing w:line="273" w:lineRule="auto"/>
        <w:rPr>
          <w:sz w:val="32"/>
          <w:szCs w:val="32"/>
        </w:rPr>
        <w:sectPr>
          <w:pgSz w:w="11900" w:h="16840"/>
          <w:pgMar w:top="1431" w:right="1695" w:bottom="0" w:left="1695" w:header="0" w:footer="0" w:gutter="0"/>
          <w:cols w:space="720" w:num="1"/>
        </w:sectPr>
      </w:pPr>
    </w:p>
    <w:p w14:paraId="08437D93">
      <w:pPr>
        <w:pStyle w:val="2"/>
        <w:spacing w:before="238" w:line="298" w:lineRule="auto"/>
        <w:ind w:left="7" w:firstLine="404"/>
      </w:pPr>
      <w:r>
        <w:rPr>
          <w:spacing w:val="-1"/>
        </w:rPr>
        <w:t>安徽省泗县泗城第一小学2023年度一般公共预</w:t>
      </w:r>
      <w:r>
        <w:rPr>
          <w:spacing w:val="-2"/>
        </w:rPr>
        <w:t>算财政</w:t>
      </w:r>
      <w:r>
        <w:t xml:space="preserve">  </w:t>
      </w:r>
      <w:r>
        <w:rPr>
          <w:spacing w:val="-1"/>
        </w:rPr>
        <w:t>拨款“三公”经费支出决算中，因公出国（境）费支出决</w:t>
      </w:r>
      <w:r>
        <w:rPr>
          <w:spacing w:val="1"/>
        </w:rPr>
        <w:t xml:space="preserve"> </w:t>
      </w:r>
      <w:r>
        <w:rPr>
          <w:spacing w:val="-1"/>
        </w:rPr>
        <w:t>算0万元，占0%；公务接待费支出决算0万元，占0%；公务</w:t>
      </w:r>
      <w:r>
        <w:rPr>
          <w:spacing w:val="4"/>
        </w:rPr>
        <w:t xml:space="preserve"> </w:t>
      </w:r>
      <w:r>
        <w:rPr>
          <w:spacing w:val="-1"/>
        </w:rPr>
        <w:t>用车购置及运行维护费支出决算0万元，占0%。具体情况</w:t>
      </w:r>
      <w:r>
        <w:rPr>
          <w:spacing w:val="1"/>
        </w:rPr>
        <w:t xml:space="preserve">  </w:t>
      </w:r>
      <w:r>
        <w:rPr>
          <w:spacing w:val="-22"/>
        </w:rPr>
        <w:t>如下：</w:t>
      </w:r>
    </w:p>
    <w:p w14:paraId="66AE52E0">
      <w:pPr>
        <w:pStyle w:val="2"/>
        <w:spacing w:before="54" w:line="289" w:lineRule="auto"/>
        <w:ind w:left="31" w:right="280" w:firstLine="390"/>
      </w:pPr>
      <w:r>
        <w:rPr>
          <w:b/>
          <w:bCs/>
          <w:spacing w:val="-3"/>
        </w:rPr>
        <w:t>1.因公出国（境）费</w:t>
      </w:r>
      <w:r>
        <w:rPr>
          <w:spacing w:val="-3"/>
        </w:rPr>
        <w:t>预算为0万元，支出决算为0万元</w:t>
      </w:r>
      <w:r>
        <w:rPr>
          <w:spacing w:val="1"/>
        </w:rPr>
        <w:t xml:space="preserve"> </w:t>
      </w:r>
      <w:r>
        <w:rPr>
          <w:spacing w:val="3"/>
        </w:rPr>
        <w:t>,完成预算的100%，决算数与预算数相同；较上年减少</w:t>
      </w:r>
    </w:p>
    <w:p w14:paraId="617ED217">
      <w:pPr>
        <w:pStyle w:val="2"/>
        <w:spacing w:before="56" w:line="294" w:lineRule="auto"/>
        <w:ind w:left="13" w:hanging="14"/>
      </w:pPr>
      <w:r>
        <w:rPr>
          <w:spacing w:val="-1"/>
        </w:rPr>
        <w:t>0万元，下降0%。原因是2022年度、2023年度均未安排因</w:t>
      </w:r>
      <w:r>
        <w:rPr>
          <w:spacing w:val="7"/>
        </w:rPr>
        <w:t xml:space="preserve">  </w:t>
      </w:r>
      <w:r>
        <w:rPr>
          <w:spacing w:val="-1"/>
        </w:rPr>
        <w:t>公出国（境）计划。故2023年安徽省泗县泗城第</w:t>
      </w:r>
      <w:r>
        <w:rPr>
          <w:spacing w:val="-2"/>
        </w:rPr>
        <w:t>一小学因</w:t>
      </w:r>
      <w:r>
        <w:t xml:space="preserve"> </w:t>
      </w:r>
      <w:r>
        <w:rPr>
          <w:spacing w:val="-4"/>
        </w:rPr>
        <w:t>公出国（境）团组0次，累计出国（境）0人次。</w:t>
      </w:r>
    </w:p>
    <w:p w14:paraId="4B2DDD4A">
      <w:pPr>
        <w:pStyle w:val="2"/>
        <w:spacing w:before="54" w:line="294" w:lineRule="auto"/>
        <w:ind w:left="6" w:right="170" w:firstLine="394"/>
      </w:pPr>
      <w:r>
        <w:rPr>
          <w:b/>
          <w:bCs/>
          <w:spacing w:val="-2"/>
        </w:rPr>
        <w:t>2.公务接待费</w:t>
      </w:r>
      <w:r>
        <w:rPr>
          <w:spacing w:val="-2"/>
        </w:rPr>
        <w:t>预算为0万元，支出决算为0万元，完成</w:t>
      </w:r>
      <w:r>
        <w:rPr>
          <w:spacing w:val="8"/>
        </w:rPr>
        <w:t xml:space="preserve"> </w:t>
      </w:r>
      <w:r>
        <w:rPr>
          <w:spacing w:val="-1"/>
        </w:rPr>
        <w:t>预算的100%；较上年减少0万元，下降0%。决算数与预算</w:t>
      </w:r>
      <w:r>
        <w:rPr>
          <w:spacing w:val="5"/>
        </w:rPr>
        <w:t xml:space="preserve"> </w:t>
      </w:r>
      <w:r>
        <w:rPr>
          <w:spacing w:val="-3"/>
        </w:rPr>
        <w:t>数持平，决算数较上年持平的主要原因是2022年度、</w:t>
      </w:r>
    </w:p>
    <w:p w14:paraId="04AB322A">
      <w:pPr>
        <w:pStyle w:val="2"/>
        <w:spacing w:before="54" w:line="222" w:lineRule="auto"/>
        <w:ind w:left="1"/>
      </w:pPr>
      <w:r>
        <w:rPr>
          <w:spacing w:val="-3"/>
        </w:rPr>
        <w:t>2023年度均未安排一般公共预算内的公务接待费支出。</w:t>
      </w:r>
    </w:p>
    <w:p w14:paraId="43CF378E">
      <w:pPr>
        <w:pStyle w:val="2"/>
        <w:spacing w:before="151" w:line="222" w:lineRule="auto"/>
        <w:ind w:left="1"/>
      </w:pPr>
      <w:r>
        <w:rPr>
          <w:spacing w:val="-1"/>
        </w:rPr>
        <w:t>2023年安徽省泗县泗城第一小学国内公务接待共0批次</w:t>
      </w:r>
    </w:p>
    <w:p w14:paraId="43CF2339">
      <w:pPr>
        <w:pStyle w:val="2"/>
        <w:spacing w:before="151" w:line="222" w:lineRule="auto"/>
        <w:ind w:left="7"/>
      </w:pPr>
      <w:r>
        <w:rPr>
          <w:spacing w:val="-2"/>
        </w:rPr>
        <w:t>（其中外事接待0批次</w:t>
      </w:r>
      <w:r>
        <w:rPr>
          <w:spacing w:val="1"/>
        </w:rPr>
        <w:t>），</w:t>
      </w:r>
      <w:r>
        <w:rPr>
          <w:spacing w:val="-2"/>
        </w:rPr>
        <w:t>0人次（其中外事接待0人次</w:t>
      </w:r>
    </w:p>
    <w:p w14:paraId="6CE64B8D">
      <w:pPr>
        <w:pStyle w:val="2"/>
        <w:spacing w:before="152" w:line="298" w:lineRule="auto"/>
        <w:ind w:left="13" w:firstLine="21"/>
      </w:pPr>
      <w:r>
        <w:rPr>
          <w:spacing w:val="4"/>
        </w:rPr>
        <w:t>)。主要是用于外县区相关单位业务指导和工</w:t>
      </w:r>
      <w:r>
        <w:rPr>
          <w:spacing w:val="3"/>
        </w:rPr>
        <w:t>作调研，公</w:t>
      </w:r>
      <w:r>
        <w:t xml:space="preserve"> </w:t>
      </w:r>
      <w:r>
        <w:rPr>
          <w:spacing w:val="-1"/>
        </w:rPr>
        <w:t>务加班。经费使用贯彻中央八项规定精神和省委</w:t>
      </w:r>
      <w:r>
        <w:rPr>
          <w:spacing w:val="-2"/>
        </w:rPr>
        <w:t>实施细则</w:t>
      </w:r>
      <w:r>
        <w:t xml:space="preserve"> </w:t>
      </w:r>
      <w:r>
        <w:rPr>
          <w:spacing w:val="4"/>
        </w:rPr>
        <w:t>,严格执行《党政机关厉行节约反对浪费条例》、《泗县</w:t>
      </w:r>
      <w:r>
        <w:rPr>
          <w:spacing w:val="18"/>
        </w:rPr>
        <w:t xml:space="preserve"> </w:t>
      </w:r>
      <w:r>
        <w:rPr>
          <w:spacing w:val="-1"/>
        </w:rPr>
        <w:t>人民政府办公室关于进一步规范公务接待管理工</w:t>
      </w:r>
      <w:r>
        <w:rPr>
          <w:spacing w:val="-2"/>
        </w:rPr>
        <w:t>作的通知</w:t>
      </w:r>
      <w:r>
        <w:t xml:space="preserve"> </w:t>
      </w:r>
      <w:r>
        <w:rPr>
          <w:spacing w:val="-4"/>
        </w:rPr>
        <w:t>》（泗政办秘[2022]34号）等相关规定。</w:t>
      </w:r>
    </w:p>
    <w:p w14:paraId="2E02F24B">
      <w:pPr>
        <w:pStyle w:val="2"/>
        <w:spacing w:before="56" w:line="294" w:lineRule="auto"/>
        <w:ind w:left="9" w:right="45" w:firstLine="394"/>
      </w:pPr>
      <w:r>
        <w:rPr>
          <w:b/>
          <w:bCs/>
          <w:spacing w:val="-3"/>
        </w:rPr>
        <w:t>3.公务用车购置及运行维护费</w:t>
      </w:r>
      <w:r>
        <w:rPr>
          <w:spacing w:val="-3"/>
        </w:rPr>
        <w:t>预算为0万元，支出决算</w:t>
      </w:r>
      <w:r>
        <w:rPr>
          <w:spacing w:val="5"/>
        </w:rPr>
        <w:t xml:space="preserve"> </w:t>
      </w:r>
      <w:r>
        <w:rPr>
          <w:spacing w:val="-3"/>
        </w:rPr>
        <w:t>为0万元，完成预算的100%；较上年减少0万元，下降0%。</w:t>
      </w:r>
      <w:r>
        <w:rPr>
          <w:spacing w:val="16"/>
        </w:rPr>
        <w:t xml:space="preserve"> </w:t>
      </w:r>
      <w:r>
        <w:rPr>
          <w:spacing w:val="-1"/>
        </w:rPr>
        <w:t>决算数与预算数持平，决算数较上年持平的主要原因是</w:t>
      </w:r>
    </w:p>
    <w:p w14:paraId="4B8D4916">
      <w:pPr>
        <w:pStyle w:val="2"/>
        <w:spacing w:before="57" w:line="219" w:lineRule="auto"/>
        <w:jc w:val="right"/>
      </w:pPr>
      <w:r>
        <w:rPr>
          <w:spacing w:val="-1"/>
        </w:rPr>
        <w:t>2022年度、2023年度均未安排一般公共预算内的公务用车</w:t>
      </w:r>
    </w:p>
    <w:p w14:paraId="2966EBF6">
      <w:pPr>
        <w:spacing w:line="219" w:lineRule="auto"/>
        <w:sectPr>
          <w:pgSz w:w="11900" w:h="16840"/>
          <w:pgMar w:top="1431" w:right="1700" w:bottom="0" w:left="1714" w:header="0" w:footer="0" w:gutter="0"/>
          <w:cols w:space="720" w:num="1"/>
        </w:sectPr>
      </w:pPr>
    </w:p>
    <w:p w14:paraId="36796D80">
      <w:pPr>
        <w:pStyle w:val="2"/>
        <w:spacing w:before="237" w:line="219" w:lineRule="auto"/>
        <w:ind w:left="7"/>
      </w:pPr>
      <w:r>
        <w:rPr>
          <w:spacing w:val="-1"/>
        </w:rPr>
        <w:t>购置及运行维护费支出。其中，公务用车购置费预算为</w:t>
      </w:r>
    </w:p>
    <w:p w14:paraId="3F1B86D7">
      <w:pPr>
        <w:pStyle w:val="2"/>
        <w:spacing w:before="152" w:line="300" w:lineRule="auto"/>
      </w:pPr>
      <w:r>
        <w:rPr>
          <w:spacing w:val="-1"/>
        </w:rPr>
        <w:t>0万元，支出决算为0万元，完成预算的100%；较上年减少</w:t>
      </w:r>
      <w:r>
        <w:rPr>
          <w:spacing w:val="12"/>
        </w:rPr>
        <w:t xml:space="preserve"> </w:t>
      </w:r>
      <w:r>
        <w:rPr>
          <w:spacing w:val="-1"/>
        </w:rPr>
        <w:t>0万元，下降0%。决算数与预算数持平，决算数较上年持</w:t>
      </w:r>
      <w:r>
        <w:rPr>
          <w:spacing w:val="5"/>
        </w:rPr>
        <w:t xml:space="preserve">  </w:t>
      </w:r>
      <w:r>
        <w:rPr>
          <w:spacing w:val="-1"/>
        </w:rPr>
        <w:t>平的主要原因是2022年度、2023年度均未安排一般公共预</w:t>
      </w:r>
      <w:r>
        <w:rPr>
          <w:spacing w:val="13"/>
        </w:rPr>
        <w:t xml:space="preserve"> </w:t>
      </w:r>
      <w:r>
        <w:rPr>
          <w:spacing w:val="-1"/>
        </w:rPr>
        <w:t>算内的公务用车购置支出。2023年购置公务用车0辆。公</w:t>
      </w:r>
      <w:r>
        <w:rPr>
          <w:spacing w:val="5"/>
        </w:rPr>
        <w:t xml:space="preserve">  </w:t>
      </w:r>
      <w:r>
        <w:rPr>
          <w:spacing w:val="-1"/>
        </w:rPr>
        <w:t>务用车运行维护费预算数0万元，支出决算为0万元，完成</w:t>
      </w:r>
      <w:r>
        <w:rPr>
          <w:spacing w:val="10"/>
        </w:rPr>
        <w:t xml:space="preserve"> </w:t>
      </w:r>
      <w:r>
        <w:rPr>
          <w:spacing w:val="-1"/>
        </w:rPr>
        <w:t>预算的100%；较上年减少0万元，下降0%。决算数与预算</w:t>
      </w:r>
      <w:r>
        <w:rPr>
          <w:spacing w:val="6"/>
        </w:rPr>
        <w:t xml:space="preserve">  </w:t>
      </w:r>
      <w:r>
        <w:rPr>
          <w:spacing w:val="-3"/>
        </w:rPr>
        <w:t>数持平，决算数较上年持平的主要原因是2022年度、</w:t>
      </w:r>
    </w:p>
    <w:p w14:paraId="78CA9E24">
      <w:pPr>
        <w:pStyle w:val="2"/>
        <w:spacing w:before="53" w:line="297" w:lineRule="auto"/>
        <w:ind w:left="7" w:hanging="6"/>
      </w:pPr>
      <w:r>
        <w:rPr>
          <w:spacing w:val="-1"/>
        </w:rPr>
        <w:t>2023年度均未安排一般公共预算内的公务用车运行维护费</w:t>
      </w:r>
      <w:r>
        <w:rPr>
          <w:spacing w:val="10"/>
        </w:rPr>
        <w:t xml:space="preserve"> </w:t>
      </w:r>
      <w:r>
        <w:rPr>
          <w:spacing w:val="-1"/>
        </w:rPr>
        <w:t>支出。公务用车运行维护费，包括车辆燃料费、维修费、</w:t>
      </w:r>
      <w:r>
        <w:rPr>
          <w:spacing w:val="1"/>
        </w:rPr>
        <w:t xml:space="preserve"> </w:t>
      </w:r>
      <w:r>
        <w:rPr>
          <w:spacing w:val="-1"/>
        </w:rPr>
        <w:t>过路过桥费、保险费等支出，主要用于日常公务、监督检</w:t>
      </w:r>
      <w:r>
        <w:rPr>
          <w:spacing w:val="1"/>
        </w:rPr>
        <w:t xml:space="preserve"> </w:t>
      </w:r>
      <w:r>
        <w:rPr>
          <w:spacing w:val="-1"/>
        </w:rPr>
        <w:t>查、政策调研等公务活动公务活动等。截至2023年12月</w:t>
      </w:r>
    </w:p>
    <w:p w14:paraId="391E7CCD">
      <w:pPr>
        <w:pStyle w:val="2"/>
        <w:spacing w:before="52" w:line="289" w:lineRule="auto"/>
        <w:ind w:left="9" w:hanging="5"/>
      </w:pPr>
      <w:r>
        <w:rPr>
          <w:spacing w:val="-1"/>
        </w:rPr>
        <w:t>31日，安徽省泗县泗城第一小学开支财政拨款的公务用车</w:t>
      </w:r>
      <w:r>
        <w:rPr>
          <w:spacing w:val="6"/>
        </w:rPr>
        <w:t xml:space="preserve"> </w:t>
      </w:r>
      <w:r>
        <w:rPr>
          <w:spacing w:val="-9"/>
        </w:rPr>
        <w:t>保有量为0辆。</w:t>
      </w:r>
    </w:p>
    <w:sectPr>
      <w:pgSz w:w="11900" w:h="16840"/>
      <w:pgMar w:top="1431" w:right="1700" w:bottom="0" w:left="171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9B642D5"/>
    <w:rsid w:val="56AA24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1349</Words>
  <Characters>1487</Characters>
  <TotalTime>0</TotalTime>
  <ScaleCrop>false</ScaleCrop>
  <LinksUpToDate>false</LinksUpToDate>
  <CharactersWithSpaces>1572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2024-08-26T18:10:00Z</dcterms:created>
  <dc:creator>Administrator</dc:creator>
  <cp:lastModifiedBy>青春无悔</cp:lastModifiedBy>
  <dcterms:modified xsi:type="dcterms:W3CDTF">2024-10-11T01:42:25Z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2024-10-11T09:27:57Z</vt:filetime>
  </property>
  <property fmtid="{D5CDD505-2E9C-101B-9397-08002B2CF9AE}" pid="4" name="KSOProductBuildVer">
    <vt:lpwstr>2052-12.1.0.18276</vt:lpwstr>
  </property>
  <property fmtid="{D5CDD505-2E9C-101B-9397-08002B2CF9AE}" pid="5" name="ICV">
    <vt:lpwstr>D0E1121D6CA54E22B2C9EED6CBC4B4B9_13</vt:lpwstr>
  </property>
</Properties>
</file>