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352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  <w:bookmarkStart w:id="0" w:name="_Toc8224"/>
      <w:bookmarkStart w:id="1" w:name="_Toc11611"/>
      <w:r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  <w:t>附件2</w:t>
      </w:r>
    </w:p>
    <w:p w14:paraId="1B4AB9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spacing w:val="0"/>
          <w:w w:val="100"/>
          <w:kern w:val="0"/>
          <w:positio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napToGrid w:val="0"/>
          <w:spacing w:val="0"/>
          <w:w w:val="100"/>
          <w:kern w:val="0"/>
          <w:position w:val="0"/>
          <w:sz w:val="44"/>
          <w:szCs w:val="44"/>
          <w:lang w:val="en-US" w:eastAsia="zh-CN" w:bidi="ar-SA"/>
        </w:rPr>
        <w:t>场景开放方向和参考案例</w:t>
      </w:r>
      <w:bookmarkEnd w:id="0"/>
      <w:bookmarkEnd w:id="1"/>
    </w:p>
    <w:p w14:paraId="05678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</w:pPr>
    </w:p>
    <w:p w14:paraId="00BF2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/>
          <w:snapToGrid w:val="0"/>
          <w:spacing w:val="0"/>
          <w:w w:val="100"/>
          <w:kern w:val="0"/>
          <w:position w:val="0"/>
          <w:lang w:eastAsia="zh-CN"/>
        </w:rPr>
      </w:pPr>
      <w:r>
        <w:rPr>
          <w:rFonts w:hint="eastAsia" w:ascii="Times New Roman" w:hAnsi="Times New Roman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面向产业发展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升级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的创新应用场景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围绕产业发展中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研发设计、生产制造、仓储物流、营销导流、售后运维等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关键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流程，以及交易支付、风控监管、生产节能等支撑性环节，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推动开放一批面向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新技术、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新产品</w:t>
      </w:r>
      <w:bookmarkStart w:id="2" w:name="_GoBack"/>
      <w:bookmarkEnd w:id="2"/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的创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新场景，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加速新旧动能转化，全面赋能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企业提质增效。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33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center"/>
          </w:tcPr>
          <w:p w14:paraId="3C93B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场景机会开放案例：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产业发展领域——锂电行业智慧物流仓储</w:t>
            </w:r>
          </w:p>
        </w:tc>
      </w:tr>
      <w:tr w14:paraId="5E2E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0EE78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snapToGrid w:val="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XX锂电企业开放智能仓储物流建设需求，应用物联网、大数据、人工智能等技术，结合AGV、AMR、仓储管理系统等物联网产品，实现锂电池生产原料、电芯、模组等材料的自动化转运，为工厂的智能化运作提供可靠保障，减少人力资源占用，降低仓库运营成本。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场景具有流程模块化、信息实时互联、应急响应迅速、易于大规模复制推广等特点，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形成了行业标杆性的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全流程智能无人物流仓储管理体系。未来可针对不同的行业，定制化修改仓储流程，满足各行业各领域的需要，也可随着不同模块的升级，分阶段更新整个仓库物流体系。</w:t>
            </w:r>
          </w:p>
        </w:tc>
      </w:tr>
    </w:tbl>
    <w:p w14:paraId="68E1A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</w:pPr>
    </w:p>
    <w:p w14:paraId="1C6C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面向城市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建管提升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的创新应用场景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面向更智能的城市建设需求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，在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智慧交通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智慧能源、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政务服务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安全应急、生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态环保等领域，挖掘打造一批创新应用场景，推动提升城市治理现代化水平。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9F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center"/>
          </w:tcPr>
          <w:p w14:paraId="26A2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场景机会开放案例：城市建管领域——城市安全生命线运行监测</w:t>
            </w:r>
          </w:p>
        </w:tc>
      </w:tr>
      <w:tr w14:paraId="54B0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0CD3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snapToGrid w:val="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市开放城市生命线工程安全运行监测系统建设需求，同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高校院所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开展合作，以公共安全科技为支撑，融合物联网、云计算、移动互联、BIM、GIS等多项现代信息技术，建设智能化城市安全运行管理平台，构建城市安全运行智慧监管体系，能够及时感知城市生命线系统运行状况，深度挖掘城市生命线运行规律，推动实现城市运行风险可视化、监管规范化、运行透明化、管理精细化、保障主动化，形成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城市安全的主动式保障。</w:t>
            </w:r>
          </w:p>
        </w:tc>
      </w:tr>
    </w:tbl>
    <w:p w14:paraId="68D42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楷体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</w:pPr>
    </w:p>
    <w:p w14:paraId="46A875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楷体" w:cs="楷体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面向社会</w:t>
      </w:r>
      <w:r>
        <w:rPr>
          <w:rFonts w:hint="eastAsia" w:ascii="Times New Roman" w:hAnsi="Times New Roman" w:eastAsia="楷体" w:cs="楷体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民生服务</w:t>
      </w:r>
      <w:r>
        <w:rPr>
          <w:rFonts w:hint="eastAsia" w:ascii="Times New Roman" w:hAnsi="Times New Roman" w:eastAsia="楷体" w:cs="楷体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的创新应用场景</w:t>
      </w:r>
      <w:r>
        <w:rPr>
          <w:rFonts w:hint="eastAsia" w:ascii="Times New Roman" w:hAnsi="Times New Roman" w:eastAsia="楷体" w:cs="楷体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 w:bidi="ar-SA"/>
        </w:rPr>
        <w:t>面向更贴心的社会构建，加强大数据、物联网、人工智能、元宇宙等新技术在民生服务领域的融合应用，积极打造社会服务、智慧教育、智慧医疗、智慧养老、智慧社区、文旅消费等创新应用场景，提升居民生活的便利性和幸福感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0B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center"/>
          </w:tcPr>
          <w:p w14:paraId="29CC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场景机会开放案例：社会民生领域——住宅高空抛物监测</w:t>
            </w:r>
          </w:p>
        </w:tc>
      </w:tr>
      <w:tr w14:paraId="0F5B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8FD4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仿宋_GB2312"/>
                <w:snapToGrid w:val="0"/>
                <w:spacing w:val="0"/>
                <w:w w:val="100"/>
                <w:kern w:val="0"/>
                <w:positio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高空抛物被称为“悬在城市上空的痛”，不仅威胁市民生命安全，也危害公共秩序，成为城市管理、社区治理的一大顽症。XX市民政局开放住宅高空抛物监测需求，应用图像识别、物联网、人工智能算法等技术，应用高清摄像头等物联网智能监测设备，构建住宅高空抛物安全监测场景。通过非接触式测量，可对高空抛物速度、轨迹、落点等关键信息进行准确监测，实现对高空抛物的实时预警和识别。通过该场景建设，有效减少了高空抛物事件的发生，降低相关事故产生和直接经济损失，提升城市的公共安全环境和居民的生活质量，保护市民的人身安全和财产安全，提高社会的稳定性和安宁度。</w:t>
            </w:r>
          </w:p>
        </w:tc>
      </w:tr>
    </w:tbl>
    <w:p w14:paraId="759C0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</w:pPr>
    </w:p>
    <w:p w14:paraId="301657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面向新型基础设施建设的创新应用场景。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 w:bidi="ar-SA"/>
        </w:rPr>
        <w:t>针对新兴产业发展对新型基础设施建设的巨大需求，围绕5G、物联网、区块链、数据中心、智能计算中心、加氢站、充电桩等领域，部署建设一批新型基础设施的创新应用场景，促进新产业、新业态集聚发展。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0D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center"/>
          </w:tcPr>
          <w:p w14:paraId="6737D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场景机会开放案例：新型基建领域——时空大数据平台</w:t>
            </w:r>
          </w:p>
        </w:tc>
      </w:tr>
      <w:tr w14:paraId="6527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214588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XX市开放城市地理信息、工程建设信息、城市发展规划等数据资源，与某某科技创新企业合作，利用三维GIS技术、卫星遥感技术等多项地理信息技术，突破传统二维平面展示的束缚，构建时空大数据平台场景，实现以时空地理数据作为空间位置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纽带，促进地理信息资源充分利用。通过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场景建设，消除自然资源、国土、规划、公安等部门间的数据孤岛，为各级部门提供统一、规范、标准的时空大数据服务，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有效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支撑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了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统一时空下的规划、布局、分析和决策的高效、精确和科学化。</w:t>
            </w:r>
          </w:p>
        </w:tc>
      </w:tr>
    </w:tbl>
    <w:p w14:paraId="793905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</w:pPr>
    </w:p>
    <w:p w14:paraId="220FAC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综合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性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集成应用场景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围绕重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区域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开发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重点产业培育、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重大项目建设等，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lang w:val="en-US" w:eastAsia="zh-CN"/>
        </w:rPr>
        <w:t>规划挖掘的一批带动性强、覆盖面广的</w:t>
      </w:r>
      <w:r>
        <w:rPr>
          <w:rFonts w:hint="eastAsia" w:ascii="Times New Roman" w:hAnsi="Times New Roman" w:eastAsia="仿宋_GB2312" w:cs="仿宋_GB2312"/>
          <w:bCs/>
          <w:snapToGrid w:val="0"/>
          <w:color w:val="auto"/>
          <w:spacing w:val="0"/>
          <w:w w:val="100"/>
          <w:kern w:val="0"/>
          <w:position w:val="0"/>
          <w:sz w:val="32"/>
          <w:szCs w:val="32"/>
          <w:highlight w:val="none"/>
        </w:rPr>
        <w:t>综合性、集成性重大应用场景，具备强大的资源吸附力，能够提供超大规模的场景资源，集聚多元化的创新主体力量参与场景建设，为大量前沿新技术、新产品提供测试、展示、验证的试验空间。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7D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center"/>
          </w:tcPr>
          <w:p w14:paraId="37DB9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snapToGrid w:val="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场景机会开放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 w:bidi="ar-SA"/>
              </w:rPr>
              <w:t>案例：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综合性集成应用场景——骆岗公园超级场景</w:t>
            </w:r>
          </w:p>
        </w:tc>
      </w:tr>
      <w:tr w14:paraId="2E8F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6B3E7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snapToGrid w:val="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0"/>
                <w:w w:val="100"/>
                <w:kern w:val="0"/>
                <w:position w:val="0"/>
                <w:sz w:val="24"/>
                <w:szCs w:val="24"/>
                <w:lang w:val="en-US" w:eastAsia="zh-CN"/>
              </w:rPr>
              <w:t>骆岗公园作为十四五期间合肥五大重点片区之一，聚焦“合肥科创城市会客厅”场景愿景，合肥市向全社会发布超级场景征集，围绕“点”“线”“面”思路，在航站楼、机场跑道、锦绣湖驿站等N个特色场馆中实现场景化建设，引入虚拟现实、增强现实、全息互动投影、无人机等新一代信息技术产品，为新技术、新产品提供展示、应用空间；围绕绿色生态、无人空间2大体系，为低碳、低空、自动驾驶等产业提供新技术的应用示范与迭代验证的机会；聚焦骆岗公园智能建造、智慧管理、互动体验3大功能，创新应用新材料、新工艺、新模式，开展先行先试与先行探索，打造人民群众“科技体验场”。截至目前，骆岗公园已经投放150余项新技术、新产品，打造具有显著示范性的应用场景超50个，推动新材料、新工艺、新科技应用尽用、能用先用。</w:t>
            </w:r>
          </w:p>
        </w:tc>
      </w:tr>
    </w:tbl>
    <w:p w14:paraId="69332F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37B508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30357D1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7BB5111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477A8E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02D7FF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1E6EA6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295978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025700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4AD190F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09FFB9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10EEE4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643582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1627467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right="0"/>
        <w:textAlignment w:val="auto"/>
        <w:rPr>
          <w:rFonts w:hint="eastAsia" w:ascii="Times New Roman" w:hAnsi="Times New Roman" w:eastAsia="黑体" w:cs="黑体"/>
          <w:snapToGrid w:val="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 w14:paraId="527A83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420AF"/>
    <w:rsid w:val="5094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2025-02-14T00:35:00Z</dcterms:created>
  <dc:creator>shmily</dc:creator>
  <cp:lastModifiedBy>shmily</cp:lastModifiedBy>
  <dcterms:modified xsi:type="dcterms:W3CDTF">2025-02-14T00:36:57Z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CB96FB83B0DC4B68B9976E87EFD54AAA_11</vt:lpwstr>
  </property>
  <property fmtid="{D5CDD505-2E9C-101B-9397-08002B2CF9AE}" pid="4" name="KSOTemplateDocerSaveRecord">
    <vt:lpwstr>eyJoZGlkIjoiMTEwNDhjMDc1ZDY0MjY2NjAyNTc4N2FjMDZiNzJjYTUiLCJ1c2VySWQiOiI0MjM0NzI4NzQifQ==</vt:lpwstr>
  </property>
</Properties>
</file>